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DADC" w14:textId="53DB8B6D" w:rsidR="00DA66A4" w:rsidRDefault="00ED5438" w:rsidP="00F174F7">
      <w:pPr>
        <w:jc w:val="both"/>
        <w:rPr>
          <w:lang w:val="en-IN"/>
        </w:rPr>
      </w:pPr>
      <w:r>
        <w:rPr>
          <w:lang w:val="en-IN"/>
        </w:rPr>
        <w:t>This repository contains scripts</w:t>
      </w:r>
      <w:r w:rsidR="00F174F7">
        <w:rPr>
          <w:lang w:val="en-IN"/>
        </w:rPr>
        <w:t xml:space="preserve"> (and few documents)</w:t>
      </w:r>
      <w:r>
        <w:rPr>
          <w:lang w:val="en-IN"/>
        </w:rPr>
        <w:t xml:space="preserve"> used in the study entitled ‘</w:t>
      </w:r>
      <w:r w:rsidRPr="00ED5438">
        <w:rPr>
          <w:lang w:val="en-IN"/>
        </w:rPr>
        <w:t>Continuous population-level monitoring of SARS-CoV-2 seroprevalence throughout 2020 in a large European metropolitan region</w:t>
      </w:r>
      <w:r>
        <w:rPr>
          <w:lang w:val="en-IN"/>
        </w:rPr>
        <w:t xml:space="preserve">’ published in </w:t>
      </w:r>
      <w:proofErr w:type="spellStart"/>
      <w:r>
        <w:rPr>
          <w:lang w:val="en-IN"/>
        </w:rPr>
        <w:t>iScience</w:t>
      </w:r>
      <w:proofErr w:type="spellEnd"/>
      <w:r>
        <w:rPr>
          <w:lang w:val="en-IN"/>
        </w:rPr>
        <w:t xml:space="preserve">. </w:t>
      </w:r>
    </w:p>
    <w:p w14:paraId="286320C8" w14:textId="77777777" w:rsidR="00B80E67" w:rsidRDefault="00B80E67" w:rsidP="00F174F7">
      <w:pPr>
        <w:jc w:val="both"/>
        <w:rPr>
          <w:lang w:val="en-IN"/>
        </w:rPr>
      </w:pPr>
    </w:p>
    <w:p w14:paraId="6BF5298B" w14:textId="5478038C" w:rsidR="00DA66A4" w:rsidRDefault="00B80E67" w:rsidP="00DA66A4">
      <w:pPr>
        <w:pStyle w:val="Title"/>
      </w:pPr>
      <w:r>
        <w:t>*********************************************************************************************************</w:t>
      </w:r>
    </w:p>
    <w:p w14:paraId="78EAAA77" w14:textId="02B4C4F9" w:rsidR="00DA66A4" w:rsidRPr="00DA66A4" w:rsidRDefault="00DA66A4" w:rsidP="00DA66A4">
      <w:pPr>
        <w:pStyle w:val="Title"/>
        <w:rPr>
          <w:color w:val="000000" w:themeColor="text1"/>
        </w:rPr>
      </w:pPr>
      <w:r w:rsidRPr="00DA66A4">
        <w:rPr>
          <w:color w:val="000000" w:themeColor="text1"/>
        </w:rPr>
        <w:t>Continuous population-level monitoring of SARS-CoV-2 seroprevalence throughout 2020 in a large European metropolitan region</w:t>
      </w:r>
    </w:p>
    <w:p w14:paraId="17E5601B" w14:textId="472426DA" w:rsidR="00DA66A4" w:rsidRDefault="00DA66A4" w:rsidP="00F174F7">
      <w:pPr>
        <w:jc w:val="both"/>
        <w:rPr>
          <w:sz w:val="20"/>
          <w:szCs w:val="20"/>
          <w:lang w:val="en-IN"/>
        </w:rPr>
      </w:pPr>
      <w:r w:rsidRPr="00F43C84">
        <w:rPr>
          <w:sz w:val="20"/>
          <w:szCs w:val="20"/>
        </w:rPr>
        <w:t>Marc Emmenegger</w:t>
      </w:r>
      <w:r w:rsidR="006A472D">
        <w:rPr>
          <w:sz w:val="20"/>
          <w:szCs w:val="20"/>
          <w:lang w:val="en-IN"/>
        </w:rPr>
        <w:t>*</w:t>
      </w:r>
      <w:r w:rsidR="00A572AE" w:rsidRPr="00A572AE">
        <w:rPr>
          <w:sz w:val="20"/>
          <w:szCs w:val="20"/>
          <w:vertAlign w:val="superscript"/>
          <w:lang w:val="en-IN"/>
        </w:rPr>
        <w:t>,</w:t>
      </w:r>
      <w:r w:rsidR="00A572AE">
        <w:rPr>
          <w:sz w:val="20"/>
          <w:szCs w:val="20"/>
          <w:vertAlign w:val="superscript"/>
        </w:rPr>
        <w:t>&amp;</w:t>
      </w:r>
      <w:r w:rsidRPr="00F43C84">
        <w:rPr>
          <w:sz w:val="20"/>
          <w:szCs w:val="20"/>
        </w:rPr>
        <w:t>, Elena De Cecco, David Lamparter</w:t>
      </w:r>
      <w:r w:rsidR="006A472D" w:rsidRPr="006A472D">
        <w:rPr>
          <w:sz w:val="20"/>
          <w:szCs w:val="20"/>
          <w:vertAlign w:val="superscript"/>
          <w:lang w:val="en-IN"/>
        </w:rPr>
        <w:t>#</w:t>
      </w:r>
      <w:r w:rsidRPr="00F43C84">
        <w:rPr>
          <w:sz w:val="20"/>
          <w:szCs w:val="20"/>
        </w:rPr>
        <w:t>, Raphaël P. B. Jacquat</w:t>
      </w:r>
      <w:r w:rsidR="006A472D" w:rsidRPr="006A472D">
        <w:rPr>
          <w:sz w:val="20"/>
          <w:szCs w:val="20"/>
          <w:vertAlign w:val="superscript"/>
          <w:lang w:val="en-IN"/>
        </w:rPr>
        <w:t>#</w:t>
      </w:r>
      <w:r w:rsidRPr="00F43C84">
        <w:rPr>
          <w:sz w:val="20"/>
          <w:szCs w:val="20"/>
        </w:rPr>
        <w:t xml:space="preserve">, Julien Riou, Dominik Menges, Tala Ballouz, Daniel Ebner, Mathias M. Schneider, Itzel Condado Morales, Berre </w:t>
      </w:r>
      <w:r w:rsidRPr="00D30779">
        <w:rPr>
          <w:sz w:val="20"/>
          <w:szCs w:val="20"/>
        </w:rPr>
        <w:t>Doğançay, Jingjing Guo, Anne Wiedmer, Julie Domange, Marigona Imeri, Rita Moos, Chryssa Zografou, Leyla Batkitar, Lidia Madrigal, Dezirae Schneider, Chiara Trevisan, Andres Gonzalez-Guerra, Alessandra Carrella, Irina L. Dubach, Catherine K. Xu, Georg Meisl, Vasilis Kosmoliaptsis, Tomas Malinauskas, Nicola Burgess-Brown, Ray Owens, Stephanie Hatch, Juthathip Mongkolsapaya, Gavin R. Screaton, Katharina Schubert, John D. Huck, Feimei Liu, Florence Pojer, Kelvin Lau, David Hacker, Elsbeth Probst-Müller, Carlo Cervia, Jakob Nilsson, Onur Boyman, Lanja Saleh, Katharina Spanaus, Arnold von Eckardstein, Dominik J. Schaer, Nenad Ban, Ching-Ju Tsai, Jacopo Marino, Gebhard F. X. Schertler, Nadine Ebert, Volker Thiel, Jochen Gottschalk, Beat M. Frey, Regina</w:t>
      </w:r>
      <w:r>
        <w:rPr>
          <w:sz w:val="20"/>
          <w:szCs w:val="20"/>
        </w:rPr>
        <w:t xml:space="preserve"> R.</w:t>
      </w:r>
      <w:r w:rsidRPr="00D30779">
        <w:rPr>
          <w:sz w:val="20"/>
          <w:szCs w:val="20"/>
        </w:rPr>
        <w:t xml:space="preserve"> Reimann, Simone Hornemann, Aaron M. Ring, Tuomas P. J. Knowles, Milo A. Puhan</w:t>
      </w:r>
      <w:r w:rsidRPr="00F43C84">
        <w:rPr>
          <w:sz w:val="20"/>
          <w:szCs w:val="20"/>
        </w:rPr>
        <w:t>, Christian L. Althaus, Ioannis Xenarios, David I. Stuart, and Adriano Aguzzi</w:t>
      </w:r>
      <w:r w:rsidR="006A472D">
        <w:rPr>
          <w:sz w:val="20"/>
          <w:szCs w:val="20"/>
          <w:lang w:val="en-IN"/>
        </w:rPr>
        <w:t>*</w:t>
      </w:r>
    </w:p>
    <w:p w14:paraId="4FFE42F8" w14:textId="78E3129C" w:rsidR="006A472D" w:rsidRPr="00A572AE" w:rsidRDefault="006A472D" w:rsidP="00F174F7">
      <w:pPr>
        <w:jc w:val="both"/>
        <w:rPr>
          <w:sz w:val="18"/>
          <w:szCs w:val="18"/>
          <w:lang w:val="en-IN"/>
        </w:rPr>
      </w:pPr>
      <w:r w:rsidRPr="002D6CFF">
        <w:rPr>
          <w:sz w:val="18"/>
          <w:szCs w:val="18"/>
          <w:vertAlign w:val="superscript"/>
          <w:lang w:val="en-IN"/>
        </w:rPr>
        <w:t>#</w:t>
      </w:r>
      <w:r w:rsidRPr="00A572AE">
        <w:rPr>
          <w:sz w:val="18"/>
          <w:szCs w:val="18"/>
          <w:lang w:val="en-IN"/>
        </w:rPr>
        <w:t xml:space="preserve"> Equal contribution</w:t>
      </w:r>
    </w:p>
    <w:p w14:paraId="3A4DE674" w14:textId="44329301" w:rsidR="00A572AE" w:rsidRPr="00A572AE" w:rsidRDefault="00A572AE" w:rsidP="00F174F7">
      <w:pPr>
        <w:jc w:val="both"/>
        <w:rPr>
          <w:sz w:val="18"/>
          <w:szCs w:val="18"/>
          <w:lang w:val="en-IN"/>
        </w:rPr>
      </w:pPr>
      <w:r w:rsidRPr="00A572AE">
        <w:rPr>
          <w:sz w:val="18"/>
          <w:szCs w:val="18"/>
          <w:vertAlign w:val="superscript"/>
        </w:rPr>
        <w:t>&amp;</w:t>
      </w:r>
      <w:r w:rsidRPr="00A572AE">
        <w:rPr>
          <w:sz w:val="18"/>
          <w:szCs w:val="18"/>
          <w:lang w:val="en-IN"/>
        </w:rPr>
        <w:t xml:space="preserve"> Lead contact</w:t>
      </w:r>
    </w:p>
    <w:p w14:paraId="151862E9" w14:textId="79F09C26" w:rsidR="006A472D" w:rsidRPr="00A572AE" w:rsidRDefault="006A472D" w:rsidP="006A472D">
      <w:pPr>
        <w:jc w:val="both"/>
        <w:rPr>
          <w:sz w:val="18"/>
          <w:szCs w:val="18"/>
          <w:lang w:val="en-IN"/>
        </w:rPr>
      </w:pPr>
      <w:r w:rsidRPr="00A572AE">
        <w:rPr>
          <w:sz w:val="18"/>
          <w:szCs w:val="18"/>
          <w:lang w:val="en-IN"/>
        </w:rPr>
        <w:t>* To whom correspondence should be addressed</w:t>
      </w:r>
    </w:p>
    <w:p w14:paraId="597D700B" w14:textId="259E8978" w:rsidR="00DA66A4" w:rsidRPr="00B80E67" w:rsidRDefault="00B80E67" w:rsidP="00F174F7">
      <w:pPr>
        <w:jc w:val="both"/>
        <w:rPr>
          <w:lang w:val="en-IN"/>
        </w:rPr>
      </w:pPr>
      <w:r>
        <w:rPr>
          <w:lang w:val="en-IN"/>
        </w:rPr>
        <w:t>**********************************************************************************</w:t>
      </w:r>
    </w:p>
    <w:p w14:paraId="193744D9" w14:textId="77777777" w:rsidR="00B80E67" w:rsidRDefault="00B80E67" w:rsidP="00F174F7">
      <w:pPr>
        <w:jc w:val="both"/>
        <w:rPr>
          <w:lang w:val="en-IN"/>
        </w:rPr>
      </w:pPr>
    </w:p>
    <w:p w14:paraId="6C8F3ACB" w14:textId="7DED71E4" w:rsidR="00ED5438" w:rsidRDefault="00ED5438" w:rsidP="00F174F7">
      <w:pPr>
        <w:jc w:val="both"/>
        <w:rPr>
          <w:lang w:val="en-IN"/>
        </w:rPr>
      </w:pPr>
      <w:r>
        <w:rPr>
          <w:lang w:val="en-IN"/>
        </w:rPr>
        <w:t>The scripts are partitioned into different folders:</w:t>
      </w:r>
    </w:p>
    <w:p w14:paraId="48694EB4" w14:textId="6A944CEF" w:rsidR="00ED5438" w:rsidRPr="002F34CF" w:rsidRDefault="00ED5438" w:rsidP="007D03C4">
      <w:pPr>
        <w:pStyle w:val="ListParagraph"/>
        <w:numPr>
          <w:ilvl w:val="0"/>
          <w:numId w:val="4"/>
        </w:numPr>
        <w:rPr>
          <w:b/>
          <w:bCs/>
          <w:lang w:val="fr-CH"/>
        </w:rPr>
      </w:pPr>
      <w:r w:rsidRPr="002F34CF">
        <w:rPr>
          <w:b/>
          <w:bCs/>
          <w:lang w:val="fr-CH"/>
        </w:rPr>
        <w:t>TRABI + SEROPREVALENCE</w:t>
      </w:r>
    </w:p>
    <w:p w14:paraId="3DC4777D" w14:textId="141BCB8F" w:rsidR="00ED5438" w:rsidRPr="007D4241" w:rsidRDefault="007D03C4" w:rsidP="007D03C4">
      <w:pPr>
        <w:pStyle w:val="ListParagraph"/>
        <w:numPr>
          <w:ilvl w:val="1"/>
          <w:numId w:val="4"/>
        </w:numPr>
        <w:rPr>
          <w:color w:val="ED7D31" w:themeColor="accent2"/>
          <w:lang w:val="en-IN"/>
        </w:rPr>
      </w:pPr>
      <w:r w:rsidRPr="007D4241">
        <w:rPr>
          <w:color w:val="ED7D31" w:themeColor="accent2"/>
          <w:lang w:val="en-IN"/>
        </w:rPr>
        <w:t xml:space="preserve">MAIN (lead: David </w:t>
      </w:r>
      <w:proofErr w:type="spellStart"/>
      <w:r w:rsidRPr="007D4241">
        <w:rPr>
          <w:color w:val="ED7D31" w:themeColor="accent2"/>
          <w:lang w:val="en-IN"/>
        </w:rPr>
        <w:t>Lamparter</w:t>
      </w:r>
      <w:proofErr w:type="spellEnd"/>
      <w:r w:rsidRPr="007D4241">
        <w:rPr>
          <w:color w:val="ED7D31" w:themeColor="accent2"/>
          <w:lang w:val="en-IN"/>
        </w:rPr>
        <w:t>)</w:t>
      </w:r>
    </w:p>
    <w:p w14:paraId="1616FCDA" w14:textId="6E24C80F" w:rsidR="00C26207" w:rsidRPr="00EA53E1" w:rsidRDefault="00C26207" w:rsidP="00C26207">
      <w:pPr>
        <w:pStyle w:val="ListParagraph"/>
        <w:numPr>
          <w:ilvl w:val="2"/>
          <w:numId w:val="4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R</w:t>
      </w:r>
    </w:p>
    <w:p w14:paraId="67F0A408" w14:textId="58B7CE7E" w:rsidR="00C26207" w:rsidRPr="00C26207" w:rsidRDefault="00C26207" w:rsidP="00C26207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C26207">
        <w:rPr>
          <w:i/>
          <w:iCs/>
          <w:color w:val="4472C4" w:themeColor="accent1"/>
          <w:sz w:val="20"/>
          <w:szCs w:val="20"/>
          <w:lang w:val="en-IN"/>
        </w:rPr>
        <w:t>Establishment of TRABI technology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067A10"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1C-D</w:t>
      </w:r>
      <w:r w:rsidR="00067A10" w:rsidRPr="00067A10"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S2</w:t>
      </w:r>
      <w:r w:rsidR="009B2B11"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="009B2B11" w:rsidRPr="00507A2D">
        <w:rPr>
          <w:b/>
          <w:bCs/>
          <w:i/>
          <w:iCs/>
          <w:color w:val="4472C4" w:themeColor="accent1"/>
          <w:sz w:val="20"/>
          <w:szCs w:val="20"/>
          <w:lang w:val="en-IN"/>
        </w:rPr>
        <w:t>Table S1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5A3CC43E" w14:textId="449599F8" w:rsidR="00C26207" w:rsidRPr="00067A10" w:rsidRDefault="00C26207" w:rsidP="00067A10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C26207">
        <w:rPr>
          <w:i/>
          <w:iCs/>
          <w:color w:val="4472C4" w:themeColor="accent1"/>
          <w:sz w:val="20"/>
          <w:szCs w:val="20"/>
          <w:lang w:val="en-IN"/>
        </w:rPr>
        <w:t>QDA- and LDA-based approaches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 xml:space="preserve"> and c</w:t>
      </w:r>
      <w:r w:rsidR="00067A10" w:rsidRPr="00C26207">
        <w:rPr>
          <w:i/>
          <w:iCs/>
          <w:color w:val="4472C4" w:themeColor="accent1"/>
          <w:sz w:val="20"/>
          <w:szCs w:val="20"/>
          <w:lang w:val="en-IN"/>
        </w:rPr>
        <w:t>omputation of posterior probability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 xml:space="preserve"> </w:t>
      </w:r>
      <w:r w:rsidR="00067A10" w:rsidRPr="00067A10">
        <w:rPr>
          <w:i/>
          <w:iCs/>
          <w:color w:val="4472C4" w:themeColor="accent1"/>
          <w:sz w:val="20"/>
          <w:szCs w:val="20"/>
          <w:lang w:val="en-IN"/>
        </w:rPr>
        <w:t xml:space="preserve">(see </w:t>
      </w:r>
      <w:r w:rsidR="00067A10"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2A-B</w:t>
      </w:r>
      <w:r w:rsidR="00067A10" w:rsidRPr="00067A10"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="00067A10"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S5</w:t>
      </w:r>
      <w:r w:rsidR="00000A9F"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="00000A9F" w:rsidRPr="00000A9F">
        <w:rPr>
          <w:b/>
          <w:bCs/>
          <w:i/>
          <w:iCs/>
          <w:color w:val="4472C4" w:themeColor="accent1"/>
          <w:sz w:val="20"/>
          <w:szCs w:val="20"/>
          <w:lang w:val="en-IN"/>
        </w:rPr>
        <w:t>Fig. 6A</w:t>
      </w:r>
      <w:r w:rsidR="00067A10" w:rsidRPr="00067A1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460367BA" w14:textId="30357B19" w:rsidR="00067A10" w:rsidRDefault="00067A10" w:rsidP="00C26207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Assay reproducibility (see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2D-E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S6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72A2BBCD" w14:textId="1E4BB847" w:rsidR="00C26207" w:rsidRPr="00C26207" w:rsidRDefault="00C26207" w:rsidP="00C26207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Bootstrapping</w:t>
      </w:r>
    </w:p>
    <w:p w14:paraId="6B582539" w14:textId="0B3B9F60" w:rsidR="00C26207" w:rsidRDefault="00C26207" w:rsidP="00C26207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C26207">
        <w:rPr>
          <w:i/>
          <w:iCs/>
          <w:color w:val="4472C4" w:themeColor="accent1"/>
          <w:sz w:val="20"/>
          <w:szCs w:val="20"/>
          <w:lang w:val="en-IN"/>
        </w:rPr>
        <w:t xml:space="preserve">Computation of </w:t>
      </w:r>
      <w:r>
        <w:rPr>
          <w:i/>
          <w:iCs/>
          <w:color w:val="4472C4" w:themeColor="accent1"/>
          <w:sz w:val="20"/>
          <w:szCs w:val="20"/>
          <w:lang w:val="en-IN"/>
        </w:rPr>
        <w:t>seroprevalence per month</w:t>
      </w:r>
      <w:r w:rsidR="003D65DB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3D65DB" w:rsidRPr="003D65DB">
        <w:rPr>
          <w:b/>
          <w:bCs/>
          <w:i/>
          <w:iCs/>
          <w:color w:val="4472C4" w:themeColor="accent1"/>
          <w:sz w:val="20"/>
          <w:szCs w:val="20"/>
          <w:lang w:val="en-IN"/>
        </w:rPr>
        <w:t>Table 1</w:t>
      </w:r>
      <w:r w:rsidR="003D65DB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6C0D2B37" w14:textId="53FE92D3" w:rsidR="00C26207" w:rsidRPr="00C26207" w:rsidRDefault="00C26207" w:rsidP="00C26207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Association of TRABI data with clinical and demographic information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067A10"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S4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5F141129" w14:textId="1E55B0D6" w:rsidR="007D03C4" w:rsidRPr="007D4241" w:rsidRDefault="00AD1AAF" w:rsidP="007D03C4">
      <w:pPr>
        <w:pStyle w:val="ListParagraph"/>
        <w:numPr>
          <w:ilvl w:val="1"/>
          <w:numId w:val="4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REPRODUCTION IN</w:t>
      </w:r>
      <w:r w:rsidR="007D03C4" w:rsidRPr="007D4241">
        <w:rPr>
          <w:color w:val="ED7D31" w:themeColor="accent2"/>
          <w:lang w:val="en-IN"/>
        </w:rPr>
        <w:t xml:space="preserve"> PYTHON (lead: </w:t>
      </w:r>
      <w:r w:rsidR="007D03C4" w:rsidRPr="00BE6811">
        <w:rPr>
          <w:color w:val="ED7D31" w:themeColor="accent2"/>
          <w:lang w:val="en-IN"/>
        </w:rPr>
        <w:t xml:space="preserve">Raphaël </w:t>
      </w:r>
      <w:proofErr w:type="spellStart"/>
      <w:r w:rsidR="007D03C4" w:rsidRPr="00BE6811">
        <w:rPr>
          <w:color w:val="ED7D31" w:themeColor="accent2"/>
          <w:lang w:val="en-IN"/>
        </w:rPr>
        <w:t>Jacquat</w:t>
      </w:r>
      <w:proofErr w:type="spellEnd"/>
      <w:r w:rsidR="007D03C4" w:rsidRPr="00BE6811">
        <w:rPr>
          <w:color w:val="ED7D31" w:themeColor="accent2"/>
          <w:lang w:val="en-IN"/>
        </w:rPr>
        <w:t>)</w:t>
      </w:r>
    </w:p>
    <w:p w14:paraId="1C908842" w14:textId="7A88717E" w:rsidR="00C26207" w:rsidRPr="00EA53E1" w:rsidRDefault="00C26207" w:rsidP="00C26207">
      <w:pPr>
        <w:pStyle w:val="ListParagraph"/>
        <w:numPr>
          <w:ilvl w:val="2"/>
          <w:numId w:val="4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Python</w:t>
      </w:r>
    </w:p>
    <w:p w14:paraId="3408B50F" w14:textId="77777777" w:rsidR="00507A2D" w:rsidRPr="00C26207" w:rsidRDefault="00507A2D" w:rsidP="00507A2D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C26207">
        <w:rPr>
          <w:i/>
          <w:iCs/>
          <w:color w:val="4472C4" w:themeColor="accent1"/>
          <w:sz w:val="20"/>
          <w:szCs w:val="20"/>
          <w:lang w:val="en-IN"/>
        </w:rPr>
        <w:t>Establishment of TRABI technology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1C-D</w:t>
      </w:r>
      <w:r w:rsidRPr="00067A10"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>
        <w:rPr>
          <w:b/>
          <w:bCs/>
          <w:i/>
          <w:iCs/>
          <w:color w:val="4472C4" w:themeColor="accent1"/>
          <w:sz w:val="20"/>
          <w:szCs w:val="20"/>
          <w:lang w:val="en-IN"/>
        </w:rPr>
        <w:t>Fig. S2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507A2D">
        <w:rPr>
          <w:b/>
          <w:bCs/>
          <w:i/>
          <w:iCs/>
          <w:color w:val="4472C4" w:themeColor="accent1"/>
          <w:sz w:val="20"/>
          <w:szCs w:val="20"/>
          <w:lang w:val="en-IN"/>
        </w:rPr>
        <w:t>Table S1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1CC3E506" w14:textId="77777777" w:rsidR="00000A9F" w:rsidRPr="00067A10" w:rsidRDefault="00000A9F" w:rsidP="00000A9F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C26207">
        <w:rPr>
          <w:i/>
          <w:iCs/>
          <w:color w:val="4472C4" w:themeColor="accent1"/>
          <w:sz w:val="20"/>
          <w:szCs w:val="20"/>
          <w:lang w:val="en-IN"/>
        </w:rPr>
        <w:t>QDA- and LDA-based approaches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 and c</w:t>
      </w:r>
      <w:r w:rsidRPr="00C26207">
        <w:rPr>
          <w:i/>
          <w:iCs/>
          <w:color w:val="4472C4" w:themeColor="accent1"/>
          <w:sz w:val="20"/>
          <w:szCs w:val="20"/>
          <w:lang w:val="en-IN"/>
        </w:rPr>
        <w:t>omputation of posterior probability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 </w:t>
      </w:r>
      <w:r w:rsidRPr="00067A10">
        <w:rPr>
          <w:i/>
          <w:iCs/>
          <w:color w:val="4472C4" w:themeColor="accent1"/>
          <w:sz w:val="20"/>
          <w:szCs w:val="20"/>
          <w:lang w:val="en-IN"/>
        </w:rPr>
        <w:t xml:space="preserve">(see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2A-B</w:t>
      </w:r>
      <w:r w:rsidRPr="00067A10"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S5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000A9F">
        <w:rPr>
          <w:b/>
          <w:bCs/>
          <w:i/>
          <w:iCs/>
          <w:color w:val="4472C4" w:themeColor="accent1"/>
          <w:sz w:val="20"/>
          <w:szCs w:val="20"/>
          <w:lang w:val="en-IN"/>
        </w:rPr>
        <w:t>Fig. 6A</w:t>
      </w:r>
      <w:r w:rsidRPr="00067A1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1C8C96D4" w14:textId="77777777" w:rsidR="00067A10" w:rsidRDefault="00067A10" w:rsidP="00067A10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Assay reproducibility (see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2D-E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S6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58830CD2" w14:textId="77777777" w:rsidR="00067A10" w:rsidRPr="00C26207" w:rsidRDefault="00067A10" w:rsidP="00067A10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Bootstrapping</w:t>
      </w:r>
    </w:p>
    <w:p w14:paraId="6EFDF3A9" w14:textId="77777777" w:rsidR="003D65DB" w:rsidRDefault="003D65DB" w:rsidP="003D65DB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C26207">
        <w:rPr>
          <w:i/>
          <w:iCs/>
          <w:color w:val="4472C4" w:themeColor="accent1"/>
          <w:sz w:val="20"/>
          <w:szCs w:val="20"/>
          <w:lang w:val="en-IN"/>
        </w:rPr>
        <w:t xml:space="preserve">Computation of 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seroprevalence per month (see </w:t>
      </w:r>
      <w:r w:rsidRPr="003D65DB">
        <w:rPr>
          <w:b/>
          <w:bCs/>
          <w:i/>
          <w:iCs/>
          <w:color w:val="4472C4" w:themeColor="accent1"/>
          <w:sz w:val="20"/>
          <w:szCs w:val="20"/>
          <w:lang w:val="en-IN"/>
        </w:rPr>
        <w:t>Table 1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49FDD87C" w14:textId="0B6BB684" w:rsidR="00067A10" w:rsidRPr="00C26207" w:rsidRDefault="00067A10" w:rsidP="00067A10">
      <w:pPr>
        <w:pStyle w:val="ListParagraph"/>
        <w:numPr>
          <w:ilvl w:val="2"/>
          <w:numId w:val="4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Association of TRABI data with clinical and demographic information (see </w:t>
      </w:r>
      <w:r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S4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480D26A2" w14:textId="434221E8" w:rsidR="00ED5438" w:rsidRDefault="00ED5438" w:rsidP="007D03C4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2F34CF">
        <w:rPr>
          <w:b/>
          <w:bCs/>
          <w:lang w:val="en-IN"/>
        </w:rPr>
        <w:t>REFINED SEROPREVALENCE + DEMOGRAPHY + CUMULATIVE INCIDENCE</w:t>
      </w:r>
    </w:p>
    <w:p w14:paraId="21D9A4C9" w14:textId="3945123B" w:rsidR="001E3AA0" w:rsidRDefault="001E3AA0" w:rsidP="001E3AA0">
      <w:pPr>
        <w:pStyle w:val="ListParagraph"/>
        <w:numPr>
          <w:ilvl w:val="1"/>
          <w:numId w:val="4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lastRenderedPageBreak/>
        <w:t>MAIN SCRIPTS</w:t>
      </w:r>
      <w:r w:rsidRPr="007D4241">
        <w:rPr>
          <w:color w:val="ED7D31" w:themeColor="accent2"/>
          <w:lang w:val="en-IN"/>
        </w:rPr>
        <w:t xml:space="preserve"> (lead: Julien </w:t>
      </w:r>
      <w:proofErr w:type="spellStart"/>
      <w:r w:rsidRPr="007D4241">
        <w:rPr>
          <w:color w:val="ED7D31" w:themeColor="accent2"/>
          <w:lang w:val="en-IN"/>
        </w:rPr>
        <w:t>Riou</w:t>
      </w:r>
      <w:proofErr w:type="spellEnd"/>
      <w:r w:rsidRPr="007D4241">
        <w:rPr>
          <w:color w:val="ED7D31" w:themeColor="accent2"/>
          <w:lang w:val="en-IN"/>
        </w:rPr>
        <w:t>)</w:t>
      </w:r>
    </w:p>
    <w:p w14:paraId="6DE729AE" w14:textId="77777777" w:rsidR="001E3AA0" w:rsidRPr="00EA53E1" w:rsidRDefault="001E3AA0" w:rsidP="001E3AA0">
      <w:pPr>
        <w:pStyle w:val="ListParagraph"/>
        <w:numPr>
          <w:ilvl w:val="2"/>
          <w:numId w:val="4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R</w:t>
      </w:r>
    </w:p>
    <w:p w14:paraId="4CA611B4" w14:textId="77777777" w:rsidR="001E3AA0" w:rsidRPr="001E3AA0" w:rsidRDefault="001E3AA0" w:rsidP="001E3AA0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1E3AA0">
        <w:rPr>
          <w:i/>
          <w:iCs/>
          <w:color w:val="4472C4" w:themeColor="accent1"/>
          <w:sz w:val="20"/>
          <w:szCs w:val="20"/>
          <w:lang w:val="en-IN"/>
        </w:rPr>
        <w:t xml:space="preserve">Refined seroprevalence assessment based on main script shown in 1.1 (see. </w:t>
      </w:r>
      <w:r w:rsidRPr="001E3AA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2C</w:t>
      </w:r>
      <w:r w:rsidRPr="001E3AA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1A020F71" w14:textId="77777777" w:rsidR="001E3AA0" w:rsidRDefault="001E3AA0" w:rsidP="001E3AA0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Population-based age- and sex-adjustment on cohorts and exclusion of COVID-19 patients (see </w:t>
      </w:r>
      <w:r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3A-C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S7A-B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5C172EDA" w14:textId="77777777" w:rsidR="001E3AA0" w:rsidRPr="0086473B" w:rsidRDefault="001E3AA0" w:rsidP="001E3AA0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Characterisation of cohorts used in seroprevalence study (see </w:t>
      </w:r>
      <w:r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S3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, </w:t>
      </w:r>
      <w:r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S4C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006D4202" w14:textId="77777777" w:rsidR="001E3AA0" w:rsidRPr="0086473B" w:rsidRDefault="001E3AA0" w:rsidP="001E3AA0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Analysis of antibody waning (see </w:t>
      </w:r>
      <w:r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3D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29D93CB3" w14:textId="1F4F27F7" w:rsidR="001E3AA0" w:rsidRPr="001E3AA0" w:rsidRDefault="001E3AA0" w:rsidP="001E3AA0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 xml:space="preserve">Calculation of cumulative incidence using modified SEIR model (see </w:t>
      </w:r>
      <w:r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3E</w:t>
      </w:r>
      <w:r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6DC7CFD9" w14:textId="6429427B" w:rsidR="001E3AA0" w:rsidRDefault="001E3AA0" w:rsidP="001E3AA0">
      <w:pPr>
        <w:pStyle w:val="ListParagraph"/>
        <w:numPr>
          <w:ilvl w:val="1"/>
          <w:numId w:val="4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 xml:space="preserve">REPORT </w:t>
      </w:r>
      <w:r w:rsidRPr="007D4241">
        <w:rPr>
          <w:color w:val="ED7D31" w:themeColor="accent2"/>
          <w:lang w:val="en-IN"/>
        </w:rPr>
        <w:t xml:space="preserve">(lead: Julien </w:t>
      </w:r>
      <w:proofErr w:type="spellStart"/>
      <w:r w:rsidRPr="007D4241">
        <w:rPr>
          <w:color w:val="ED7D31" w:themeColor="accent2"/>
          <w:lang w:val="en-IN"/>
        </w:rPr>
        <w:t>Riou</w:t>
      </w:r>
      <w:proofErr w:type="spellEnd"/>
      <w:r w:rsidRPr="007D4241">
        <w:rPr>
          <w:color w:val="ED7D31" w:themeColor="accent2"/>
          <w:lang w:val="en-IN"/>
        </w:rPr>
        <w:t>)</w:t>
      </w:r>
    </w:p>
    <w:p w14:paraId="22183493" w14:textId="77777777" w:rsidR="00D73976" w:rsidRPr="00EA53E1" w:rsidRDefault="00D73976" w:rsidP="00D73976">
      <w:pPr>
        <w:pStyle w:val="ListParagraph"/>
        <w:numPr>
          <w:ilvl w:val="2"/>
          <w:numId w:val="4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R</w:t>
      </w:r>
    </w:p>
    <w:p w14:paraId="03CD3EE2" w14:textId="5746D5EC" w:rsidR="001E3AA0" w:rsidRPr="001E3AA0" w:rsidRDefault="00D73976" w:rsidP="001E3AA0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1E3AA0">
        <w:rPr>
          <w:i/>
          <w:iCs/>
          <w:color w:val="4472C4" w:themeColor="accent1"/>
          <w:sz w:val="20"/>
          <w:szCs w:val="20"/>
          <w:lang w:val="en-IN"/>
        </w:rPr>
        <w:t xml:space="preserve">A main </w:t>
      </w:r>
      <w:r w:rsidR="00156D04" w:rsidRPr="001E3AA0">
        <w:rPr>
          <w:i/>
          <w:iCs/>
          <w:color w:val="4472C4" w:themeColor="accent1"/>
          <w:sz w:val="20"/>
          <w:szCs w:val="20"/>
          <w:lang w:val="en-IN"/>
        </w:rPr>
        <w:t xml:space="preserve">report </w:t>
      </w:r>
      <w:r w:rsidRPr="001E3AA0">
        <w:rPr>
          <w:i/>
          <w:iCs/>
          <w:color w:val="4472C4" w:themeColor="accent1"/>
          <w:sz w:val="20"/>
          <w:szCs w:val="20"/>
          <w:lang w:val="en-IN"/>
        </w:rPr>
        <w:t>script refers to data prepared</w:t>
      </w:r>
      <w:r w:rsidR="001E3AA0">
        <w:rPr>
          <w:i/>
          <w:iCs/>
          <w:color w:val="4472C4" w:themeColor="accent1"/>
          <w:sz w:val="20"/>
          <w:szCs w:val="20"/>
          <w:lang w:val="en-IN"/>
        </w:rPr>
        <w:t xml:space="preserve"> in subscripts, mostly for figure generation</w:t>
      </w:r>
    </w:p>
    <w:p w14:paraId="3B4F140F" w14:textId="5DD97B22" w:rsidR="00ED5438" w:rsidRPr="002F34CF" w:rsidRDefault="00ED5438" w:rsidP="00D73976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2F34CF">
        <w:rPr>
          <w:b/>
          <w:bCs/>
          <w:lang w:val="en-IN"/>
        </w:rPr>
        <w:t>DISEASE MINING</w:t>
      </w:r>
    </w:p>
    <w:p w14:paraId="7B55BEC9" w14:textId="275709AC" w:rsidR="007D03C4" w:rsidRPr="007D4241" w:rsidRDefault="00BE6811" w:rsidP="00D73976">
      <w:pPr>
        <w:pStyle w:val="ListParagraph"/>
        <w:numPr>
          <w:ilvl w:val="1"/>
          <w:numId w:val="8"/>
        </w:num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BAYES</w:t>
      </w:r>
      <w:r w:rsidR="00C21AE2">
        <w:rPr>
          <w:color w:val="ED7D31" w:themeColor="accent2"/>
          <w:lang w:val="en-IN"/>
        </w:rPr>
        <w:t>IAN</w:t>
      </w:r>
      <w:r w:rsidR="007D03C4" w:rsidRPr="007D4241">
        <w:rPr>
          <w:color w:val="ED7D31" w:themeColor="accent2"/>
          <w:lang w:val="en-IN"/>
        </w:rPr>
        <w:t xml:space="preserve"> LOGISTIC REGRESSION (lead: Julien </w:t>
      </w:r>
      <w:proofErr w:type="spellStart"/>
      <w:r w:rsidR="007D03C4" w:rsidRPr="007D4241">
        <w:rPr>
          <w:color w:val="ED7D31" w:themeColor="accent2"/>
          <w:lang w:val="en-IN"/>
        </w:rPr>
        <w:t>Riou</w:t>
      </w:r>
      <w:proofErr w:type="spellEnd"/>
      <w:r w:rsidR="007D03C4" w:rsidRPr="007D4241">
        <w:rPr>
          <w:color w:val="ED7D31" w:themeColor="accent2"/>
          <w:lang w:val="en-IN"/>
        </w:rPr>
        <w:t>)</w:t>
      </w:r>
    </w:p>
    <w:p w14:paraId="6187396D" w14:textId="77777777" w:rsidR="00610714" w:rsidRPr="00EA53E1" w:rsidRDefault="00610714" w:rsidP="00D73976">
      <w:pPr>
        <w:pStyle w:val="ListParagraph"/>
        <w:numPr>
          <w:ilvl w:val="2"/>
          <w:numId w:val="8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R</w:t>
      </w:r>
    </w:p>
    <w:p w14:paraId="1BB2F227" w14:textId="53FC32C4" w:rsidR="00610714" w:rsidRPr="00C26207" w:rsidRDefault="00610714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Deployment of multiple logistic regression model</w:t>
      </w:r>
      <w:r w:rsidR="00EA53E1">
        <w:rPr>
          <w:i/>
          <w:iCs/>
          <w:color w:val="4472C4" w:themeColor="accent1"/>
          <w:sz w:val="20"/>
          <w:szCs w:val="20"/>
          <w:lang w:val="en-IN"/>
        </w:rPr>
        <w:t xml:space="preserve"> in Bayesian frame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 to correlate ICD-10 codes, age, and sex with posterior probability of being SARS-CoV-2 seropositive using STAN</w:t>
      </w:r>
      <w:r w:rsidR="0097227C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97227C"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5A</w:t>
      </w:r>
      <w:r w:rsidR="0097227C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32FCEF54" w14:textId="2CB7713E" w:rsidR="007D03C4" w:rsidRPr="007D4241" w:rsidRDefault="007D03C4" w:rsidP="00D73976">
      <w:pPr>
        <w:pStyle w:val="ListParagraph"/>
        <w:numPr>
          <w:ilvl w:val="1"/>
          <w:numId w:val="8"/>
        </w:numPr>
        <w:rPr>
          <w:color w:val="ED7D31" w:themeColor="accent2"/>
          <w:lang w:val="en-IN"/>
        </w:rPr>
      </w:pPr>
      <w:r w:rsidRPr="007D4241">
        <w:rPr>
          <w:color w:val="ED7D31" w:themeColor="accent2"/>
          <w:lang w:val="en-IN"/>
        </w:rPr>
        <w:t>DIMENSIONALITY REDUCTION (lead: Marc Emmenegger)</w:t>
      </w:r>
    </w:p>
    <w:p w14:paraId="12DBE684" w14:textId="77777777" w:rsidR="00F84307" w:rsidRPr="00EA53E1" w:rsidRDefault="00F84307" w:rsidP="00D73976">
      <w:pPr>
        <w:pStyle w:val="ListParagraph"/>
        <w:numPr>
          <w:ilvl w:val="2"/>
          <w:numId w:val="8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R</w:t>
      </w:r>
    </w:p>
    <w:p w14:paraId="166DFF60" w14:textId="3C22A33C" w:rsidR="00F84307" w:rsidRDefault="00F84307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 w:rsidRPr="00F84307">
        <w:rPr>
          <w:i/>
          <w:iCs/>
          <w:color w:val="4472C4" w:themeColor="accent1"/>
          <w:sz w:val="20"/>
          <w:szCs w:val="20"/>
          <w:lang w:val="en-IN"/>
        </w:rPr>
        <w:t>Deployment of P</w:t>
      </w:r>
      <w:r>
        <w:rPr>
          <w:i/>
          <w:iCs/>
          <w:color w:val="4472C4" w:themeColor="accent1"/>
          <w:sz w:val="20"/>
          <w:szCs w:val="20"/>
          <w:lang w:val="en-IN"/>
        </w:rPr>
        <w:t>CA on ICD-10 codes for seropositive and seronegative individuals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067A10"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S8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25703CA0" w14:textId="7B269810" w:rsidR="00F84307" w:rsidRPr="00F90821" w:rsidRDefault="00F84307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D</w:t>
      </w:r>
      <w:r w:rsidRPr="00F84307">
        <w:rPr>
          <w:i/>
          <w:iCs/>
          <w:color w:val="4472C4" w:themeColor="accent1"/>
          <w:sz w:val="20"/>
          <w:szCs w:val="20"/>
          <w:lang w:val="en-IN"/>
        </w:rPr>
        <w:t>eployment of UMAP</w:t>
      </w:r>
      <w:r>
        <w:rPr>
          <w:i/>
          <w:iCs/>
          <w:color w:val="4472C4" w:themeColor="accent1"/>
          <w:sz w:val="20"/>
          <w:szCs w:val="20"/>
          <w:lang w:val="en-IN"/>
        </w:rPr>
        <w:t xml:space="preserve"> on ICD-10 codes</w:t>
      </w:r>
      <w:r w:rsidRPr="00F84307">
        <w:rPr>
          <w:i/>
          <w:iCs/>
          <w:color w:val="4472C4" w:themeColor="accent1"/>
          <w:sz w:val="20"/>
          <w:szCs w:val="20"/>
          <w:lang w:val="en-IN"/>
        </w:rPr>
        <w:t xml:space="preserve"> </w:t>
      </w:r>
      <w:r>
        <w:rPr>
          <w:i/>
          <w:iCs/>
          <w:color w:val="4472C4" w:themeColor="accent1"/>
          <w:sz w:val="20"/>
          <w:szCs w:val="20"/>
          <w:lang w:val="en-IN"/>
        </w:rPr>
        <w:t>for seropositive and seronegative individuals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067A10" w:rsidRPr="00067A10">
        <w:rPr>
          <w:b/>
          <w:bCs/>
          <w:i/>
          <w:iCs/>
          <w:color w:val="4472C4" w:themeColor="accent1"/>
          <w:sz w:val="20"/>
          <w:szCs w:val="20"/>
          <w:lang w:val="en-IN"/>
        </w:rPr>
        <w:t>Fig. S8</w:t>
      </w:r>
      <w:r w:rsidR="00067A10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27B911BE" w14:textId="2A21152C" w:rsidR="00ED5438" w:rsidRPr="0015424C" w:rsidRDefault="00ED5438" w:rsidP="00D73976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15424C">
        <w:rPr>
          <w:b/>
          <w:bCs/>
          <w:lang w:val="en-IN"/>
        </w:rPr>
        <w:t>SAMPLE PROVENANCE MAP</w:t>
      </w:r>
      <w:r w:rsidR="007D03C4" w:rsidRPr="0015424C">
        <w:rPr>
          <w:b/>
          <w:bCs/>
          <w:lang w:val="en-IN"/>
        </w:rPr>
        <w:t xml:space="preserve"> </w:t>
      </w:r>
    </w:p>
    <w:p w14:paraId="54767195" w14:textId="7C6C3DA0" w:rsidR="0015424C" w:rsidRPr="007D4241" w:rsidRDefault="0015424C" w:rsidP="00D73976">
      <w:pPr>
        <w:pStyle w:val="ListParagraph"/>
        <w:numPr>
          <w:ilvl w:val="1"/>
          <w:numId w:val="8"/>
        </w:numPr>
        <w:rPr>
          <w:color w:val="ED7D31" w:themeColor="accent2"/>
          <w:lang w:val="en-IN"/>
        </w:rPr>
      </w:pPr>
      <w:r w:rsidRPr="007D4241">
        <w:rPr>
          <w:color w:val="ED7D31" w:themeColor="accent2"/>
          <w:lang w:val="en-IN"/>
        </w:rPr>
        <w:t xml:space="preserve">MUNICIPALITY DATA (lead: Raphaël </w:t>
      </w:r>
      <w:proofErr w:type="spellStart"/>
      <w:r w:rsidRPr="007D4241">
        <w:rPr>
          <w:color w:val="ED7D31" w:themeColor="accent2"/>
          <w:lang w:val="en-IN"/>
        </w:rPr>
        <w:t>Jacquat</w:t>
      </w:r>
      <w:proofErr w:type="spellEnd"/>
      <w:r w:rsidRPr="007D4241">
        <w:rPr>
          <w:color w:val="ED7D31" w:themeColor="accent2"/>
          <w:lang w:val="en-IN"/>
        </w:rPr>
        <w:t>)</w:t>
      </w:r>
    </w:p>
    <w:p w14:paraId="0F53C579" w14:textId="4ECAEB52" w:rsidR="0015424C" w:rsidRDefault="0015424C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Used to generate the maps</w:t>
      </w:r>
    </w:p>
    <w:p w14:paraId="1377EA5E" w14:textId="295B42B0" w:rsidR="0015424C" w:rsidRPr="007D4241" w:rsidRDefault="0015424C" w:rsidP="00D73976">
      <w:pPr>
        <w:pStyle w:val="ListParagraph"/>
        <w:numPr>
          <w:ilvl w:val="1"/>
          <w:numId w:val="8"/>
        </w:numPr>
        <w:rPr>
          <w:color w:val="ED7D31" w:themeColor="accent2"/>
          <w:lang w:val="en-IN"/>
        </w:rPr>
      </w:pPr>
      <w:r w:rsidRPr="007D4241">
        <w:rPr>
          <w:color w:val="ED7D31" w:themeColor="accent2"/>
          <w:lang w:val="en-IN"/>
        </w:rPr>
        <w:t xml:space="preserve">SCRIPT (lead: Raphaël </w:t>
      </w:r>
      <w:proofErr w:type="spellStart"/>
      <w:r w:rsidRPr="007D4241">
        <w:rPr>
          <w:color w:val="ED7D31" w:themeColor="accent2"/>
          <w:lang w:val="en-IN"/>
        </w:rPr>
        <w:t>Jacquat</w:t>
      </w:r>
      <w:proofErr w:type="spellEnd"/>
      <w:r w:rsidRPr="007D4241">
        <w:rPr>
          <w:color w:val="ED7D31" w:themeColor="accent2"/>
          <w:lang w:val="en-IN"/>
        </w:rPr>
        <w:t>)</w:t>
      </w:r>
    </w:p>
    <w:p w14:paraId="2D1A33A1" w14:textId="28715625" w:rsidR="0015424C" w:rsidRPr="00EA53E1" w:rsidRDefault="0015424C" w:rsidP="00D73976">
      <w:pPr>
        <w:pStyle w:val="ListParagraph"/>
        <w:numPr>
          <w:ilvl w:val="2"/>
          <w:numId w:val="8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Python</w:t>
      </w:r>
    </w:p>
    <w:p w14:paraId="1F02A049" w14:textId="493D6E52" w:rsidR="0015424C" w:rsidRPr="0015424C" w:rsidRDefault="0015424C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Generation of geographic maps to detail the provenance of hospital patients</w:t>
      </w:r>
      <w:r w:rsidR="0097227C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97227C"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4</w:t>
      </w:r>
      <w:r w:rsidR="0097227C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45029630" w14:textId="6ABF7337" w:rsidR="00ED5438" w:rsidRPr="002F34CF" w:rsidRDefault="00ED5438" w:rsidP="00D73976">
      <w:pPr>
        <w:pStyle w:val="ListParagraph"/>
        <w:numPr>
          <w:ilvl w:val="0"/>
          <w:numId w:val="8"/>
        </w:numPr>
        <w:rPr>
          <w:b/>
          <w:bCs/>
          <w:lang w:val="en-IN"/>
        </w:rPr>
      </w:pPr>
      <w:r w:rsidRPr="002F34CF">
        <w:rPr>
          <w:b/>
          <w:bCs/>
          <w:lang w:val="en-IN"/>
        </w:rPr>
        <w:t>ONLINE HEALTH SURVEY</w:t>
      </w:r>
      <w:r w:rsidR="007D03C4" w:rsidRPr="002F34CF">
        <w:rPr>
          <w:b/>
          <w:bCs/>
          <w:lang w:val="en-IN"/>
        </w:rPr>
        <w:t xml:space="preserve"> </w:t>
      </w:r>
    </w:p>
    <w:p w14:paraId="2A339A8C" w14:textId="656BE87D" w:rsidR="00F174F7" w:rsidRPr="007D4241" w:rsidRDefault="00F174F7" w:rsidP="00D73976">
      <w:pPr>
        <w:pStyle w:val="ListParagraph"/>
        <w:numPr>
          <w:ilvl w:val="1"/>
          <w:numId w:val="8"/>
        </w:numPr>
        <w:rPr>
          <w:color w:val="ED7D31" w:themeColor="accent2"/>
          <w:lang w:val="fr-CH"/>
        </w:rPr>
      </w:pPr>
      <w:r w:rsidRPr="007D4241">
        <w:rPr>
          <w:color w:val="ED7D31" w:themeColor="accent2"/>
          <w:lang w:val="fr-CH"/>
        </w:rPr>
        <w:t>QUESTIONNAIRE CODEBOOK (</w:t>
      </w:r>
      <w:proofErr w:type="gramStart"/>
      <w:r w:rsidRPr="007D4241">
        <w:rPr>
          <w:color w:val="ED7D31" w:themeColor="accent2"/>
          <w:lang w:val="fr-CH"/>
        </w:rPr>
        <w:t>lead:</w:t>
      </w:r>
      <w:proofErr w:type="gramEnd"/>
      <w:r w:rsidRPr="007D4241">
        <w:rPr>
          <w:color w:val="ED7D31" w:themeColor="accent2"/>
          <w:lang w:val="fr-CH"/>
        </w:rPr>
        <w:t xml:space="preserve"> </w:t>
      </w:r>
      <w:proofErr w:type="spellStart"/>
      <w:r w:rsidRPr="007D4241">
        <w:rPr>
          <w:color w:val="ED7D31" w:themeColor="accent2"/>
          <w:lang w:val="fr-CH"/>
        </w:rPr>
        <w:t>Dominik</w:t>
      </w:r>
      <w:proofErr w:type="spellEnd"/>
      <w:r w:rsidRPr="007D4241">
        <w:rPr>
          <w:color w:val="ED7D31" w:themeColor="accent2"/>
          <w:lang w:val="fr-CH"/>
        </w:rPr>
        <w:t xml:space="preserve"> </w:t>
      </w:r>
      <w:proofErr w:type="spellStart"/>
      <w:r w:rsidRPr="007D4241">
        <w:rPr>
          <w:color w:val="ED7D31" w:themeColor="accent2"/>
          <w:lang w:val="fr-CH"/>
        </w:rPr>
        <w:t>Menges</w:t>
      </w:r>
      <w:proofErr w:type="spellEnd"/>
      <w:r w:rsidRPr="007D4241">
        <w:rPr>
          <w:color w:val="ED7D31" w:themeColor="accent2"/>
          <w:lang w:val="fr-CH"/>
        </w:rPr>
        <w:t xml:space="preserve">, Tala </w:t>
      </w:r>
      <w:proofErr w:type="spellStart"/>
      <w:r w:rsidRPr="007D4241">
        <w:rPr>
          <w:color w:val="ED7D31" w:themeColor="accent2"/>
          <w:lang w:val="fr-CH"/>
        </w:rPr>
        <w:t>Ballouz</w:t>
      </w:r>
      <w:proofErr w:type="spellEnd"/>
      <w:r w:rsidRPr="007D4241">
        <w:rPr>
          <w:color w:val="ED7D31" w:themeColor="accent2"/>
          <w:lang w:val="fr-CH"/>
        </w:rPr>
        <w:t>, Marc Emmenegger)</w:t>
      </w:r>
    </w:p>
    <w:p w14:paraId="77C2F440" w14:textId="1C3E5A18" w:rsidR="00374399" w:rsidRPr="00374399" w:rsidRDefault="00374399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The codebook containing all questions asked in the follow-up online health survey</w:t>
      </w:r>
    </w:p>
    <w:p w14:paraId="793D7377" w14:textId="1F130338" w:rsidR="00F174F7" w:rsidRPr="007D4241" w:rsidRDefault="00F174F7" w:rsidP="00D73976">
      <w:pPr>
        <w:pStyle w:val="ListParagraph"/>
        <w:numPr>
          <w:ilvl w:val="1"/>
          <w:numId w:val="8"/>
        </w:numPr>
        <w:rPr>
          <w:color w:val="ED7D31" w:themeColor="accent2"/>
          <w:lang w:val="en-IN"/>
        </w:rPr>
      </w:pPr>
      <w:r w:rsidRPr="007D4241">
        <w:rPr>
          <w:color w:val="ED7D31" w:themeColor="accent2"/>
          <w:lang w:val="en-IN"/>
        </w:rPr>
        <w:t xml:space="preserve">SCRIPT (lead: Dominik Menges, Tala </w:t>
      </w:r>
      <w:proofErr w:type="spellStart"/>
      <w:r w:rsidRPr="007D4241">
        <w:rPr>
          <w:color w:val="ED7D31" w:themeColor="accent2"/>
          <w:lang w:val="en-IN"/>
        </w:rPr>
        <w:t>Ballouz</w:t>
      </w:r>
      <w:proofErr w:type="spellEnd"/>
      <w:r w:rsidRPr="007D4241">
        <w:rPr>
          <w:color w:val="ED7D31" w:themeColor="accent2"/>
          <w:lang w:val="en-IN"/>
        </w:rPr>
        <w:t>)</w:t>
      </w:r>
    </w:p>
    <w:p w14:paraId="376F2D2C" w14:textId="57FC918E" w:rsidR="00374399" w:rsidRPr="00EA53E1" w:rsidRDefault="00374399" w:rsidP="00D73976">
      <w:pPr>
        <w:pStyle w:val="ListParagraph"/>
        <w:numPr>
          <w:ilvl w:val="2"/>
          <w:numId w:val="8"/>
        </w:numPr>
        <w:rPr>
          <w:i/>
          <w:iCs/>
          <w:color w:val="FF0000"/>
          <w:sz w:val="20"/>
          <w:szCs w:val="20"/>
          <w:lang w:val="en-IN"/>
        </w:rPr>
      </w:pPr>
      <w:r w:rsidRPr="00EA53E1">
        <w:rPr>
          <w:i/>
          <w:iCs/>
          <w:color w:val="FF0000"/>
          <w:sz w:val="20"/>
          <w:szCs w:val="20"/>
          <w:lang w:val="en-IN"/>
        </w:rPr>
        <w:t>Coded in R</w:t>
      </w:r>
    </w:p>
    <w:p w14:paraId="0F68DFF6" w14:textId="402684D8" w:rsidR="00374399" w:rsidRDefault="00374399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Characterisation of the cohort</w:t>
      </w:r>
      <w:r w:rsidR="001102AB">
        <w:rPr>
          <w:i/>
          <w:iCs/>
          <w:color w:val="4472C4" w:themeColor="accent1"/>
          <w:sz w:val="20"/>
          <w:szCs w:val="20"/>
          <w:lang w:val="en-IN"/>
        </w:rPr>
        <w:t xml:space="preserve"> (see</w:t>
      </w:r>
      <w:r w:rsidR="001102AB" w:rsidRPr="001102AB">
        <w:rPr>
          <w:b/>
          <w:bCs/>
          <w:i/>
          <w:iCs/>
          <w:color w:val="4472C4" w:themeColor="accent1"/>
          <w:sz w:val="20"/>
          <w:szCs w:val="20"/>
          <w:lang w:val="en-IN"/>
        </w:rPr>
        <w:t xml:space="preserve"> </w:t>
      </w:r>
      <w:r w:rsidR="001102AB" w:rsidRPr="009B2B11">
        <w:rPr>
          <w:b/>
          <w:bCs/>
          <w:i/>
          <w:iCs/>
          <w:color w:val="4472C4" w:themeColor="accent1"/>
          <w:sz w:val="20"/>
          <w:szCs w:val="20"/>
          <w:lang w:val="en-IN"/>
        </w:rPr>
        <w:t>Table 2</w:t>
      </w:r>
      <w:r w:rsidR="001102AB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04597F3E" w14:textId="22BD92BE" w:rsidR="00374399" w:rsidRPr="00374399" w:rsidRDefault="00374399" w:rsidP="00D73976">
      <w:pPr>
        <w:pStyle w:val="ListParagraph"/>
        <w:numPr>
          <w:ilvl w:val="2"/>
          <w:numId w:val="8"/>
        </w:numPr>
        <w:rPr>
          <w:i/>
          <w:iCs/>
          <w:color w:val="4472C4" w:themeColor="accent1"/>
          <w:sz w:val="20"/>
          <w:szCs w:val="20"/>
          <w:lang w:val="en-IN"/>
        </w:rPr>
      </w:pPr>
      <w:r>
        <w:rPr>
          <w:i/>
          <w:iCs/>
          <w:color w:val="4472C4" w:themeColor="accent1"/>
          <w:sz w:val="20"/>
          <w:szCs w:val="20"/>
          <w:lang w:val="en-IN"/>
        </w:rPr>
        <w:t>Analysis of the questionnaire</w:t>
      </w:r>
      <w:r w:rsidR="0097227C">
        <w:rPr>
          <w:i/>
          <w:iCs/>
          <w:color w:val="4472C4" w:themeColor="accent1"/>
          <w:sz w:val="20"/>
          <w:szCs w:val="20"/>
          <w:lang w:val="en-IN"/>
        </w:rPr>
        <w:t xml:space="preserve"> (see </w:t>
      </w:r>
      <w:r w:rsidR="0097227C" w:rsidRPr="0097227C">
        <w:rPr>
          <w:b/>
          <w:bCs/>
          <w:i/>
          <w:iCs/>
          <w:color w:val="4472C4" w:themeColor="accent1"/>
          <w:sz w:val="20"/>
          <w:szCs w:val="20"/>
          <w:lang w:val="en-IN"/>
        </w:rPr>
        <w:t>Fig. 5D-J</w:t>
      </w:r>
      <w:r w:rsidR="00BE204B">
        <w:rPr>
          <w:i/>
          <w:iCs/>
          <w:color w:val="4472C4" w:themeColor="accent1"/>
          <w:sz w:val="20"/>
          <w:szCs w:val="20"/>
          <w:lang w:val="en-IN"/>
        </w:rPr>
        <w:t>,</w:t>
      </w:r>
      <w:r w:rsidR="001102AB">
        <w:rPr>
          <w:i/>
          <w:iCs/>
          <w:color w:val="4472C4" w:themeColor="accent1"/>
          <w:sz w:val="20"/>
          <w:szCs w:val="20"/>
          <w:lang w:val="en-IN"/>
        </w:rPr>
        <w:t xml:space="preserve"> </w:t>
      </w:r>
      <w:r w:rsidR="00BE204B" w:rsidRPr="00BE204B">
        <w:rPr>
          <w:b/>
          <w:bCs/>
          <w:i/>
          <w:iCs/>
          <w:color w:val="4472C4" w:themeColor="accent1"/>
          <w:sz w:val="20"/>
          <w:szCs w:val="20"/>
          <w:lang w:val="en-IN"/>
        </w:rPr>
        <w:t>Tables S2-S5</w:t>
      </w:r>
      <w:r w:rsidR="0097227C">
        <w:rPr>
          <w:i/>
          <w:iCs/>
          <w:color w:val="4472C4" w:themeColor="accent1"/>
          <w:sz w:val="20"/>
          <w:szCs w:val="20"/>
          <w:lang w:val="en-IN"/>
        </w:rPr>
        <w:t>)</w:t>
      </w:r>
    </w:p>
    <w:p w14:paraId="788174E2" w14:textId="30624F0D" w:rsidR="00F174F7" w:rsidRDefault="005F2D2D" w:rsidP="00964829">
      <w:pPr>
        <w:jc w:val="both"/>
        <w:rPr>
          <w:lang w:val="en-IN"/>
        </w:rPr>
      </w:pPr>
      <w:r w:rsidRPr="005F2D2D">
        <w:rPr>
          <w:lang w:val="en-IN"/>
        </w:rPr>
        <w:t>The methods related to the scripts are detailed in the study.</w:t>
      </w:r>
      <w:r>
        <w:rPr>
          <w:lang w:val="en-IN"/>
        </w:rPr>
        <w:t xml:space="preserve"> </w:t>
      </w:r>
      <w:r w:rsidR="00964829">
        <w:rPr>
          <w:lang w:val="en-IN"/>
        </w:rPr>
        <w:t>The provisioning of code may enable the development of analytical tools based on those we have published. If bits of code shall be used for other studies, please</w:t>
      </w:r>
    </w:p>
    <w:p w14:paraId="1E9948A6" w14:textId="05B0D02D" w:rsidR="00964829" w:rsidRDefault="005F2D2D" w:rsidP="00964829">
      <w:pPr>
        <w:pStyle w:val="ListParagraph"/>
        <w:numPr>
          <w:ilvl w:val="0"/>
          <w:numId w:val="5"/>
        </w:numPr>
        <w:jc w:val="both"/>
        <w:rPr>
          <w:lang w:val="en-IN"/>
        </w:rPr>
      </w:pPr>
      <w:r>
        <w:rPr>
          <w:lang w:val="en-IN"/>
        </w:rPr>
        <w:t>g</w:t>
      </w:r>
      <w:r w:rsidR="00964829">
        <w:rPr>
          <w:lang w:val="en-IN"/>
        </w:rPr>
        <w:t>et in touch with the lead contact of the study</w:t>
      </w:r>
      <w:r w:rsidR="00C26207">
        <w:rPr>
          <w:lang w:val="en-IN"/>
        </w:rPr>
        <w:t xml:space="preserve"> published in </w:t>
      </w:r>
      <w:proofErr w:type="spellStart"/>
      <w:r w:rsidR="00C26207">
        <w:rPr>
          <w:lang w:val="en-IN"/>
        </w:rPr>
        <w:t>iScience</w:t>
      </w:r>
      <w:proofErr w:type="spellEnd"/>
      <w:r w:rsidR="00964829">
        <w:rPr>
          <w:lang w:val="en-IN"/>
        </w:rPr>
        <w:t>.</w:t>
      </w:r>
    </w:p>
    <w:p w14:paraId="3318993A" w14:textId="25F938E3" w:rsidR="00964829" w:rsidRDefault="00964829" w:rsidP="00964829">
      <w:pPr>
        <w:pStyle w:val="ListParagraph"/>
        <w:numPr>
          <w:ilvl w:val="0"/>
          <w:numId w:val="5"/>
        </w:numPr>
        <w:jc w:val="both"/>
        <w:rPr>
          <w:lang w:val="en-IN"/>
        </w:rPr>
      </w:pPr>
      <w:r>
        <w:rPr>
          <w:lang w:val="en-IN"/>
        </w:rPr>
        <w:t xml:space="preserve">cite both the repository on </w:t>
      </w:r>
      <w:proofErr w:type="spellStart"/>
      <w:r>
        <w:rPr>
          <w:lang w:val="en-IN"/>
        </w:rPr>
        <w:t>Zenodo</w:t>
      </w:r>
      <w:proofErr w:type="spellEnd"/>
      <w:r>
        <w:rPr>
          <w:lang w:val="en-IN"/>
        </w:rPr>
        <w:t xml:space="preserve"> as well as the study.</w:t>
      </w:r>
    </w:p>
    <w:p w14:paraId="67BEB5DC" w14:textId="77777777" w:rsidR="00ED5438" w:rsidRDefault="00ED5438" w:rsidP="00964829">
      <w:pPr>
        <w:jc w:val="both"/>
        <w:rPr>
          <w:lang w:val="en-IN"/>
        </w:rPr>
      </w:pPr>
    </w:p>
    <w:p w14:paraId="17372637" w14:textId="77777777" w:rsidR="00ED5438" w:rsidRDefault="00ED5438" w:rsidP="00964829">
      <w:pPr>
        <w:jc w:val="both"/>
        <w:rPr>
          <w:lang w:val="en-IN"/>
        </w:rPr>
      </w:pPr>
    </w:p>
    <w:sectPr w:rsidR="00ED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2F0C"/>
    <w:multiLevelType w:val="hybridMultilevel"/>
    <w:tmpl w:val="4230A4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6A42"/>
    <w:multiLevelType w:val="hybridMultilevel"/>
    <w:tmpl w:val="3AC606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DBC"/>
    <w:multiLevelType w:val="hybridMultilevel"/>
    <w:tmpl w:val="0E52BCE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C2AF0"/>
    <w:multiLevelType w:val="hybridMultilevel"/>
    <w:tmpl w:val="E61431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A18DF"/>
    <w:multiLevelType w:val="multilevel"/>
    <w:tmpl w:val="07D270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7E502B5"/>
    <w:multiLevelType w:val="hybridMultilevel"/>
    <w:tmpl w:val="160640D6"/>
    <w:lvl w:ilvl="0" w:tplc="C696D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38E4"/>
    <w:multiLevelType w:val="multilevel"/>
    <w:tmpl w:val="CD862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B3792D"/>
    <w:multiLevelType w:val="hybridMultilevel"/>
    <w:tmpl w:val="2D36FA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80778">
    <w:abstractNumId w:val="1"/>
  </w:num>
  <w:num w:numId="2" w16cid:durableId="1958902813">
    <w:abstractNumId w:val="3"/>
  </w:num>
  <w:num w:numId="3" w16cid:durableId="1526745158">
    <w:abstractNumId w:val="7"/>
  </w:num>
  <w:num w:numId="4" w16cid:durableId="1562328567">
    <w:abstractNumId w:val="6"/>
  </w:num>
  <w:num w:numId="5" w16cid:durableId="94132590">
    <w:abstractNumId w:val="0"/>
  </w:num>
  <w:num w:numId="6" w16cid:durableId="516623819">
    <w:abstractNumId w:val="5"/>
  </w:num>
  <w:num w:numId="7" w16cid:durableId="317266589">
    <w:abstractNumId w:val="2"/>
  </w:num>
  <w:num w:numId="8" w16cid:durableId="1612470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7D"/>
    <w:rsid w:val="00000A9F"/>
    <w:rsid w:val="00005443"/>
    <w:rsid w:val="00067A10"/>
    <w:rsid w:val="001102AB"/>
    <w:rsid w:val="0015424C"/>
    <w:rsid w:val="00156D04"/>
    <w:rsid w:val="00181C62"/>
    <w:rsid w:val="001E3AA0"/>
    <w:rsid w:val="002D6CFF"/>
    <w:rsid w:val="002F34CF"/>
    <w:rsid w:val="00374399"/>
    <w:rsid w:val="003D65DB"/>
    <w:rsid w:val="00507A2D"/>
    <w:rsid w:val="00522A7D"/>
    <w:rsid w:val="0054746D"/>
    <w:rsid w:val="005F2D2D"/>
    <w:rsid w:val="00610714"/>
    <w:rsid w:val="006A472D"/>
    <w:rsid w:val="007D03C4"/>
    <w:rsid w:val="007D4241"/>
    <w:rsid w:val="0086473B"/>
    <w:rsid w:val="00964829"/>
    <w:rsid w:val="0097227C"/>
    <w:rsid w:val="009B2B11"/>
    <w:rsid w:val="009E0CB7"/>
    <w:rsid w:val="009F45D6"/>
    <w:rsid w:val="00A3317E"/>
    <w:rsid w:val="00A572AE"/>
    <w:rsid w:val="00AD1AAF"/>
    <w:rsid w:val="00B80E67"/>
    <w:rsid w:val="00BE204B"/>
    <w:rsid w:val="00BE6811"/>
    <w:rsid w:val="00C21AE2"/>
    <w:rsid w:val="00C26207"/>
    <w:rsid w:val="00CD6056"/>
    <w:rsid w:val="00CD7861"/>
    <w:rsid w:val="00D73976"/>
    <w:rsid w:val="00DA66A4"/>
    <w:rsid w:val="00EA53E1"/>
    <w:rsid w:val="00ED5438"/>
    <w:rsid w:val="00F174F7"/>
    <w:rsid w:val="00F84307"/>
    <w:rsid w:val="00F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018E"/>
  <w15:chartTrackingRefBased/>
  <w15:docId w15:val="{A4BFF79C-6D85-4DDC-95B0-A1D8F948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66A4"/>
    <w:pPr>
      <w:spacing w:after="40" w:line="360" w:lineRule="auto"/>
      <w:jc w:val="both"/>
    </w:pPr>
    <w:rPr>
      <w:rFonts w:ascii="Arial" w:eastAsia="Times New Roman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A66A4"/>
    <w:rPr>
      <w:rFonts w:ascii="Arial" w:eastAsia="Times New Roman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Emmenegger Marc</dc:creator>
  <cp:keywords/>
  <dc:description/>
  <cp:lastModifiedBy>Emmenegger Marc</cp:lastModifiedBy>
  <cp:revision>39</cp:revision>
  <dcterms:created xsi:type="dcterms:W3CDTF">2022-12-01T12:52:00Z</dcterms:created>
  <dcterms:modified xsi:type="dcterms:W3CDTF">2022-12-12T17:12:00Z</dcterms:modified>
</cp:coreProperties>
</file>