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CB5"/>
          <w:sz w:val="48"/>
        </w:rPr>
        <w:t>navify® POC Operations</w:t>
      </w:r>
    </w:p>
    <w:p>
      <w:pPr>
        <w:jc w:val="center"/>
      </w:pPr>
      <w:r>
        <w:rPr>
          <w:color w:val="1E293B"/>
          <w:sz w:val="32"/>
        </w:rPr>
        <w:t>Smart Reports — Prueba de concepto de datos de QC</w:t>
      </w:r>
    </w:p>
    <w:p>
      <w:pPr>
        <w:jc w:val="center"/>
      </w:pPr>
      <w:r>
        <w:rPr>
          <w:i/>
          <w:color w:val="64748B"/>
          <w:sz w:val="24"/>
        </w:rPr>
        <w:t>Guía explicativa de la implementación (NPOCO-27832)</w:t>
      </w:r>
    </w:p>
    <w:p/>
    <w:p>
      <w:pPr>
        <w:jc w:val="center"/>
      </w:pPr>
      <w:r>
        <w:rPr>
          <w:color w:val="64748B"/>
          <w:sz w:val="20"/>
        </w:rPr>
        <w:t>Documento informativo para compartir con otros equipos de producto</w:t>
      </w:r>
    </w:p>
    <w:p/>
    <w:p>
      <w:pPr>
        <w:pStyle w:val="Heading1"/>
      </w:pPr>
      <w:r>
        <w:rPr>
          <w:color w:val="006CB5"/>
        </w:rPr>
        <w:t>1. Resumen ejecutivo</w:t>
      </w:r>
    </w:p>
    <w:p>
      <w:r>
        <w:rPr>
          <w:b w:val="0"/>
          <w:i w:val="0"/>
        </w:rPr>
        <w:t>Esta guía documenta la prueba de concepto (PoC) realizada para integrar los datos de Control de Calidad (QC results) de navify POC Operations (POCM) con el componente Smart Reports. El objetivo fue validar técnicamente que un agente de IA puede generar informes consultando los datos a través de esquemas OData/REST, sin acceder directamente a datos sensibles, preservando así la privacidad de la información.</w:t>
      </w:r>
    </w:p>
    <w:p>
      <w:r>
        <w:rPr>
          <w:b w:val="0"/>
          <w:i w:val="0"/>
        </w:rPr>
        <w:t>El trabajo se organizó como un spike técnico con un timebox de 5 días, dividido en cuatro subtareas que cubren: la entrega del esquema de datos, la preparación del entorno, la configuración del inicio de sesión SSO y la definición de los pasos de reproducción.</w:t>
      </w:r>
    </w:p>
    <w:p>
      <w:pPr>
        <w:pStyle w:val="Heading3"/>
      </w:pPr>
      <w:r>
        <w:rPr>
          <w:color w:val="1E293B"/>
        </w:rPr>
        <w:t>Concepto clave</w:t>
      </w:r>
    </w:p>
    <w:p>
      <w:pPr>
        <w:pStyle w:val="ListBullet"/>
      </w:pPr>
      <w:r>
        <w:rPr>
          <w:b/>
        </w:rPr>
        <w:t xml:space="preserve">Privacidad por diseño: </w:t>
      </w:r>
      <w:r>
        <w:t>Un agente de IA usa esquemas OData/REST para construir consultas de forma segura.</w:t>
      </w:r>
    </w:p>
    <w:p>
      <w:pPr>
        <w:pStyle w:val="ListBullet"/>
      </w:pPr>
      <w:r>
        <w:rPr>
          <w:b/>
        </w:rPr>
        <w:t xml:space="preserve">Componente embebible: </w:t>
      </w:r>
      <w:r>
        <w:t>El informe se embebe como componente autónomo (standalone) dentro de POCM.</w:t>
      </w:r>
    </w:p>
    <w:p>
      <w:pPr>
        <w:pStyle w:val="ListBullet"/>
      </w:pPr>
      <w:r>
        <w:rPr>
          <w:b/>
        </w:rPr>
        <w:t xml:space="preserve">Dominio de datos: </w:t>
      </w:r>
      <w:r>
        <w:t>QualityControlObservation — los datos de QC son el primer caso de uso validado.</w:t>
      </w:r>
    </w:p>
    <w:p>
      <w:pPr>
        <w:pStyle w:val="Heading1"/>
      </w:pPr>
      <w:r>
        <w:rPr>
          <w:color w:val="006CB5"/>
        </w:rPr>
        <w:t>2. Contexto y estructura del trabajo</w:t>
      </w:r>
    </w:p>
    <w:p>
      <w:r>
        <w:rPr>
          <w:b w:val="0"/>
          <w:i w:val="0"/>
        </w:rPr>
        <w:t>La tarea principal y sus subtareas se enmarcan dentro de la iniciativa Smart Reports: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Ticket</w:t>
            </w:r>
          </w:p>
        </w:tc>
        <w:tc>
          <w:tcPr>
            <w:tcW w:type="dxa" w:w="2160"/>
          </w:tcPr>
          <w:p>
            <w:r/>
            <w:r>
              <w:rPr>
                <w:b/>
                <w:sz w:val="20"/>
              </w:rPr>
              <w:t>Tipo</w:t>
            </w:r>
          </w:p>
        </w:tc>
        <w:tc>
          <w:tcPr>
            <w:tcW w:type="dxa" w:w="2160"/>
          </w:tcPr>
          <w:p>
            <w:r/>
            <w:r>
              <w:rPr>
                <w:b/>
                <w:sz w:val="20"/>
              </w:rPr>
              <w:t>Estado</w:t>
            </w:r>
          </w:p>
        </w:tc>
        <w:tc>
          <w:tcPr>
            <w:tcW w:type="dxa" w:w="2160"/>
          </w:tcPr>
          <w:p>
            <w:r/>
            <w:r>
              <w:rPr>
                <w:b/>
                <w:sz w:val="20"/>
              </w:rPr>
              <w:t>Descripción</w:t>
            </w:r>
          </w:p>
        </w:tc>
      </w:tr>
      <w:tr>
        <w:tc>
          <w:tcPr>
            <w:tcW w:type="dxa" w:w="2160"/>
          </w:tcPr>
          <w:p>
            <w:r/>
            <w:r>
              <w:rPr>
                <w:sz w:val="18"/>
              </w:rPr>
              <w:t>NPOCO-27931</w:t>
            </w:r>
          </w:p>
        </w:tc>
        <w:tc>
          <w:tcPr>
            <w:tcW w:type="dxa" w:w="2160"/>
          </w:tcPr>
          <w:p>
            <w:r/>
            <w:r>
              <w:rPr>
                <w:sz w:val="18"/>
              </w:rPr>
              <w:t>Epic</w:t>
            </w:r>
          </w:p>
        </w:tc>
        <w:tc>
          <w:tcPr>
            <w:tcW w:type="dxa" w:w="2160"/>
          </w:tcPr>
          <w:p>
            <w:r/>
            <w:r>
              <w:rPr>
                <w:sz w:val="18"/>
              </w:rPr>
              <w:t>New</w:t>
            </w:r>
          </w:p>
        </w:tc>
        <w:tc>
          <w:tcPr>
            <w:tcW w:type="dxa" w:w="2160"/>
          </w:tcPr>
          <w:p>
            <w:r/>
            <w:r>
              <w:rPr>
                <w:sz w:val="18"/>
              </w:rPr>
              <w:t>Smart Reports: componente embebible de generación de informes</w:t>
            </w:r>
          </w:p>
        </w:tc>
      </w:tr>
      <w:tr>
        <w:tc>
          <w:tcPr>
            <w:tcW w:type="dxa" w:w="2160"/>
          </w:tcPr>
          <w:p>
            <w:r/>
            <w:r>
              <w:rPr>
                <w:sz w:val="18"/>
              </w:rPr>
              <w:t>NPOCO-27933</w:t>
            </w:r>
          </w:p>
        </w:tc>
        <w:tc>
          <w:tcPr>
            <w:tcW w:type="dxa" w:w="2160"/>
          </w:tcPr>
          <w:p>
            <w:r/>
            <w:r>
              <w:rPr>
                <w:sz w:val="18"/>
              </w:rPr>
              <w:t>—</w:t>
            </w:r>
          </w:p>
        </w:tc>
        <w:tc>
          <w:tcPr>
            <w:tcW w:type="dxa" w:w="2160"/>
          </w:tcPr>
          <w:p>
            <w:r/>
            <w:r>
              <w:rPr>
                <w:sz w:val="18"/>
              </w:rPr>
              <w:t>—</w:t>
            </w:r>
          </w:p>
        </w:tc>
        <w:tc>
          <w:tcPr>
            <w:tcW w:type="dxa" w:w="2160"/>
          </w:tcPr>
          <w:p>
            <w:r/>
            <w:r>
              <w:rPr>
                <w:sz w:val="18"/>
              </w:rPr>
              <w:t>Smart Reports — Integración y configuración en POCM</w:t>
            </w:r>
          </w:p>
        </w:tc>
      </w:tr>
      <w:tr>
        <w:tc>
          <w:tcPr>
            <w:tcW w:type="dxa" w:w="2160"/>
          </w:tcPr>
          <w:p>
            <w:r/>
            <w:r>
              <w:rPr>
                <w:sz w:val="18"/>
              </w:rPr>
              <w:t>NPOCO-27832</w:t>
            </w:r>
          </w:p>
        </w:tc>
        <w:tc>
          <w:tcPr>
            <w:tcW w:type="dxa" w:w="2160"/>
          </w:tcPr>
          <w:p>
            <w:r/>
            <w:r>
              <w:rPr>
                <w:sz w:val="18"/>
              </w:rPr>
              <w:t>Task</w:t>
            </w:r>
          </w:p>
        </w:tc>
        <w:tc>
          <w:tcPr>
            <w:tcW w:type="dxa" w:w="2160"/>
          </w:tcPr>
          <w:p>
            <w:r/>
            <w:r>
              <w:rPr>
                <w:sz w:val="18"/>
              </w:rPr>
              <w:t>Done</w:t>
            </w:r>
          </w:p>
        </w:tc>
        <w:tc>
          <w:tcPr>
            <w:tcW w:type="dxa" w:w="2160"/>
          </w:tcPr>
          <w:p>
            <w:r/>
            <w:r>
              <w:rPr>
                <w:sz w:val="18"/>
              </w:rPr>
              <w:t>Configurar Smart Reports dentro de POCM (esta guía)</w:t>
            </w:r>
          </w:p>
        </w:tc>
      </w:tr>
      <w:tr>
        <w:tc>
          <w:tcPr>
            <w:tcW w:type="dxa" w:w="2160"/>
          </w:tcPr>
          <w:p>
            <w:r/>
            <w:r>
              <w:rPr>
                <w:sz w:val="18"/>
              </w:rPr>
              <w:t>NPOCO-27987</w:t>
            </w:r>
          </w:p>
        </w:tc>
        <w:tc>
          <w:tcPr>
            <w:tcW w:type="dxa" w:w="2160"/>
          </w:tcPr>
          <w:p>
            <w:r/>
            <w:r>
              <w:rPr>
                <w:sz w:val="18"/>
              </w:rPr>
              <w:t>Sub-task</w:t>
            </w:r>
          </w:p>
        </w:tc>
        <w:tc>
          <w:tcPr>
            <w:tcW w:type="dxa" w:w="2160"/>
          </w:tcPr>
          <w:p>
            <w:r/>
            <w:r>
              <w:rPr>
                <w:sz w:val="18"/>
              </w:rPr>
              <w:t>Done</w:t>
            </w:r>
          </w:p>
        </w:tc>
        <w:tc>
          <w:tcPr>
            <w:tcW w:type="dxa" w:w="2160"/>
          </w:tcPr>
          <w:p>
            <w:r/>
            <w:r>
              <w:rPr>
                <w:sz w:val="18"/>
              </w:rPr>
              <w:t>Definition of Done / pasos de reproducción</w:t>
            </w:r>
          </w:p>
        </w:tc>
      </w:tr>
      <w:tr>
        <w:tc>
          <w:tcPr>
            <w:tcW w:type="dxa" w:w="2160"/>
          </w:tcPr>
          <w:p>
            <w:r/>
            <w:r>
              <w:rPr>
                <w:sz w:val="18"/>
              </w:rPr>
              <w:t>NPOCO-28024</w:t>
            </w:r>
          </w:p>
        </w:tc>
        <w:tc>
          <w:tcPr>
            <w:tcW w:type="dxa" w:w="2160"/>
          </w:tcPr>
          <w:p>
            <w:r/>
            <w:r>
              <w:rPr>
                <w:sz w:val="18"/>
              </w:rPr>
              <w:t>Sub-task</w:t>
            </w:r>
          </w:p>
        </w:tc>
        <w:tc>
          <w:tcPr>
            <w:tcW w:type="dxa" w:w="2160"/>
          </w:tcPr>
          <w:p>
            <w:r/>
            <w:r>
              <w:rPr>
                <w:sz w:val="18"/>
              </w:rPr>
              <w:t>Done</w:t>
            </w:r>
          </w:p>
        </w:tc>
        <w:tc>
          <w:tcPr>
            <w:tcW w:type="dxa" w:w="2160"/>
          </w:tcPr>
          <w:p>
            <w:r/>
            <w:r>
              <w:rPr>
                <w:sz w:val="18"/>
              </w:rPr>
              <w:t>Entrega del esquema OData de QualityControlObservation</w:t>
            </w:r>
          </w:p>
        </w:tc>
      </w:tr>
      <w:tr>
        <w:tc>
          <w:tcPr>
            <w:tcW w:type="dxa" w:w="2160"/>
          </w:tcPr>
          <w:p>
            <w:r/>
            <w:r>
              <w:rPr>
                <w:sz w:val="18"/>
              </w:rPr>
              <w:t>NPOCO-28025</w:t>
            </w:r>
          </w:p>
        </w:tc>
        <w:tc>
          <w:tcPr>
            <w:tcW w:type="dxa" w:w="2160"/>
          </w:tcPr>
          <w:p>
            <w:r/>
            <w:r>
              <w:rPr>
                <w:sz w:val="18"/>
              </w:rPr>
              <w:t>Sub-task</w:t>
            </w:r>
          </w:p>
        </w:tc>
        <w:tc>
          <w:tcPr>
            <w:tcW w:type="dxa" w:w="2160"/>
          </w:tcPr>
          <w:p>
            <w:r/>
            <w:r>
              <w:rPr>
                <w:sz w:val="18"/>
              </w:rPr>
              <w:t>Done</w:t>
            </w:r>
          </w:p>
        </w:tc>
        <w:tc>
          <w:tcPr>
            <w:tcW w:type="dxa" w:w="2160"/>
          </w:tcPr>
          <w:p>
            <w:r/>
            <w:r>
              <w:rPr>
                <w:sz w:val="18"/>
              </w:rPr>
              <w:t>Preparación de la VM con POCM y el proyecto extraído</w:t>
            </w:r>
          </w:p>
        </w:tc>
      </w:tr>
      <w:tr>
        <w:tc>
          <w:tcPr>
            <w:tcW w:type="dxa" w:w="2160"/>
          </w:tcPr>
          <w:p>
            <w:r/>
            <w:r>
              <w:rPr>
                <w:sz w:val="18"/>
              </w:rPr>
              <w:t>NPOCO-28026</w:t>
            </w:r>
          </w:p>
        </w:tc>
        <w:tc>
          <w:tcPr>
            <w:tcW w:type="dxa" w:w="2160"/>
          </w:tcPr>
          <w:p>
            <w:r/>
            <w:r>
              <w:rPr>
                <w:sz w:val="18"/>
              </w:rPr>
              <w:t>Sub-task</w:t>
            </w:r>
          </w:p>
        </w:tc>
        <w:tc>
          <w:tcPr>
            <w:tcW w:type="dxa" w:w="2160"/>
          </w:tcPr>
          <w:p>
            <w:r/>
            <w:r>
              <w:rPr>
                <w:sz w:val="18"/>
              </w:rPr>
              <w:t>Done</w:t>
            </w:r>
          </w:p>
        </w:tc>
        <w:tc>
          <w:tcPr>
            <w:tcW w:type="dxa" w:w="2160"/>
          </w:tcPr>
          <w:p>
            <w:r/>
            <w:r>
              <w:rPr>
                <w:sz w:val="18"/>
              </w:rPr>
              <w:t>Configuración del login SSO (Identity + navify platform)</w:t>
            </w:r>
          </w:p>
        </w:tc>
      </w:tr>
    </w:tbl>
    <w:p/>
    <w:p>
      <w:r>
        <w:rPr>
          <w:b w:val="0"/>
          <w:i/>
          <w:color w:val="64748B"/>
          <w:sz w:val="20"/>
        </w:rPr>
        <w:t>Responsable de la tarea: Enric Viñas Mas · Punto de contacto Smart Reports: Eduardo Raupp</w:t>
      </w:r>
    </w:p>
    <w:p>
      <w:pPr>
        <w:pStyle w:val="Heading1"/>
      </w:pPr>
      <w:r>
        <w:rPr>
          <w:color w:val="006CB5"/>
        </w:rPr>
        <w:t>3. Visión general del flujo</w:t>
      </w:r>
    </w:p>
    <w:p>
      <w:r>
        <w:rPr>
          <w:b w:val="0"/>
          <w:i w:val="0"/>
        </w:rPr>
        <w:t>El PoC encadena cuatro bloques de trabajo. A alto nivel, la secuencia fue:</w:t>
      </w:r>
    </w:p>
    <w:p>
      <w:pPr>
        <w:pStyle w:val="ListNumber"/>
      </w:pPr>
      <w:r>
        <w:rPr>
          <w:b/>
        </w:rPr>
        <w:t xml:space="preserve">Esquema de datos → </w:t>
      </w:r>
      <w:r>
        <w:t>Se generó el esquema OData de QualityControlObservation para que el agente pueda construir consultas.</w:t>
      </w:r>
    </w:p>
    <w:p>
      <w:pPr>
        <w:pStyle w:val="ListNumber"/>
      </w:pPr>
      <w:r>
        <w:rPr>
          <w:b/>
        </w:rPr>
        <w:t xml:space="preserve">Entorno → </w:t>
      </w:r>
      <w:r>
        <w:t>Se preparó una VM con la versión actual de POCM y se pobló la base de datos con datos de QC.</w:t>
      </w:r>
    </w:p>
    <w:p>
      <w:pPr>
        <w:pStyle w:val="ListNumber"/>
      </w:pPr>
      <w:r>
        <w:rPr>
          <w:b/>
        </w:rPr>
        <w:t xml:space="preserve">Autenticación → </w:t>
      </w:r>
      <w:r>
        <w:t>Se configuró el login SSO contra navify Identity y la navify platform.</w:t>
      </w:r>
    </w:p>
    <w:p>
      <w:pPr>
        <w:pStyle w:val="ListNumber"/>
      </w:pPr>
      <w:r>
        <w:rPr>
          <w:b/>
        </w:rPr>
        <w:t xml:space="preserve">Reproducción → </w:t>
      </w:r>
      <w:r>
        <w:t>Se definieron los tokens necesarios en el navegador para que el informe embebido pueda hacer peticiones.</w:t>
      </w:r>
    </w:p>
    <w:p>
      <w:pPr>
        <w:pStyle w:val="Heading1"/>
      </w:pPr>
      <w:r>
        <w:rPr>
          <w:color w:val="006CB5"/>
        </w:rPr>
        <w:t>4. Pasos detallados de la implementación</w:t>
      </w:r>
    </w:p>
    <w:p>
      <w:pPr>
        <w:pStyle w:val="Heading2"/>
      </w:pPr>
      <w:r>
        <w:rPr>
          <w:color w:val="006CB5"/>
        </w:rPr>
        <w:t>4.1 Entrega del esquema OData (NPOCO-28024)</w:t>
      </w:r>
    </w:p>
    <w:p>
      <w:r>
        <w:rPr>
          <w:b w:val="0"/>
          <w:i w:val="0"/>
        </w:rPr>
        <w:t>Se entregó el esquema OData correspondiente a QualityControlObservation. El procedimiento fue:</w:t>
      </w:r>
    </w:p>
    <w:p>
      <w:pPr>
        <w:pStyle w:val="ListBullet"/>
      </w:pPr>
      <w:r>
        <w:t>Acceder al contenido completo de $metadata del servicio OData.</w:t>
      </w:r>
    </w:p>
    <w:p>
      <w:pPr>
        <w:pStyle w:val="ListBullet"/>
      </w:pPr>
      <w:r>
        <w:t>Extraer el bloque correspondiente a QualityControlObservation.</w:t>
      </w:r>
    </w:p>
    <w:p>
      <w:pPr>
        <w:pStyle w:val="ListBullet"/>
      </w:pPr>
      <w:r>
        <w:t>Usar Claude (IA) para añadir los ComplexTypes y entidades relacionadas necesarias para la QC Observation.</w:t>
      </w:r>
    </w:p>
    <w:p>
      <w:r>
        <w:rPr>
          <w:b w:val="0"/>
          <w:i/>
          <w:color w:val="64748B"/>
          <w:sz w:val="20"/>
        </w:rPr>
        <w:t>Resultado: un esquema autocontenido que el agente utiliza para generar consultas sobre los datos de QC sin acceder directamente a la base de datos.</w:t>
      </w:r>
    </w:p>
    <w:p>
      <w:pPr>
        <w:pStyle w:val="Heading2"/>
      </w:pPr>
      <w:r>
        <w:rPr>
          <w:color w:val="006CB5"/>
        </w:rPr>
        <w:t>4.2 Preparación del entorno (NPOCO-28025)</w:t>
      </w:r>
    </w:p>
    <w:p>
      <w:r>
        <w:rPr>
          <w:b w:val="0"/>
          <w:i w:val="0"/>
        </w:rPr>
        <w:t>Se habilitó una máquina virtual dedicada para el spike/PoC:</w:t>
      </w:r>
    </w:p>
    <w:p>
      <w:pPr>
        <w:pStyle w:val="ListBullet"/>
      </w:pPr>
      <w:r>
        <w:rPr>
          <w:b/>
        </w:rPr>
        <w:t xml:space="preserve">VM: </w:t>
      </w:r>
      <w:r>
        <w:t>poctm-vm0534 — usuario/VM utilizada para esta prueba de concepto.</w:t>
      </w:r>
    </w:p>
    <w:p>
      <w:pPr>
        <w:pStyle w:val="ListBullet"/>
      </w:pPr>
      <w:r>
        <w:t>Se instaló la versión actual de POCM junto con el proyecto extraído (la solución de Smart Reports).</w:t>
      </w:r>
    </w:p>
    <w:p>
      <w:pPr>
        <w:pStyle w:val="ListBullet"/>
      </w:pPr>
      <w:r>
        <w:t>Un compañero (Javi) usó su herramienta para poblar la base de datos con datos relacionados con QC.</w:t>
      </w:r>
    </w:p>
    <w:p>
      <w:pPr>
        <w:pStyle w:val="Heading2"/>
      </w:pPr>
      <w:r>
        <w:rPr>
          <w:color w:val="006CB5"/>
        </w:rPr>
        <w:t>4.3 Configuración del login SSO (NPOCO-28026)</w:t>
      </w:r>
    </w:p>
    <w:p>
      <w:r>
        <w:rPr>
          <w:b w:val="0"/>
          <w:i w:val="0"/>
        </w:rPr>
        <w:t>Este fue el paso central de habilitación técnica. El proceso completo:</w:t>
      </w:r>
    </w:p>
    <w:p>
      <w:pPr>
        <w:pStyle w:val="ListNumber"/>
      </w:pPr>
      <w:r>
        <w:t>Habilitar SSO en el appsettings de Identity.</w:t>
      </w:r>
    </w:p>
    <w:p>
      <w:pPr>
        <w:pStyle w:val="ListNumber"/>
      </w:pPr>
      <w:r>
        <w:t>Sobrescribir el bloque por defecto SsoProvider con la siguiente configuración:</w:t>
      </w:r>
    </w:p>
    <w:p>
      <w:pPr>
        <w:ind w:left="288"/>
        <w:shd w:val="clear" w:fill="F1F5F9"/>
      </w:pPr>
      <w:r>
        <w:rPr>
          <w:rFonts w:ascii="Consolas" w:hAnsi="Consolas"/>
          <w:color w:val="1E293B"/>
          <w:sz w:val="18"/>
        </w:rPr>
        <w:t>"SsoProvider": {</w:t>
        <w:br/>
        <w:t xml:space="preserve">    "Name": "ExternalAuthServer",</w:t>
        <w:br/>
        <w:t xml:space="preserve">    "Authority": "https://api.appdevus.platform.navify.com/api/v1/auth/protocols/oidc",</w:t>
        <w:br/>
        <w:t xml:space="preserve">    "ClientId": "3defcf08-ddb4-4eae-9a50-be2f12e2193b",</w:t>
        <w:br/>
        <w:t xml:space="preserve">    "ClientSecret": "&lt;REDACTED — solicitar al equipo / rotar antes de compartir&gt;",</w:t>
        <w:br/>
        <w:t xml:space="preserve">    "ResponseType": "code",</w:t>
        <w:br/>
        <w:t xml:space="preserve">    "Scopes": [ "openid", "profile", "email", "navify:tenant:rotkreuz-poc-lab" ],</w:t>
        <w:br/>
        <w:t xml:space="preserve">    "CallbackPath": "/oauth/callback"</w:t>
        <w:br/>
        <w:t>}</w:t>
      </w:r>
    </w:p>
    <w:p>
      <w:pPr>
        <w:pStyle w:val="ListNumber"/>
      </w:pPr>
      <w:r>
        <w:t>Iniciar sesión en la navify platform (manage.appdevus.platform.navify.com) y comprobar que el usuario tiene permisos en el tenant rotkreuz-poc-lab (el rol admin podría no ser necesario).</w:t>
      </w:r>
    </w:p>
    <w:p>
      <w:pPr>
        <w:pStyle w:val="ListNumber"/>
      </w:pPr>
      <w:r>
        <w:t>Actualizar las Redirect URIs de la aplicación con:</w:t>
      </w:r>
    </w:p>
    <w:p>
      <w:pPr>
        <w:ind w:left="288"/>
        <w:shd w:val="clear" w:fill="F1F5F9"/>
      </w:pPr>
      <w:r>
        <w:rPr>
          <w:rFonts w:ascii="Consolas" w:hAnsi="Consolas"/>
          <w:color w:val="1E293B"/>
          <w:sz w:val="18"/>
        </w:rPr>
        <w:t>https://&lt;vm-hostname&gt;/roche/dia/it-solution/identity/oauth/callback</w:t>
        <w:br/>
        <w:t>https://poctm-vm0534/roche/dia/it-solution/identity/oauth/callback</w:t>
      </w:r>
    </w:p>
    <w:p>
      <w:pPr>
        <w:pStyle w:val="ListNumber"/>
      </w:pPr>
      <w:r>
        <w:t>Hacer un primer login normal en la app usando el usuario ROCHE por defecto. Crear un nuevo Operator con tu email de Roche.</w:t>
      </w:r>
    </w:p>
    <w:p>
      <w:pPr>
        <w:pStyle w:val="ListNumber"/>
      </w:pPr>
      <w:r>
        <w:t>Cerrar sesión y volver a iniciar sesión usando SSO.</w:t>
      </w:r>
    </w:p>
    <w:p>
      <w:pPr>
        <w:pStyle w:val="Heading2"/>
      </w:pPr>
      <w:r>
        <w:rPr>
          <w:color w:val="006CB5"/>
        </w:rPr>
        <w:t>4.4 Definition of Done y reproducción (NPOCO-27987)</w:t>
      </w:r>
    </w:p>
    <w:p>
      <w:r>
        <w:rPr>
          <w:b w:val="0"/>
          <w:i w:val="0"/>
        </w:rPr>
        <w:t>Para reproducir la demo funcional es necesario:</w:t>
      </w:r>
    </w:p>
    <w:p>
      <w:pPr>
        <w:pStyle w:val="ListNumber"/>
      </w:pPr>
      <w:r>
        <w:t>Iniciar sesión con SSO para obtener un token de navify (proceso descrito en NPOCO-28026).</w:t>
      </w:r>
    </w:p>
    <w:p>
      <w:pPr>
        <w:pStyle w:val="ListNumber"/>
      </w:pPr>
      <w:r>
        <w:t>Definir dos tokens en el session storage del navegador:</w:t>
      </w:r>
    </w:p>
    <w:p>
      <w:pPr>
        <w:pStyle w:val="ListBullet"/>
      </w:pPr>
      <w:r>
        <w:t>access-token → el token de navify (autoriza las peticiones al report generator).</w:t>
      </w:r>
    </w:p>
    <w:p>
      <w:pPr>
        <w:pStyle w:val="ListBullet"/>
      </w:pPr>
      <w:r>
        <w:t>access-token-pocm → el token que usamos en Identity. Caduca cada 5 minutos; hacer clic en cualquier parte de la app POCM genera uno nuevo cuando se necesite.</w:t>
      </w:r>
    </w:p>
    <w:p>
      <w:r>
        <w:rPr>
          <w:b w:val="0"/>
          <w:i/>
          <w:color w:val="64748B"/>
          <w:sz w:val="20"/>
        </w:rPr>
        <w:t>Nota: hay un vídeo demo adjunto en la subtarea NPOCO-27987.</w:t>
      </w:r>
    </w:p>
    <w:p>
      <w:pPr>
        <w:pStyle w:val="Heading1"/>
      </w:pPr>
      <w:r>
        <w:rPr>
          <w:color w:val="006CB5"/>
        </w:rPr>
        <w:t>5. Restricciones y consideraciones técnicas</w:t>
      </w:r>
    </w:p>
    <w:p>
      <w:r>
        <w:rPr>
          <w:b w:val="0"/>
          <w:i w:val="0"/>
        </w:rPr>
        <w:t>Durante el PoC se identificaron las siguientes restricciones (indicadas por el equipo de Smart Reports):</w:t>
      </w:r>
    </w:p>
    <w:p>
      <w:pPr>
        <w:pStyle w:val="ListBullet"/>
      </w:pPr>
      <w:r>
        <w:rPr>
          <w:b/>
        </w:rPr>
        <w:t xml:space="preserve">Tokens manuales: </w:t>
      </w:r>
      <w:r>
        <w:t>Los tokens deben establecerse manualmente en el session storage.</w:t>
      </w:r>
    </w:p>
    <w:p>
      <w:pPr>
        <w:pStyle w:val="ListBullet"/>
      </w:pPr>
      <w:r>
        <w:rPr>
          <w:b/>
        </w:rPr>
        <w:t xml:space="preserve">Cookie compartida: </w:t>
      </w:r>
      <w:r>
        <w:t>Se reutiliza la misma cookie del login de POC-M para las peticiones de las plantillas generadas.</w:t>
      </w:r>
    </w:p>
    <w:p>
      <w:pPr>
        <w:pStyle w:val="ListBullet"/>
      </w:pPr>
      <w:r>
        <w:rPr>
          <w:b/>
        </w:rPr>
        <w:t xml:space="preserve">URLs absolutas: </w:t>
      </w:r>
      <w:r>
        <w:t>Al ser un informe standalone, no usa URLs relativas: debe usar la URL absoluta, por lo que hay que indicar la IP/puerto de la VM al system prompt.</w:t>
      </w:r>
    </w:p>
    <w:p>
      <w:pPr>
        <w:pStyle w:val="ListBullet"/>
      </w:pPr>
      <w:r>
        <w:rPr>
          <w:b/>
        </w:rPr>
        <w:t xml:space="preserve">Expiración: </w:t>
      </w:r>
      <w:r>
        <w:t>El token de Identity (access-token-pocm) expira cada 5 minutos.</w:t>
      </w:r>
    </w:p>
    <w:p>
      <w:pPr>
        <w:pStyle w:val="Heading1"/>
      </w:pPr>
      <w:r>
        <w:rPr>
          <w:color w:val="006CB5"/>
        </w:rPr>
        <w:t>6. Resultado</w:t>
      </w:r>
    </w:p>
    <w:p>
      <w:r>
        <w:rPr>
          <w:b w:val="0"/>
          <w:i w:val="0"/>
        </w:rPr>
        <w:t>La prueba de concepto validó con éxito que Smart Reports puede generar informes sobre los datos de QC de POCM utilizando esquemas OData, con autenticación SSO vía navify Identity y sin acceso directo a datos sensibles. La tarea NPOCO-27832 y todas sus subtareas se cerraron como Done.</w:t>
      </w:r>
    </w:p>
    <w:p/>
    <w:p>
      <w:r>
        <w:rPr>
          <w:b/>
          <w:color w:val="B45309"/>
        </w:rPr>
        <w:t>⚠️ Aviso de seguridad</w:t>
      </w:r>
    </w:p>
    <w:p>
      <w:r>
        <w:rPr>
          <w:b w:val="0"/>
          <w:i w:val="0"/>
          <w:color w:val="64748B"/>
          <w:sz w:val="20"/>
        </w:rPr>
        <w:t>El comentario original de NPOCO-28026 contenía un ClientSecret de OAuth y credenciales específicas del cliente. En este documento el ClientSecret se ha REDACTADO. Antes de compartir cualquier configuración real, rota el secreto y no lo distribuyas en texto plano.</w:t>
      </w:r>
    </w:p>
    <w:p/>
    <w:p>
      <w:r>
        <w:rPr>
          <w:b w:val="0"/>
          <w:i/>
          <w:color w:val="64748B"/>
          <w:sz w:val="18"/>
        </w:rPr>
        <w:t>Fuente: Jira NPOCO-27832 y subtareas NPOCO-27987 / 28024 / 28025 / 28026 (comentarios del equipo). Documento generado a modo informativo.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