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ptos Display" w:hAnsi="Aptos Display"/>
          <w:b/>
          <w:color w:val="4472C4"/>
          <w:sz w:val="24"/>
        </w:rPr>
        <w:t>HSD-007</w:t>
      </w:r>
    </w:p>
    <w:p>
      <w:pPr>
        <w:pStyle w:val="Title"/>
        <w:spacing w:after="160"/>
        <w:jc w:val="center"/>
      </w:pPr>
      <w:r>
        <w:t>Numbered SQL Migration Framework and</w:t>
        <w:br/>
        <w:t>Initial Local Schema Version 1</w:t>
      </w:r>
    </w:p>
    <w:p>
      <w:pPr>
        <w:pStyle w:val="Subtitle"/>
        <w:spacing w:after="80"/>
        <w:jc w:val="center"/>
      </w:pPr>
      <w:r>
        <w:t>Bounded Codex Implementation Task</w:t>
      </w:r>
    </w:p>
    <w:p>
      <w:pPr>
        <w:spacing w:after="80" w:line="252" w:lineRule="auto"/>
        <w:jc w:val="center"/>
      </w:pPr>
      <w:r>
        <w:rPr>
          <w:b/>
          <w:color w:val="595959"/>
          <w:sz w:val="22"/>
        </w:rPr>
        <w:t>Health Screening Offline Desktop Application</w:t>
      </w:r>
    </w:p>
    <w:p>
      <w:pPr>
        <w:spacing w:after="80" w:line="252" w:lineRule="auto"/>
        <w:jc w:val="center"/>
      </w:pPr>
      <w:r>
        <w:rPr>
          <w:i/>
          <w:color w:val="595959"/>
          <w:sz w:val="18"/>
        </w:rPr>
        <w:t>Implementation must preserve the approved HSD-001 through HSD-006 baseline.</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376"/>
            <w:shd w:fill="163A5F"/>
            <w:vAlign w:val="top"/>
            <w:tcMar>
              <w:top w:w="70" w:type="dxa"/>
              <w:start w:w="90" w:type="dxa"/>
              <w:bottom w:w="70" w:type="dxa"/>
              <w:end w:w="90" w:type="dxa"/>
            </w:tcMar>
          </w:tcPr>
          <w:p>
            <w:pPr>
              <w:spacing w:after="0" w:before="0" w:line="240" w:lineRule="auto"/>
            </w:pPr>
            <w:r>
              <w:rPr>
                <w:rFonts w:ascii="Aptos" w:hAnsi="Aptos"/>
                <w:b/>
                <w:color w:val="FFFFFF"/>
                <w:sz w:val="18"/>
              </w:rPr>
              <w:t>Field</w:t>
            </w:r>
          </w:p>
        </w:tc>
        <w:tc>
          <w:tcPr>
            <w:tcW w:type="dxa" w:w="7416"/>
            <w:shd w:fill="163A5F"/>
            <w:vAlign w:val="top"/>
            <w:tcMar>
              <w:top w:w="70" w:type="dxa"/>
              <w:start w:w="90" w:type="dxa"/>
              <w:bottom w:w="70" w:type="dxa"/>
              <w:end w:w="90" w:type="dxa"/>
            </w:tcMar>
          </w:tcPr>
          <w:p>
            <w:pPr>
              <w:spacing w:after="0" w:before="0" w:line="240" w:lineRule="auto"/>
            </w:pPr>
            <w:r>
              <w:rPr>
                <w:rFonts w:ascii="Aptos" w:hAnsi="Aptos"/>
                <w:b/>
                <w:color w:val="FFFFFF"/>
                <w:sz w:val="18"/>
              </w:rPr>
              <w:t>Required value</w:t>
            </w:r>
          </w:p>
        </w:tc>
      </w:tr>
      <w:tr>
        <w:trPr>
          <w:cantSplit/>
        </w:trPr>
        <w:tc>
          <w:tcPr>
            <w:tcW w:type="dxa" w:w="2376"/>
            <w:tcMar>
              <w:top w:w="70" w:type="dxa"/>
              <w:start w:w="90" w:type="dxa"/>
              <w:bottom w:w="70" w:type="dxa"/>
              <w:end w:w="90" w:type="dxa"/>
            </w:tcMar>
            <w:vAlign w:val="top"/>
          </w:tcPr>
          <w:p>
            <w:pPr>
              <w:spacing w:after="0" w:before="0" w:line="240" w:lineRule="auto"/>
            </w:pPr>
            <w:r>
              <w:rPr>
                <w:rFonts w:ascii="Aptos" w:hAnsi="Aptos"/>
                <w:sz w:val="17"/>
              </w:rPr>
              <w:t>Task ID</w:t>
            </w:r>
          </w:p>
        </w:tc>
        <w:tc>
          <w:tcPr>
            <w:tcW w:type="dxa" w:w="7416"/>
            <w:tcMar>
              <w:top w:w="70" w:type="dxa"/>
              <w:start w:w="90" w:type="dxa"/>
              <w:bottom w:w="70" w:type="dxa"/>
              <w:end w:w="90" w:type="dxa"/>
            </w:tcMar>
            <w:vAlign w:val="top"/>
          </w:tcPr>
          <w:p>
            <w:pPr>
              <w:spacing w:after="0" w:before="0" w:line="240" w:lineRule="auto"/>
            </w:pPr>
            <w:r>
              <w:rPr>
                <w:rFonts w:ascii="Aptos" w:hAnsi="Aptos"/>
                <w:sz w:val="17"/>
              </w:rPr>
              <w:t>HSD-007</w:t>
            </w:r>
          </w:p>
        </w:tc>
      </w:tr>
      <w:tr>
        <w:trPr>
          <w:cantSplit/>
        </w:trPr>
        <w:tc>
          <w:tcPr>
            <w:tcW w:type="dxa" w:w="2376"/>
            <w:shd w:fill="EDF4FA"/>
            <w:tcMar>
              <w:top w:w="70" w:type="dxa"/>
              <w:start w:w="90" w:type="dxa"/>
              <w:bottom w:w="70" w:type="dxa"/>
              <w:end w:w="90" w:type="dxa"/>
            </w:tcMar>
            <w:vAlign w:val="top"/>
          </w:tcPr>
          <w:p>
            <w:pPr>
              <w:spacing w:after="0" w:before="0" w:line="240" w:lineRule="auto"/>
            </w:pPr>
            <w:r>
              <w:rPr>
                <w:rFonts w:ascii="Aptos" w:hAnsi="Aptos"/>
                <w:sz w:val="17"/>
              </w:rPr>
              <w:t>Status</w:t>
            </w:r>
          </w:p>
        </w:tc>
        <w:tc>
          <w:tcPr>
            <w:tcW w:type="dxa" w:w="7416"/>
            <w:shd w:fill="EDF4FA"/>
            <w:tcMar>
              <w:top w:w="70" w:type="dxa"/>
              <w:start w:w="90" w:type="dxa"/>
              <w:bottom w:w="70" w:type="dxa"/>
              <w:end w:w="90" w:type="dxa"/>
            </w:tcMar>
            <w:vAlign w:val="top"/>
          </w:tcPr>
          <w:p>
            <w:pPr>
              <w:spacing w:after="0" w:before="0" w:line="240" w:lineRule="auto"/>
            </w:pPr>
            <w:r>
              <w:rPr>
                <w:rFonts w:ascii="Aptos" w:hAnsi="Aptos"/>
                <w:sz w:val="17"/>
              </w:rPr>
              <w:t>Ready for implementation after HSD-006 is merged into main</w:t>
            </w:r>
          </w:p>
        </w:tc>
      </w:tr>
      <w:tr>
        <w:trPr>
          <w:cantSplit/>
        </w:trPr>
        <w:tc>
          <w:tcPr>
            <w:tcW w:type="dxa" w:w="2376"/>
            <w:tcMar>
              <w:top w:w="70" w:type="dxa"/>
              <w:start w:w="90" w:type="dxa"/>
              <w:bottom w:w="70" w:type="dxa"/>
              <w:end w:w="90" w:type="dxa"/>
            </w:tcMar>
            <w:vAlign w:val="top"/>
          </w:tcPr>
          <w:p>
            <w:pPr>
              <w:spacing w:after="0" w:before="0" w:line="240" w:lineRule="auto"/>
            </w:pPr>
            <w:r>
              <w:rPr>
                <w:rFonts w:ascii="Aptos" w:hAnsi="Aptos"/>
                <w:sz w:val="17"/>
              </w:rPr>
              <w:t>Approved baseline</w:t>
            </w:r>
          </w:p>
        </w:tc>
        <w:tc>
          <w:tcPr>
            <w:tcW w:type="dxa" w:w="7416"/>
            <w:tcMar>
              <w:top w:w="70" w:type="dxa"/>
              <w:start w:w="90" w:type="dxa"/>
              <w:bottom w:w="70" w:type="dxa"/>
              <w:end w:w="90" w:type="dxa"/>
            </w:tcMar>
            <w:vAlign w:val="top"/>
          </w:tcPr>
          <w:p>
            <w:pPr>
              <w:spacing w:after="0" w:before="0" w:line="240" w:lineRule="auto"/>
            </w:pPr>
            <w:r>
              <w:rPr>
                <w:rFonts w:ascii="Aptos" w:hAnsi="Aptos"/>
                <w:sz w:val="17"/>
              </w:rPr>
              <w:t>main at merge commit 448546c - HSD-006 local SQLite runtime</w:t>
            </w:r>
          </w:p>
        </w:tc>
      </w:tr>
      <w:tr>
        <w:trPr>
          <w:cantSplit/>
        </w:trPr>
        <w:tc>
          <w:tcPr>
            <w:tcW w:type="dxa" w:w="2376"/>
            <w:shd w:fill="EDF4FA"/>
            <w:tcMar>
              <w:top w:w="70" w:type="dxa"/>
              <w:start w:w="90" w:type="dxa"/>
              <w:bottom w:w="70" w:type="dxa"/>
              <w:end w:w="90" w:type="dxa"/>
            </w:tcMar>
            <w:vAlign w:val="top"/>
          </w:tcPr>
          <w:p>
            <w:pPr>
              <w:spacing w:after="0" w:before="0" w:line="240" w:lineRule="auto"/>
            </w:pPr>
            <w:r>
              <w:rPr>
                <w:rFonts w:ascii="Aptos" w:hAnsi="Aptos"/>
                <w:sz w:val="17"/>
              </w:rPr>
              <w:t>Branch</w:t>
            </w:r>
          </w:p>
        </w:tc>
        <w:tc>
          <w:tcPr>
            <w:tcW w:type="dxa" w:w="7416"/>
            <w:shd w:fill="EDF4FA"/>
            <w:tcMar>
              <w:top w:w="70" w:type="dxa"/>
              <w:start w:w="90" w:type="dxa"/>
              <w:bottom w:w="70" w:type="dxa"/>
              <w:end w:w="90" w:type="dxa"/>
            </w:tcMar>
            <w:vAlign w:val="top"/>
          </w:tcPr>
          <w:p>
            <w:pPr>
              <w:spacing w:after="0" w:before="0" w:line="240" w:lineRule="auto"/>
            </w:pPr>
            <w:r>
              <w:rPr>
                <w:rFonts w:ascii="Aptos" w:hAnsi="Aptos"/>
                <w:sz w:val="17"/>
              </w:rPr>
              <w:t>feature/hsd-007-numbered-migrations</w:t>
            </w:r>
          </w:p>
        </w:tc>
      </w:tr>
      <w:tr>
        <w:trPr>
          <w:cantSplit/>
        </w:trPr>
        <w:tc>
          <w:tcPr>
            <w:tcW w:type="dxa" w:w="2376"/>
            <w:tcMar>
              <w:top w:w="70" w:type="dxa"/>
              <w:start w:w="90" w:type="dxa"/>
              <w:bottom w:w="70" w:type="dxa"/>
              <w:end w:w="90" w:type="dxa"/>
            </w:tcMar>
            <w:vAlign w:val="top"/>
          </w:tcPr>
          <w:p>
            <w:pPr>
              <w:spacing w:after="0" w:before="0" w:line="240" w:lineRule="auto"/>
            </w:pPr>
            <w:r>
              <w:rPr>
                <w:rFonts w:ascii="Aptos" w:hAnsi="Aptos"/>
                <w:sz w:val="17"/>
              </w:rPr>
              <w:t>Primary commit</w:t>
            </w:r>
          </w:p>
        </w:tc>
        <w:tc>
          <w:tcPr>
            <w:tcW w:type="dxa" w:w="7416"/>
            <w:tcMar>
              <w:top w:w="70" w:type="dxa"/>
              <w:start w:w="90" w:type="dxa"/>
              <w:bottom w:w="70" w:type="dxa"/>
              <w:end w:w="90" w:type="dxa"/>
            </w:tcMar>
            <w:vAlign w:val="top"/>
          </w:tcPr>
          <w:p>
            <w:pPr>
              <w:spacing w:after="0" w:before="0" w:line="240" w:lineRule="auto"/>
            </w:pPr>
            <w:r>
              <w:rPr>
                <w:rFonts w:ascii="Aptos" w:hAnsi="Aptos"/>
                <w:sz w:val="17"/>
              </w:rPr>
              <w:t>feat: add numbered sqlite migrations</w:t>
            </w:r>
          </w:p>
        </w:tc>
      </w:tr>
      <w:tr>
        <w:trPr>
          <w:cantSplit/>
        </w:trPr>
        <w:tc>
          <w:tcPr>
            <w:tcW w:type="dxa" w:w="2376"/>
            <w:shd w:fill="EDF4FA"/>
            <w:tcMar>
              <w:top w:w="70" w:type="dxa"/>
              <w:start w:w="90" w:type="dxa"/>
              <w:bottom w:w="70" w:type="dxa"/>
              <w:end w:w="90" w:type="dxa"/>
            </w:tcMar>
            <w:vAlign w:val="top"/>
          </w:tcPr>
          <w:p>
            <w:pPr>
              <w:spacing w:after="0" w:before="0" w:line="240" w:lineRule="auto"/>
            </w:pPr>
            <w:r>
              <w:rPr>
                <w:rFonts w:ascii="Aptos" w:hAnsi="Aptos"/>
                <w:sz w:val="17"/>
              </w:rPr>
              <w:t>Target schema version</w:t>
            </w:r>
          </w:p>
        </w:tc>
        <w:tc>
          <w:tcPr>
            <w:tcW w:type="dxa" w:w="7416"/>
            <w:shd w:fill="EDF4FA"/>
            <w:tcMar>
              <w:top w:w="70" w:type="dxa"/>
              <w:start w:w="90" w:type="dxa"/>
              <w:bottom w:w="70" w:type="dxa"/>
              <w:end w:w="90" w:type="dxa"/>
            </w:tcMar>
            <w:vAlign w:val="top"/>
          </w:tcPr>
          <w:p>
            <w:pPr>
              <w:spacing w:after="0" w:before="0" w:line="240" w:lineRule="auto"/>
            </w:pPr>
            <w:r>
              <w:rPr>
                <w:rFonts w:ascii="Aptos" w:hAnsi="Aptos"/>
                <w:sz w:val="17"/>
              </w:rPr>
              <w:t>1</w:t>
            </w:r>
          </w:p>
        </w:tc>
      </w:tr>
      <w:tr>
        <w:trPr>
          <w:cantSplit/>
        </w:trPr>
        <w:tc>
          <w:tcPr>
            <w:tcW w:type="dxa" w:w="2376"/>
            <w:tcMar>
              <w:top w:w="70" w:type="dxa"/>
              <w:start w:w="90" w:type="dxa"/>
              <w:bottom w:w="70" w:type="dxa"/>
              <w:end w:w="90" w:type="dxa"/>
            </w:tcMar>
            <w:vAlign w:val="top"/>
          </w:tcPr>
          <w:p>
            <w:pPr>
              <w:spacing w:after="0" w:before="0" w:line="240" w:lineRule="auto"/>
            </w:pPr>
            <w:r>
              <w:rPr>
                <w:rFonts w:ascii="Aptos" w:hAnsi="Aptos"/>
                <w:sz w:val="17"/>
              </w:rPr>
              <w:t>Production migration</w:t>
            </w:r>
          </w:p>
        </w:tc>
        <w:tc>
          <w:tcPr>
            <w:tcW w:type="dxa" w:w="7416"/>
            <w:tcMar>
              <w:top w:w="70" w:type="dxa"/>
              <w:start w:w="90" w:type="dxa"/>
              <w:bottom w:w="70" w:type="dxa"/>
              <w:end w:w="90" w:type="dxa"/>
            </w:tcMar>
            <w:vAlign w:val="top"/>
          </w:tcPr>
          <w:p>
            <w:pPr>
              <w:spacing w:after="0" w:before="0" w:line="240" w:lineRule="auto"/>
            </w:pPr>
            <w:r>
              <w:rPr>
                <w:rFonts w:ascii="Aptos" w:hAnsi="Aptos"/>
                <w:sz w:val="17"/>
              </w:rPr>
              <w:t>0001-initial-schema.sql</w:t>
            </w:r>
          </w:p>
        </w:tc>
      </w:tr>
      <w:tr>
        <w:trPr>
          <w:cantSplit/>
        </w:trPr>
        <w:tc>
          <w:tcPr>
            <w:tcW w:type="dxa" w:w="2376"/>
            <w:shd w:fill="EDF4FA"/>
            <w:tcMar>
              <w:top w:w="70" w:type="dxa"/>
              <w:start w:w="90" w:type="dxa"/>
              <w:bottom w:w="70" w:type="dxa"/>
              <w:end w:w="90" w:type="dxa"/>
            </w:tcMar>
            <w:vAlign w:val="top"/>
          </w:tcPr>
          <w:p>
            <w:pPr>
              <w:spacing w:after="0" w:before="0" w:line="240" w:lineRule="auto"/>
            </w:pPr>
            <w:r>
              <w:rPr>
                <w:rFonts w:ascii="Aptos" w:hAnsi="Aptos"/>
                <w:sz w:val="17"/>
              </w:rPr>
              <w:t>Core deliverable</w:t>
            </w:r>
          </w:p>
        </w:tc>
        <w:tc>
          <w:tcPr>
            <w:tcW w:type="dxa" w:w="7416"/>
            <w:shd w:fill="EDF4FA"/>
            <w:tcMar>
              <w:top w:w="70" w:type="dxa"/>
              <w:start w:w="90" w:type="dxa"/>
              <w:bottom w:w="70" w:type="dxa"/>
              <w:end w:w="90" w:type="dxa"/>
            </w:tcMar>
            <w:vAlign w:val="top"/>
          </w:tcPr>
          <w:p>
            <w:pPr>
              <w:spacing w:after="0" w:before="0" w:line="240" w:lineRule="auto"/>
            </w:pPr>
            <w:r>
              <w:rPr>
                <w:rFonts w:ascii="Aptos" w:hAnsi="Aptos"/>
                <w:sz w:val="17"/>
              </w:rPr>
              <w:t>Deterministic migration engine, immutable migration history, and empty operational schema</w:t>
            </w:r>
          </w:p>
        </w:tc>
      </w:tr>
      <w:tr>
        <w:trPr>
          <w:cantSplit/>
        </w:trPr>
        <w:tc>
          <w:tcPr>
            <w:tcW w:type="dxa" w:w="2376"/>
            <w:tcMar>
              <w:top w:w="70" w:type="dxa"/>
              <w:start w:w="90" w:type="dxa"/>
              <w:bottom w:w="70" w:type="dxa"/>
              <w:end w:w="90" w:type="dxa"/>
            </w:tcMar>
            <w:vAlign w:val="top"/>
          </w:tcPr>
          <w:p>
            <w:pPr>
              <w:spacing w:after="0" w:before="0" w:line="240" w:lineRule="auto"/>
            </w:pPr>
            <w:r>
              <w:rPr>
                <w:rFonts w:ascii="Aptos" w:hAnsi="Aptos"/>
                <w:sz w:val="17"/>
              </w:rPr>
              <w:t>Next-task gate</w:t>
            </w:r>
          </w:p>
        </w:tc>
        <w:tc>
          <w:tcPr>
            <w:tcW w:type="dxa" w:w="7416"/>
            <w:tcMar>
              <w:top w:w="70" w:type="dxa"/>
              <w:start w:w="90" w:type="dxa"/>
              <w:bottom w:w="70" w:type="dxa"/>
              <w:end w:w="90" w:type="dxa"/>
            </w:tcMar>
            <w:vAlign w:val="top"/>
          </w:tcPr>
          <w:p>
            <w:pPr>
              <w:spacing w:after="0" w:before="0" w:line="240" w:lineRule="auto"/>
            </w:pPr>
            <w:r>
              <w:rPr>
                <w:rFonts w:ascii="Aptos" w:hAnsi="Aptos"/>
                <w:sz w:val="17"/>
              </w:rPr>
              <w:t>Do not begin HSD-008 until HSD-007 is reviewed, corrected if needed, and merged</w:t>
            </w:r>
          </w:p>
        </w:tc>
      </w:tr>
    </w:tbl>
    <w:p>
      <w:pPr>
        <w:spacing w:after="80" w:line="252" w:lineRule="auto"/>
      </w:pPr>
    </w:p>
    <w:tbl>
      <w:tblPr>
        <w:tblStyle w:val="TableGrid"/>
        <w:tblW w:type="auto" w:w="0"/>
        <w:jc w:val="center"/>
        <w:tblLook w:firstColumn="1" w:firstRow="1" w:lastColumn="0" w:lastRow="0" w:noHBand="0" w:noVBand="1" w:val="04A0"/>
      </w:tblPr>
      <w:tblGrid>
        <w:gridCol w:w="10080"/>
      </w:tblGrid>
      <w:tr>
        <w:tc>
          <w:tcPr>
            <w:tcW w:type="dxa" w:w="10080"/>
            <w:shd w:fill="FCE4D6"/>
            <w:tcMar>
              <w:top w:w="100" w:type="dxa"/>
              <w:start w:w="130" w:type="dxa"/>
              <w:bottom w:w="100" w:type="dxa"/>
              <w:end w:w="130" w:type="dxa"/>
            </w:tcMar>
          </w:tcPr>
          <w:p>
            <w:pPr>
              <w:spacing w:after="0"/>
            </w:pPr>
            <w:r>
              <w:rPr>
                <w:b/>
                <w:color w:val="163A5F"/>
              </w:rPr>
              <w:t xml:space="preserve">Scope boundary: </w:t>
            </w:r>
            <w:r>
              <w:rPr>
                <w:sz w:val="18"/>
              </w:rPr>
              <w:t>Do not insert an administrator, protocol, location, patient, or any other seed record. HSD-007 creates structure only. First-run configuration and operational writes remain separate reviewed tasks.</w:t>
            </w:r>
          </w:p>
        </w:tc>
      </w:tr>
    </w:tbl>
    <w:p>
      <w:pPr>
        <w:spacing w:after="80" w:line="252" w:lineRule="auto"/>
      </w:pPr>
    </w:p>
    <w:p>
      <w:pPr>
        <w:spacing w:after="80" w:line="252" w:lineRule="auto"/>
      </w:pPr>
      <w:r>
        <w:br w:type="page"/>
      </w:r>
    </w:p>
    <w:p>
      <w:pPr>
        <w:pStyle w:val="Heading1"/>
        <w:keepNext/>
        <w:spacing w:before="140" w:after="60"/>
      </w:pPr>
      <w:r>
        <w:t>1. Task Brief</w:t>
      </w:r>
    </w:p>
    <w:p>
      <w:pPr>
        <w:spacing w:after="80" w:line="252" w:lineRule="auto"/>
      </w:pPr>
      <w:r>
        <w:t>HSD-007 converts the HSD-006 file-backed SQLite runtime into a versioned local database platform. It adds a deterministic, main-process-only migration runner; stores an auditable migration ledger; upgrades both a fresh database and an existing HSD-006 user_version=0 database to schema version 1; creates the approved empty local operational schema; and blocks application startup when migration history is unsafe or incompatible. The task does not implement repositories, authentication, first-run setup, patient workflows, clinical logic, synchronization transport, or user-facing schema diagnostics.</w:t>
      </w:r>
    </w:p>
    <w:p>
      <w:pPr>
        <w:pStyle w:val="Heading1"/>
        <w:keepNext/>
        <w:spacing w:before="140" w:after="60"/>
      </w:pPr>
      <w:r>
        <w:t>2. Prerequisite and Branch Setup</w:t>
      </w:r>
    </w:p>
    <w:p>
      <w:pPr>
        <w:spacing w:after="80" w:line="252" w:lineRule="auto"/>
      </w:pPr>
      <w:r>
        <w:t>HSD-006 must already be fully approved and merged into main. The expected remote baseline is the merge commit shown in the task metadata table.</w:t>
      </w:r>
    </w:p>
    <w:p>
      <w:pPr>
        <w:pStyle w:val="CodeBlock"/>
        <w:keepLines/>
        <w:spacing w:before="60" w:after="100"/>
      </w:pPr>
      <w:r>
        <w:rPr>
          <w:rFonts w:ascii="Cascadia Mono" w:hAnsi="Cascadia Mono"/>
          <w:sz w:val="15"/>
        </w:rPr>
        <w:t>git switch main</w:t>
        <w:br/>
        <w:t>git pull origin main</w:t>
        <w:br/>
        <w:t>git status</w:t>
        <w:br/>
        <w:t>git log -6 --oneline</w:t>
        <w:br/>
        <w:t>git switch -c feature/hsd-007-numbered-migrations</w:t>
      </w:r>
    </w:p>
    <w:p>
      <w:pPr>
        <w:pStyle w:val="ListBullet"/>
        <w:spacing w:after="30" w:line="240" w:lineRule="auto"/>
      </w:pPr>
      <w:r>
        <w:t>The working tree must be clean before the branch is created.</w:t>
      </w:r>
    </w:p>
    <w:p>
      <w:pPr>
        <w:pStyle w:val="ListBullet"/>
        <w:spacing w:after="30" w:line="240" w:lineRule="auto"/>
      </w:pPr>
      <w:r>
        <w:t>The branch must start from the HSD-006 merge on main, not from feature/hsd-006-sqlite-runtime.</w:t>
      </w:r>
    </w:p>
    <w:p>
      <w:pPr>
        <w:pStyle w:val="ListBullet"/>
        <w:spacing w:after="30" w:line="240" w:lineRule="auto"/>
      </w:pPr>
      <w:r>
        <w:t>Copy this task document into doc/ without changing its requirements.</w:t>
      </w:r>
    </w:p>
    <w:p>
      <w:pPr>
        <w:pStyle w:val="ListBullet"/>
        <w:spacing w:after="30" w:line="240" w:lineRule="auto"/>
      </w:pPr>
      <w:r>
        <w:t>Do not rewrite, squash, reset, or force-push any previously reviewed HSD history.</w:t>
      </w:r>
    </w:p>
    <w:p>
      <w:pPr>
        <w:pStyle w:val="ListBullet"/>
        <w:spacing w:after="30" w:line="240" w:lineRule="auto"/>
      </w:pPr>
      <w:r>
        <w:t>Do not change package versions. HSD-007 requires no new runtime or development dependency.</w:t>
      </w:r>
    </w:p>
    <w:p>
      <w:pPr>
        <w:pStyle w:val="Heading1"/>
        <w:keepNext/>
        <w:spacing w:before="140" w:after="60"/>
      </w:pPr>
      <w:r>
        <w:t>3. Goal</w:t>
      </w:r>
    </w:p>
    <w:p>
      <w:pPr>
        <w:spacing w:after="80" w:line="252" w:lineRule="auto"/>
      </w:pPr>
      <w:r>
        <w:t>Create a reliable schema-upgrade boundary that runs after the HSD-006 connection pragmas are established and before IPC handlers or the renderer window are created. When initialization succeeds, the database must be at exactly schema version 1, the migration ledger must match the bundled migration source, all required tables and indexes must exist, and Database health must remain Ready. Any migration failure, checksum mismatch, metadata inconsistency, unsupported newer schema, or rollback failure must keep the database unavailable and prevent renderer startup.</w:t>
      </w:r>
    </w:p>
    <w:p>
      <w:pPr>
        <w:pStyle w:val="Heading1"/>
        <w:keepNext/>
        <w:spacing w:before="140" w:after="60"/>
      </w:pPr>
      <w:r>
        <w:t>4. Required Outcomes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088"/>
            <w:shd w:fill="163A5F"/>
            <w:vAlign w:val="top"/>
            <w:tcMar>
              <w:top w:w="55" w:type="dxa"/>
              <w:start w:w="90" w:type="dxa"/>
              <w:bottom w:w="55" w:type="dxa"/>
              <w:end w:w="90" w:type="dxa"/>
            </w:tcMar>
          </w:tcPr>
          <w:p>
            <w:pPr>
              <w:spacing w:after="0" w:before="0" w:line="240" w:lineRule="auto"/>
            </w:pPr>
            <w:r>
              <w:rPr>
                <w:rFonts w:ascii="Aptos" w:hAnsi="Aptos"/>
                <w:b/>
                <w:color w:val="FFFFFF"/>
                <w:sz w:val="17"/>
              </w:rPr>
              <w:t>Area</w:t>
            </w:r>
          </w:p>
        </w:tc>
        <w:tc>
          <w:tcPr>
            <w:tcW w:type="dxa" w:w="7704"/>
            <w:shd w:fill="163A5F"/>
            <w:vAlign w:val="top"/>
            <w:tcMar>
              <w:top w:w="55" w:type="dxa"/>
              <w:start w:w="90" w:type="dxa"/>
              <w:bottom w:w="55" w:type="dxa"/>
              <w:end w:w="90" w:type="dxa"/>
            </w:tcMar>
          </w:tcPr>
          <w:p>
            <w:pPr>
              <w:spacing w:after="0" w:before="0" w:line="240" w:lineRule="auto"/>
            </w:pPr>
            <w:r>
              <w:rPr>
                <w:rFonts w:ascii="Aptos" w:hAnsi="Aptos"/>
                <w:b/>
                <w:color w:val="FFFFFF"/>
                <w:sz w:val="17"/>
              </w:rPr>
              <w:t>Required outcome</w:t>
            </w:r>
          </w:p>
        </w:tc>
      </w:tr>
      <w:tr>
        <w:trPr>
          <w:cantSplit/>
        </w:trPr>
        <w:tc>
          <w:tcPr>
            <w:tcW w:type="dxa" w:w="2088"/>
            <w:tcMar>
              <w:top w:w="55" w:type="dxa"/>
              <w:start w:w="90" w:type="dxa"/>
              <w:bottom w:w="55" w:type="dxa"/>
              <w:end w:w="90" w:type="dxa"/>
            </w:tcMar>
            <w:vAlign w:val="top"/>
          </w:tcPr>
          <w:p>
            <w:pPr>
              <w:spacing w:after="0" w:before="0" w:line="240" w:lineRule="auto"/>
            </w:pPr>
            <w:r>
              <w:rPr>
                <w:rFonts w:ascii="Aptos" w:hAnsi="Aptos"/>
                <w:sz w:val="16"/>
              </w:rPr>
              <w:t>Migration source</w:t>
            </w:r>
          </w:p>
        </w:tc>
        <w:tc>
          <w:tcPr>
            <w:tcW w:type="dxa" w:w="7704"/>
            <w:tcMar>
              <w:top w:w="55" w:type="dxa"/>
              <w:start w:w="90" w:type="dxa"/>
              <w:bottom w:w="55" w:type="dxa"/>
              <w:end w:w="90" w:type="dxa"/>
            </w:tcMar>
            <w:vAlign w:val="top"/>
          </w:tcPr>
          <w:p>
            <w:pPr>
              <w:spacing w:after="0" w:before="0" w:line="240" w:lineRule="auto"/>
            </w:pPr>
            <w:r>
              <w:rPr>
                <w:rFonts w:ascii="Aptos" w:hAnsi="Aptos"/>
                <w:sz w:val="16"/>
              </w:rPr>
              <w:t>One explicit ordered migration manifest embeds 0001-initial-schema.sql into the main bundle. No runtime directory scanning or repository-relative filesystem lookup.</w:t>
            </w:r>
          </w:p>
        </w:tc>
      </w:tr>
      <w:tr>
        <w:trPr>
          <w:cantSplit/>
        </w:trPr>
        <w:tc>
          <w:tcPr>
            <w:tcW w:type="dxa" w:w="2088"/>
            <w:shd w:fill="EDF4FA"/>
            <w:tcMar>
              <w:top w:w="55" w:type="dxa"/>
              <w:start w:w="90" w:type="dxa"/>
              <w:bottom w:w="55" w:type="dxa"/>
              <w:end w:w="90" w:type="dxa"/>
            </w:tcMar>
            <w:vAlign w:val="top"/>
          </w:tcPr>
          <w:p>
            <w:pPr>
              <w:spacing w:after="0" w:before="0" w:line="240" w:lineRule="auto"/>
            </w:pPr>
            <w:r>
              <w:rPr>
                <w:rFonts w:ascii="Aptos" w:hAnsi="Aptos"/>
                <w:sz w:val="16"/>
              </w:rPr>
              <w:t>Determinism</w:t>
            </w:r>
          </w:p>
        </w:tc>
        <w:tc>
          <w:tcPr>
            <w:tcW w:type="dxa" w:w="7704"/>
            <w:shd w:fill="EDF4FA"/>
            <w:tcMar>
              <w:top w:w="55" w:type="dxa"/>
              <w:start w:w="90" w:type="dxa"/>
              <w:bottom w:w="55" w:type="dxa"/>
              <w:end w:w="90" w:type="dxa"/>
            </w:tcMar>
            <w:vAlign w:val="top"/>
          </w:tcPr>
          <w:p>
            <w:pPr>
              <w:spacing w:after="0" w:before="0" w:line="240" w:lineRule="auto"/>
            </w:pPr>
            <w:r>
              <w:rPr>
                <w:rFonts w:ascii="Aptos" w:hAnsi="Aptos"/>
                <w:sz w:val="16"/>
              </w:rPr>
              <w:t>Migration versions are positive, unique, contiguous, and applied strictly in ascending order.</w:t>
            </w:r>
          </w:p>
        </w:tc>
      </w:tr>
      <w:tr>
        <w:trPr>
          <w:cantSplit/>
        </w:trPr>
        <w:tc>
          <w:tcPr>
            <w:tcW w:type="dxa" w:w="2088"/>
            <w:tcMar>
              <w:top w:w="55" w:type="dxa"/>
              <w:start w:w="90" w:type="dxa"/>
              <w:bottom w:w="55" w:type="dxa"/>
              <w:end w:w="90" w:type="dxa"/>
            </w:tcMar>
            <w:vAlign w:val="top"/>
          </w:tcPr>
          <w:p>
            <w:pPr>
              <w:spacing w:after="0" w:before="0" w:line="240" w:lineRule="auto"/>
            </w:pPr>
            <w:r>
              <w:rPr>
                <w:rFonts w:ascii="Aptos" w:hAnsi="Aptos"/>
                <w:sz w:val="16"/>
              </w:rPr>
              <w:t>Atomicity</w:t>
            </w:r>
          </w:p>
        </w:tc>
        <w:tc>
          <w:tcPr>
            <w:tcW w:type="dxa" w:w="7704"/>
            <w:tcMar>
              <w:top w:w="55" w:type="dxa"/>
              <w:start w:w="90" w:type="dxa"/>
              <w:bottom w:w="55" w:type="dxa"/>
              <w:end w:w="90" w:type="dxa"/>
            </w:tcMar>
            <w:vAlign w:val="top"/>
          </w:tcPr>
          <w:p>
            <w:pPr>
              <w:spacing w:after="0" w:before="0" w:line="240" w:lineRule="auto"/>
            </w:pPr>
            <w:r>
              <w:rPr>
                <w:rFonts w:ascii="Aptos" w:hAnsi="Aptos"/>
                <w:sz w:val="16"/>
              </w:rPr>
              <w:t>Each migration, its schema_migrations row, and PRAGMA user_version update commit in one SQLite transaction or roll back together.</w:t>
            </w:r>
          </w:p>
        </w:tc>
      </w:tr>
      <w:tr>
        <w:trPr>
          <w:cantSplit/>
        </w:trPr>
        <w:tc>
          <w:tcPr>
            <w:tcW w:type="dxa" w:w="2088"/>
            <w:shd w:fill="EDF4FA"/>
            <w:tcMar>
              <w:top w:w="55" w:type="dxa"/>
              <w:start w:w="90" w:type="dxa"/>
              <w:bottom w:w="55" w:type="dxa"/>
              <w:end w:w="90" w:type="dxa"/>
            </w:tcMar>
            <w:vAlign w:val="top"/>
          </w:tcPr>
          <w:p>
            <w:pPr>
              <w:spacing w:after="0" w:before="0" w:line="240" w:lineRule="auto"/>
            </w:pPr>
            <w:r>
              <w:rPr>
                <w:rFonts w:ascii="Aptos" w:hAnsi="Aptos"/>
                <w:sz w:val="16"/>
              </w:rPr>
              <w:t>History integrity</w:t>
            </w:r>
          </w:p>
        </w:tc>
        <w:tc>
          <w:tcPr>
            <w:tcW w:type="dxa" w:w="7704"/>
            <w:shd w:fill="EDF4FA"/>
            <w:tcMar>
              <w:top w:w="55" w:type="dxa"/>
              <w:start w:w="90" w:type="dxa"/>
              <w:bottom w:w="55" w:type="dxa"/>
              <w:end w:w="90" w:type="dxa"/>
            </w:tcMar>
            <w:vAlign w:val="top"/>
          </w:tcPr>
          <w:p>
            <w:pPr>
              <w:spacing w:after="0" w:before="0" w:line="240" w:lineRule="auto"/>
            </w:pPr>
            <w:r>
              <w:rPr>
                <w:rFonts w:ascii="Aptos" w:hAnsi="Aptos"/>
                <w:sz w:val="16"/>
              </w:rPr>
              <w:t>Applied migration names and canonical SHA-256 checksums are verified on every startup. Historical source changes cause a controlled fatal compatibility error.</w:t>
            </w:r>
          </w:p>
        </w:tc>
      </w:tr>
      <w:tr>
        <w:trPr>
          <w:cantSplit/>
        </w:trPr>
        <w:tc>
          <w:tcPr>
            <w:tcW w:type="dxa" w:w="2088"/>
            <w:tcMar>
              <w:top w:w="55" w:type="dxa"/>
              <w:start w:w="90" w:type="dxa"/>
              <w:bottom w:w="55" w:type="dxa"/>
              <w:end w:w="90" w:type="dxa"/>
            </w:tcMar>
            <w:vAlign w:val="top"/>
          </w:tcPr>
          <w:p>
            <w:pPr>
              <w:spacing w:after="0" w:before="0" w:line="240" w:lineRule="auto"/>
            </w:pPr>
            <w:r>
              <w:rPr>
                <w:rFonts w:ascii="Aptos" w:hAnsi="Aptos"/>
                <w:sz w:val="16"/>
              </w:rPr>
              <w:t>Compatibility</w:t>
            </w:r>
          </w:p>
        </w:tc>
        <w:tc>
          <w:tcPr>
            <w:tcW w:type="dxa" w:w="7704"/>
            <w:tcMar>
              <w:top w:w="55" w:type="dxa"/>
              <w:start w:w="90" w:type="dxa"/>
              <w:bottom w:w="55" w:type="dxa"/>
              <w:end w:w="90" w:type="dxa"/>
            </w:tcMar>
            <w:vAlign w:val="top"/>
          </w:tcPr>
          <w:p>
            <w:pPr>
              <w:spacing w:after="0" w:before="0" w:line="240" w:lineRule="auto"/>
            </w:pPr>
            <w:r>
              <w:rPr>
                <w:rFonts w:ascii="Aptos" w:hAnsi="Aptos"/>
                <w:sz w:val="16"/>
              </w:rPr>
              <w:t>Fresh user_version=0 databases upgrade to 1; repeated startup is idempotent; databases newer than the bundled manifest are refused without destructive repair or downgrade.</w:t>
            </w:r>
          </w:p>
        </w:tc>
      </w:tr>
      <w:tr>
        <w:trPr>
          <w:cantSplit/>
        </w:trPr>
        <w:tc>
          <w:tcPr>
            <w:tcW w:type="dxa" w:w="2088"/>
            <w:shd w:fill="EDF4FA"/>
            <w:tcMar>
              <w:top w:w="55" w:type="dxa"/>
              <w:start w:w="90" w:type="dxa"/>
              <w:bottom w:w="55" w:type="dxa"/>
              <w:end w:w="90" w:type="dxa"/>
            </w:tcMar>
            <w:vAlign w:val="top"/>
          </w:tcPr>
          <w:p>
            <w:pPr>
              <w:spacing w:after="0" w:before="0" w:line="240" w:lineRule="auto"/>
            </w:pPr>
            <w:r>
              <w:rPr>
                <w:rFonts w:ascii="Aptos" w:hAnsi="Aptos"/>
                <w:sz w:val="16"/>
              </w:rPr>
              <w:t>Schema v1</w:t>
            </w:r>
          </w:p>
        </w:tc>
        <w:tc>
          <w:tcPr>
            <w:tcW w:type="dxa" w:w="7704"/>
            <w:shd w:fill="EDF4FA"/>
            <w:tcMar>
              <w:top w:w="55" w:type="dxa"/>
              <w:start w:w="90" w:type="dxa"/>
              <w:bottom w:w="55" w:type="dxa"/>
              <w:end w:w="90" w:type="dxa"/>
            </w:tcMar>
            <w:vAlign w:val="top"/>
          </w:tcPr>
          <w:p>
            <w:pPr>
              <w:spacing w:after="0" w:before="0" w:line="240" w:lineRule="auto"/>
            </w:pPr>
            <w:r>
              <w:rPr>
                <w:rFonts w:ascii="Aptos" w:hAnsi="Aptos"/>
                <w:sz w:val="16"/>
              </w:rPr>
              <w:t>The complete empty local operational schema, foreign keys, checks, JSON validation, and required indexes are created with no seed data.</w:t>
            </w:r>
          </w:p>
        </w:tc>
      </w:tr>
      <w:tr>
        <w:trPr>
          <w:cantSplit/>
        </w:trPr>
        <w:tc>
          <w:tcPr>
            <w:tcW w:type="dxa" w:w="2088"/>
            <w:tcMar>
              <w:top w:w="55" w:type="dxa"/>
              <w:start w:w="90" w:type="dxa"/>
              <w:bottom w:w="55" w:type="dxa"/>
              <w:end w:w="90" w:type="dxa"/>
            </w:tcMar>
            <w:vAlign w:val="top"/>
          </w:tcPr>
          <w:p>
            <w:pPr>
              <w:spacing w:after="0" w:before="0" w:line="240" w:lineRule="auto"/>
            </w:pPr>
            <w:r>
              <w:rPr>
                <w:rFonts w:ascii="Aptos" w:hAnsi="Aptos"/>
                <w:sz w:val="16"/>
              </w:rPr>
              <w:t>Lifecycle</w:t>
            </w:r>
          </w:p>
        </w:tc>
        <w:tc>
          <w:tcPr>
            <w:tcW w:type="dxa" w:w="7704"/>
            <w:tcMar>
              <w:top w:w="55" w:type="dxa"/>
              <w:start w:w="90" w:type="dxa"/>
              <w:bottom w:w="55" w:type="dxa"/>
              <w:end w:w="90" w:type="dxa"/>
            </w:tcMar>
            <w:vAlign w:val="top"/>
          </w:tcPr>
          <w:p>
            <w:pPr>
              <w:spacing w:after="0" w:before="0" w:line="240" w:lineRule="auto"/>
            </w:pPr>
            <w:r>
              <w:rPr>
                <w:rFonts w:ascii="Aptos" w:hAnsi="Aptos"/>
                <w:sz w:val="16"/>
              </w:rPr>
              <w:t>Migrations finish before database readiness, application IPC registration, or window creation. Failure closes the connection and quits safely.</w:t>
            </w:r>
          </w:p>
        </w:tc>
      </w:tr>
      <w:tr>
        <w:trPr>
          <w:cantSplit/>
        </w:trPr>
        <w:tc>
          <w:tcPr>
            <w:tcW w:type="dxa" w:w="2088"/>
            <w:shd w:fill="EDF4FA"/>
            <w:tcMar>
              <w:top w:w="55" w:type="dxa"/>
              <w:start w:w="90" w:type="dxa"/>
              <w:bottom w:w="55" w:type="dxa"/>
              <w:end w:w="90" w:type="dxa"/>
            </w:tcMar>
            <w:vAlign w:val="top"/>
          </w:tcPr>
          <w:p>
            <w:pPr>
              <w:spacing w:after="0" w:before="0" w:line="240" w:lineRule="auto"/>
            </w:pPr>
            <w:r>
              <w:rPr>
                <w:rFonts w:ascii="Aptos" w:hAnsi="Aptos"/>
                <w:sz w:val="16"/>
              </w:rPr>
              <w:t>Security boundary</w:t>
            </w:r>
          </w:p>
        </w:tc>
        <w:tc>
          <w:tcPr>
            <w:tcW w:type="dxa" w:w="7704"/>
            <w:shd w:fill="EDF4FA"/>
            <w:tcMar>
              <w:top w:w="55" w:type="dxa"/>
              <w:start w:w="90" w:type="dxa"/>
              <w:bottom w:w="55" w:type="dxa"/>
              <w:end w:w="90" w:type="dxa"/>
            </w:tcMar>
            <w:vAlign w:val="top"/>
          </w:tcPr>
          <w:p>
            <w:pPr>
              <w:spacing w:after="0" w:before="0" w:line="240" w:lineRule="auto"/>
            </w:pPr>
            <w:r>
              <w:rPr>
                <w:rFonts w:ascii="Aptos" w:hAnsi="Aptos"/>
                <w:sz w:val="16"/>
              </w:rPr>
              <w:t>Migration SQL, connection objects, schema details, checksums, paths, and raw errors never cross preload or renderer IPC.</w:t>
            </w:r>
          </w:p>
        </w:tc>
      </w:tr>
      <w:tr>
        <w:trPr>
          <w:cantSplit/>
        </w:trPr>
        <w:tc>
          <w:tcPr>
            <w:tcW w:type="dxa" w:w="2088"/>
            <w:tcMar>
              <w:top w:w="55" w:type="dxa"/>
              <w:start w:w="90" w:type="dxa"/>
              <w:bottom w:w="55" w:type="dxa"/>
              <w:end w:w="90" w:type="dxa"/>
            </w:tcMar>
            <w:vAlign w:val="top"/>
          </w:tcPr>
          <w:p>
            <w:pPr>
              <w:spacing w:after="0" w:before="0" w:line="240" w:lineRule="auto"/>
            </w:pPr>
            <w:r>
              <w:rPr>
                <w:rFonts w:ascii="Aptos" w:hAnsi="Aptos"/>
                <w:sz w:val="16"/>
              </w:rPr>
              <w:t>Packaging</w:t>
            </w:r>
          </w:p>
        </w:tc>
        <w:tc>
          <w:tcPr>
            <w:tcW w:type="dxa" w:w="7704"/>
            <w:tcMar>
              <w:top w:w="55" w:type="dxa"/>
              <w:start w:w="90" w:type="dxa"/>
              <w:bottom w:w="55" w:type="dxa"/>
              <w:end w:w="90" w:type="dxa"/>
            </w:tcMar>
            <w:vAlign w:val="top"/>
          </w:tcPr>
          <w:p>
            <w:pPr>
              <w:spacing w:after="0" w:before="0" w:line="240" w:lineRule="auto"/>
            </w:pPr>
            <w:r>
              <w:rPr>
                <w:rFonts w:ascii="Aptos" w:hAnsi="Aptos"/>
                <w:sz w:val="16"/>
              </w:rPr>
              <w:t>The SQL migration is embedded at build time and works in development, preview, and unpacked Windows execution without an external SQL file.</w:t>
            </w:r>
          </w:p>
        </w:tc>
      </w:tr>
      <w:tr>
        <w:trPr>
          <w:cantSplit/>
        </w:trPr>
        <w:tc>
          <w:tcPr>
            <w:tcW w:type="dxa" w:w="2088"/>
            <w:shd w:fill="EDF4FA"/>
            <w:tcMar>
              <w:top w:w="55" w:type="dxa"/>
              <w:start w:w="90" w:type="dxa"/>
              <w:bottom w:w="55" w:type="dxa"/>
              <w:end w:w="90" w:type="dxa"/>
            </w:tcMar>
            <w:vAlign w:val="top"/>
          </w:tcPr>
          <w:p>
            <w:pPr>
              <w:spacing w:after="0" w:before="0" w:line="240" w:lineRule="auto"/>
            </w:pPr>
            <w:r>
              <w:rPr>
                <w:rFonts w:ascii="Aptos" w:hAnsi="Aptos"/>
                <w:sz w:val="16"/>
              </w:rPr>
              <w:t>Evidence</w:t>
            </w:r>
          </w:p>
        </w:tc>
        <w:tc>
          <w:tcPr>
            <w:tcW w:type="dxa" w:w="7704"/>
            <w:shd w:fill="EDF4FA"/>
            <w:tcMar>
              <w:top w:w="55" w:type="dxa"/>
              <w:start w:w="90" w:type="dxa"/>
              <w:bottom w:w="55" w:type="dxa"/>
              <w:end w:w="90" w:type="dxa"/>
            </w:tcMar>
            <w:vAlign w:val="top"/>
          </w:tcPr>
          <w:p>
            <w:pPr>
              <w:spacing w:after="0" w:before="0" w:line="240" w:lineRule="auto"/>
            </w:pPr>
            <w:r>
              <w:rPr>
                <w:rFonts w:ascii="Aptos" w:hAnsi="Aptos"/>
                <w:sz w:val="16"/>
              </w:rPr>
              <w:t>Unit and real-file SQLite integration tests prove upgrade, idempotency, rollback, checksum protection, compatibility refusal, schema constraints, and package-safe startup.</w:t>
            </w:r>
          </w:p>
        </w:tc>
      </w:tr>
    </w:tbl>
    <w:p>
      <w:pPr>
        <w:spacing w:after="80" w:line="252" w:lineRule="auto"/>
      </w:pPr>
    </w:p>
    <w:p>
      <w:pPr>
        <w:pStyle w:val="Heading1"/>
        <w:keepNext/>
        <w:spacing w:before="140" w:after="60"/>
      </w:pPr>
      <w:r>
        <w:t>5. Scope</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4896"/>
            <w:shd w:fill="163A5F"/>
            <w:vAlign w:val="top"/>
            <w:tcMar>
              <w:top w:w="55" w:type="dxa"/>
              <w:start w:w="90" w:type="dxa"/>
              <w:bottom w:w="55" w:type="dxa"/>
              <w:end w:w="90" w:type="dxa"/>
            </w:tcMar>
          </w:tcPr>
          <w:p>
            <w:pPr>
              <w:spacing w:after="0" w:before="0" w:line="240" w:lineRule="auto"/>
            </w:pPr>
            <w:r>
              <w:rPr>
                <w:rFonts w:ascii="Aptos" w:hAnsi="Aptos"/>
                <w:b/>
                <w:color w:val="FFFFFF"/>
                <w:sz w:val="17"/>
              </w:rPr>
              <w:t>In scope</w:t>
            </w:r>
          </w:p>
        </w:tc>
        <w:tc>
          <w:tcPr>
            <w:tcW w:type="dxa" w:w="4896"/>
            <w:shd w:fill="163A5F"/>
            <w:vAlign w:val="top"/>
            <w:tcMar>
              <w:top w:w="55" w:type="dxa"/>
              <w:start w:w="90" w:type="dxa"/>
              <w:bottom w:w="55" w:type="dxa"/>
              <w:end w:w="90" w:type="dxa"/>
            </w:tcMar>
          </w:tcPr>
          <w:p>
            <w:pPr>
              <w:spacing w:after="0" w:before="0" w:line="240" w:lineRule="auto"/>
            </w:pPr>
            <w:r>
              <w:rPr>
                <w:rFonts w:ascii="Aptos" w:hAnsi="Aptos"/>
                <w:b/>
                <w:color w:val="FFFFFF"/>
                <w:sz w:val="17"/>
              </w:rPr>
              <w:t>Out of scope</w:t>
            </w:r>
          </w:p>
        </w:tc>
      </w:tr>
      <w:tr>
        <w:trPr>
          <w:cantSplit/>
        </w:trPr>
        <w:tc>
          <w:tcPr>
            <w:tcW w:type="dxa" w:w="4896"/>
            <w:tcMar>
              <w:top w:w="55" w:type="dxa"/>
              <w:start w:w="90" w:type="dxa"/>
              <w:bottom w:w="55" w:type="dxa"/>
              <w:end w:w="90" w:type="dxa"/>
            </w:tcMar>
            <w:vAlign w:val="top"/>
          </w:tcPr>
          <w:p>
            <w:pPr>
              <w:spacing w:after="0" w:before="0" w:line="240" w:lineRule="auto"/>
            </w:pPr>
            <w:r>
              <w:rPr>
                <w:rFonts w:ascii="Aptos" w:hAnsi="Aptos"/>
                <w:sz w:val="16"/>
              </w:rPr>
              <w:t>Explicit migration types, manifest, checksum canonicalization, and runner</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Repositories, query services, unit-of-work abstractions, or domain CRUD</w:t>
            </w:r>
          </w:p>
        </w:tc>
      </w:tr>
      <w:tr>
        <w:trPr>
          <w:cantSplit/>
        </w:trPr>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One production SQL migration: 0001-initial-schema.sql</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A second production migration or speculative future schema changes</w:t>
            </w:r>
          </w:p>
        </w:tc>
      </w:tr>
      <w:tr>
        <w:trPr>
          <w:cantSplit/>
        </w:trPr>
        <w:tc>
          <w:tcPr>
            <w:tcW w:type="dxa" w:w="4896"/>
            <w:tcMar>
              <w:top w:w="55" w:type="dxa"/>
              <w:start w:w="90" w:type="dxa"/>
              <w:bottom w:w="55" w:type="dxa"/>
              <w:end w:w="90" w:type="dxa"/>
            </w:tcMar>
            <w:vAlign w:val="top"/>
          </w:tcPr>
          <w:p>
            <w:pPr>
              <w:spacing w:after="0" w:before="0" w:line="240" w:lineRule="auto"/>
            </w:pPr>
            <w:r>
              <w:rPr>
                <w:rFonts w:ascii="Aptos" w:hAnsi="Aptos"/>
                <w:sz w:val="16"/>
              </w:rPr>
              <w:t>schema_migrations ledger and PRAGMA user_version coordination</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Downgrade support, destructive reset, auto-repair, or deleting an incompatible database</w:t>
            </w:r>
          </w:p>
        </w:tc>
      </w:tr>
      <w:tr>
        <w:trPr>
          <w:cantSplit/>
        </w:trPr>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All approved empty schema-v1 tables, constraints, foreign keys, and indexes</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Seed users, installation configuration, locations, protocols, patients, or clinical records</w:t>
            </w:r>
          </w:p>
        </w:tc>
      </w:tr>
      <w:tr>
        <w:trPr>
          <w:cantSplit/>
        </w:trPr>
        <w:tc>
          <w:tcPr>
            <w:tcW w:type="dxa" w:w="4896"/>
            <w:tcMar>
              <w:top w:w="55" w:type="dxa"/>
              <w:start w:w="90" w:type="dxa"/>
              <w:bottom w:w="55" w:type="dxa"/>
              <w:end w:w="90" w:type="dxa"/>
            </w:tcMar>
            <w:vAlign w:val="top"/>
          </w:tcPr>
          <w:p>
            <w:pPr>
              <w:spacing w:after="0" w:before="0" w:line="240" w:lineRule="auto"/>
            </w:pPr>
            <w:r>
              <w:rPr>
                <w:rFonts w:ascii="Aptos" w:hAnsi="Aptos"/>
                <w:sz w:val="16"/>
              </w:rPr>
              <w:t>Main-process lifecycle integration before IPC/window startup</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New renderer routes, forms, dashboards, schema-version display, or settings UI</w:t>
            </w:r>
          </w:p>
        </w:tc>
      </w:tr>
      <w:tr>
        <w:trPr>
          <w:cantSplit/>
        </w:trPr>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Safe migration operational logs and controlled internal errors</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Raw SQL logging, database path logging, stack traces, or renderer-visible SQLite details</w:t>
            </w:r>
          </w:p>
        </w:tc>
      </w:tr>
      <w:tr>
        <w:trPr>
          <w:cantSplit/>
        </w:trPr>
        <w:tc>
          <w:tcPr>
            <w:tcW w:type="dxa" w:w="4896"/>
            <w:tcMar>
              <w:top w:w="55" w:type="dxa"/>
              <w:start w:w="90" w:type="dxa"/>
              <w:bottom w:w="55" w:type="dxa"/>
              <w:end w:w="90" w:type="dxa"/>
            </w:tcMar>
            <w:vAlign w:val="top"/>
          </w:tcPr>
          <w:p>
            <w:pPr>
              <w:spacing w:after="0" w:before="0" w:line="240" w:lineRule="auto"/>
            </w:pPr>
            <w:r>
              <w:rPr>
                <w:rFonts w:ascii="Aptos" w:hAnsi="Aptos"/>
                <w:sz w:val="16"/>
              </w:rPr>
              <w:t>Migration and schema documentation, including ADR-004</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Authentication, password hashing, sessions, RBAC, or first-run administration</w:t>
            </w:r>
          </w:p>
        </w:tc>
      </w:tr>
      <w:tr>
        <w:trPr>
          <w:cantSplit/>
        </w:trPr>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Fresh, prior-version, failure, and packaged-runtime verification</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Central PostgreSQL, HTTP sync, FHIR, hospital access, doctor portal, AI, backup, or restore</w:t>
            </w:r>
          </w:p>
        </w:tc>
      </w:tr>
    </w:tbl>
    <w:p>
      <w:pPr>
        <w:spacing w:after="80" w:line="252" w:lineRule="auto"/>
      </w:pPr>
    </w:p>
    <w:p>
      <w:pPr>
        <w:pStyle w:val="Heading1"/>
        <w:keepNext/>
        <w:spacing w:before="140" w:after="60"/>
      </w:pPr>
      <w:r>
        <w:t>6. Required Files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240"/>
            <w:shd w:fill="163A5F"/>
            <w:vAlign w:val="top"/>
            <w:tcMar>
              <w:top w:w="55" w:type="dxa"/>
              <w:start w:w="90" w:type="dxa"/>
              <w:bottom w:w="55" w:type="dxa"/>
              <w:end w:w="90" w:type="dxa"/>
            </w:tcMar>
          </w:tcPr>
          <w:p>
            <w:pPr>
              <w:spacing w:after="0" w:before="0" w:line="240" w:lineRule="auto"/>
            </w:pPr>
            <w:r>
              <w:rPr>
                <w:rFonts w:ascii="Aptos" w:hAnsi="Aptos"/>
                <w:b/>
                <w:color w:val="FFFFFF"/>
                <w:sz w:val="17"/>
              </w:rPr>
              <w:t>Path</w:t>
            </w:r>
          </w:p>
        </w:tc>
        <w:tc>
          <w:tcPr>
            <w:tcW w:type="dxa" w:w="1656"/>
            <w:shd w:fill="163A5F"/>
            <w:vAlign w:val="top"/>
            <w:tcMar>
              <w:top w:w="55" w:type="dxa"/>
              <w:start w:w="90" w:type="dxa"/>
              <w:bottom w:w="55" w:type="dxa"/>
              <w:end w:w="90" w:type="dxa"/>
            </w:tcMar>
          </w:tcPr>
          <w:p>
            <w:pPr>
              <w:spacing w:after="0" w:before="0" w:line="240" w:lineRule="auto"/>
            </w:pPr>
            <w:r>
              <w:rPr>
                <w:rFonts w:ascii="Aptos" w:hAnsi="Aptos"/>
                <w:b/>
                <w:color w:val="FFFFFF"/>
                <w:sz w:val="17"/>
              </w:rPr>
              <w:t>Action</w:t>
            </w:r>
          </w:p>
        </w:tc>
        <w:tc>
          <w:tcPr>
            <w:tcW w:type="dxa" w:w="4896"/>
            <w:shd w:fill="163A5F"/>
            <w:vAlign w:val="top"/>
            <w:tcMar>
              <w:top w:w="55" w:type="dxa"/>
              <w:start w:w="90" w:type="dxa"/>
              <w:bottom w:w="55" w:type="dxa"/>
              <w:end w:w="90" w:type="dxa"/>
            </w:tcMar>
          </w:tcPr>
          <w:p>
            <w:pPr>
              <w:spacing w:after="0" w:before="0" w:line="240" w:lineRule="auto"/>
            </w:pPr>
            <w:r>
              <w:rPr>
                <w:rFonts w:ascii="Aptos" w:hAnsi="Aptos"/>
                <w:b/>
                <w:color w:val="FFFFFF"/>
                <w:sz w:val="17"/>
              </w:rPr>
              <w:t>Responsibility</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.gitattributes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Create or narrowly modify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Enforce LF for *.sql so checksum input is stable across Windows and CI build hosts.</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src/main/database/migrations/migration-types.ts</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Main-process-only migration, logger, clock, context, summary, and error contracts.</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src/main/database/migrations/migration-checksum.ts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Canonicalize migration text and compute lowercase SHA-256 hex without exposing SQL.</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src/main/database/migrations/migration-manifest.ts</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Explicit immutable ordered catalog containing version 1 and the raw SQL import.</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src/main/database/migrations/migration-runner.ts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Validate manifest/history, apply pending migrations atomically, update ledger and user_version, and return a summary.</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src/main/database/migrations/sql/0001-initial-schema.sql</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Create schema version 1 tables, constraints, relationships, and indexes. No inserts.</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src/main/database/migrations/sql-modules.d.ts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Create if needed</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Declare *.sql?raw imports for the main TypeScript build.</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src/main/database/migrations/index.ts</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Export only trusted main-process migration APIs; do not export raw SQL through shared code.</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src/main/database/sqlite-runtime.ts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Modify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Run migrations after connection configuration and before marking the connection ready.</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src/main/database/index.ts</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Modify</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Expose main-process migration integration types needed by lifecycle/tests only.</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src/main/app/lifecycle.ts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Narrowly modify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Inject app version and production migration runner into the SQLite startup path before IPC/window creation.</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docs/adr/ADR-004-numbered-sql-migrations.md</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Record the numbered SQL migration decision and rejected ORM/schema-mutation alternatives.</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docs/database/migrations.md</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Operational rules for adding, applying, testing, and never editing released migrations.</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docs/database/schema-v1.md</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Human-readable schema catalog, relationships, data conventions, and deferred enforcement.</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docs/database/sqlite-runtime.md</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Modify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Replace the HSD-006 user_version=0 statement with the HSD-007 migration lifecycle.</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docs/engineering-standards.md</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Modify</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Add migration immutability, transaction, checksum, and schema conventions.</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docs/repository-structure.md</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Modify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Document the migrations and SQL directories.</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tests/unit/main/migration-manifest.test.ts</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Manifest ordering, duplicates, gaps, canonical checksum, and immutability behavior.</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tests/integration/main/migration-runner.test.ts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Real SQLite migration lifecycle, idempotency, rollback, mismatch, and version compatibility.</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tests/integration/main/schema-v1.test.ts</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Create</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Exact tables, strict typing, foreign keys, checks, indexes, JSON constraints, and empty initial state.</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tests/integration/main/sqlite-runtime.test.ts</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Modify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Expect successful migration to v1 instead of user_version=0 and no tables.</w:t>
            </w:r>
          </w:p>
        </w:tc>
      </w:tr>
      <w:tr>
        <w:trPr>
          <w:cantSplit/>
        </w:trPr>
        <w:tc>
          <w:tcPr>
            <w:tcW w:type="dxa" w:w="3240"/>
            <w:shd w:fill="EDF4FA"/>
            <w:tcMar>
              <w:top w:w="55" w:type="dxa"/>
              <w:start w:w="90" w:type="dxa"/>
              <w:bottom w:w="55" w:type="dxa"/>
              <w:end w:w="90" w:type="dxa"/>
            </w:tcMar>
            <w:vAlign w:val="top"/>
          </w:tcPr>
          <w:p>
            <w:pPr>
              <w:spacing w:after="0" w:before="0" w:line="240" w:lineRule="auto"/>
            </w:pPr>
            <w:r>
              <w:rPr>
                <w:rFonts w:ascii="Aptos" w:hAnsi="Aptos"/>
                <w:sz w:val="16"/>
              </w:rPr>
              <w:t>package.json / pnpm-lock.yaml</w:t>
            </w:r>
          </w:p>
        </w:tc>
        <w:tc>
          <w:tcPr>
            <w:tcW w:type="dxa" w:w="1656"/>
            <w:shd w:fill="EDF4FA"/>
            <w:tcMar>
              <w:top w:w="55" w:type="dxa"/>
              <w:start w:w="90" w:type="dxa"/>
              <w:bottom w:w="55" w:type="dxa"/>
              <w:end w:w="90" w:type="dxa"/>
            </w:tcMar>
            <w:vAlign w:val="top"/>
          </w:tcPr>
          <w:p>
            <w:pPr>
              <w:spacing w:after="0" w:before="0" w:line="240" w:lineRule="auto"/>
            </w:pPr>
            <w:r>
              <w:rPr>
                <w:rFonts w:ascii="Aptos" w:hAnsi="Aptos"/>
                <w:sz w:val="16"/>
              </w:rPr>
              <w:t>Do not modify</w:t>
            </w:r>
          </w:p>
        </w:tc>
        <w:tc>
          <w:tcPr>
            <w:tcW w:type="dxa" w:w="4896"/>
            <w:shd w:fill="EDF4FA"/>
            <w:tcMar>
              <w:top w:w="55" w:type="dxa"/>
              <w:start w:w="90" w:type="dxa"/>
              <w:bottom w:w="55" w:type="dxa"/>
              <w:end w:w="90" w:type="dxa"/>
            </w:tcMar>
            <w:vAlign w:val="top"/>
          </w:tcPr>
          <w:p>
            <w:pPr>
              <w:spacing w:after="0" w:before="0" w:line="240" w:lineRule="auto"/>
            </w:pPr>
            <w:r>
              <w:rPr>
                <w:rFonts w:ascii="Aptos" w:hAnsi="Aptos"/>
                <w:sz w:val="16"/>
              </w:rPr>
              <w:t>No dependency is required for HSD-007.</w:t>
            </w:r>
          </w:p>
        </w:tc>
      </w:tr>
      <w:tr>
        <w:trPr>
          <w:cantSplit/>
        </w:trPr>
        <w:tc>
          <w:tcPr>
            <w:tcW w:type="dxa" w:w="3240"/>
            <w:tcMar>
              <w:top w:w="55" w:type="dxa"/>
              <w:start w:w="90" w:type="dxa"/>
              <w:bottom w:w="55" w:type="dxa"/>
              <w:end w:w="90" w:type="dxa"/>
            </w:tcMar>
            <w:vAlign w:val="top"/>
          </w:tcPr>
          <w:p>
            <w:pPr>
              <w:spacing w:after="0" w:before="0" w:line="240" w:lineRule="auto"/>
            </w:pPr>
            <w:r>
              <w:rPr>
                <w:rFonts w:ascii="Aptos" w:hAnsi="Aptos"/>
                <w:sz w:val="16"/>
              </w:rPr>
              <w:t>electron-builder.yml</w:t>
            </w:r>
          </w:p>
        </w:tc>
        <w:tc>
          <w:tcPr>
            <w:tcW w:type="dxa" w:w="1656"/>
            <w:tcMar>
              <w:top w:w="55" w:type="dxa"/>
              <w:start w:w="90" w:type="dxa"/>
              <w:bottom w:w="55" w:type="dxa"/>
              <w:end w:w="90" w:type="dxa"/>
            </w:tcMar>
            <w:vAlign w:val="top"/>
          </w:tcPr>
          <w:p>
            <w:pPr>
              <w:spacing w:after="0" w:before="0" w:line="240" w:lineRule="auto"/>
            </w:pPr>
            <w:r>
              <w:rPr>
                <w:rFonts w:ascii="Aptos" w:hAnsi="Aptos"/>
                <w:sz w:val="16"/>
              </w:rPr>
              <w:t>Do not modify unless proven necessary</w:t>
            </w:r>
          </w:p>
        </w:tc>
        <w:tc>
          <w:tcPr>
            <w:tcW w:type="dxa" w:w="4896"/>
            <w:tcMar>
              <w:top w:w="55" w:type="dxa"/>
              <w:start w:w="90" w:type="dxa"/>
              <w:bottom w:w="55" w:type="dxa"/>
              <w:end w:w="90" w:type="dxa"/>
            </w:tcMar>
            <w:vAlign w:val="top"/>
          </w:tcPr>
          <w:p>
            <w:pPr>
              <w:spacing w:after="0" w:before="0" w:line="240" w:lineRule="auto"/>
            </w:pPr>
            <w:r>
              <w:rPr>
                <w:rFonts w:ascii="Aptos" w:hAnsi="Aptos"/>
                <w:sz w:val="16"/>
              </w:rPr>
              <w:t>Raw SQL must be bundled into main; do not add external migration directories to the package.</w:t>
            </w:r>
          </w:p>
        </w:tc>
      </w:tr>
    </w:tbl>
    <w:p>
      <w:pPr>
        <w:spacing w:after="80" w:line="252" w:lineRule="auto"/>
      </w:pPr>
    </w:p>
    <w:p>
      <w:pPr>
        <w:pStyle w:val="Heading1"/>
        <w:keepNext/>
        <w:spacing w:before="140" w:after="60"/>
      </w:pPr>
      <w:r>
        <w:t>7. Migration Architecture</w:t>
      </w:r>
    </w:p>
    <w:p>
      <w:pPr>
        <w:pStyle w:val="Heading2"/>
        <w:keepNext/>
        <w:spacing w:before="140" w:after="60"/>
      </w:pPr>
      <w:r>
        <w:t>7.1 Explicit migration catalog</w:t>
      </w:r>
    </w:p>
    <w:p>
      <w:pPr>
        <w:spacing w:after="80" w:line="252" w:lineRule="auto"/>
      </w:pPr>
      <w:r>
        <w:t>Define one production manifest in trusted main-process code. It must import SQL as a Vite raw asset and list migrations explicitly. Runtime filesystem enumeration, filename globbing, and ordering based on directory entries are prohibited because they are environment-dependent and fragile in ASAR packaging.</w:t>
      </w:r>
    </w:p>
    <w:p>
      <w:pPr>
        <w:pStyle w:val="CodeBlock"/>
        <w:keepLines/>
        <w:spacing w:before="60" w:after="100"/>
      </w:pPr>
      <w:r>
        <w:rPr>
          <w:rFonts w:ascii="Cascadia Mono" w:hAnsi="Cascadia Mono"/>
          <w:sz w:val="15"/>
        </w:rPr>
        <w:t>import initialSchemaSql from './sql/0001-initial-schema.sql?raw'</w:t>
        <w:br/>
        <w:br/>
        <w:t>export const databaseMigrations = Object.freeze([</w:t>
        <w:br/>
        <w:t xml:space="preserve">  { version: 1, name: 'initial-schema', sql: initialSchemaSql }</w:t>
        <w:br/>
        <w:t>] as const)</w:t>
      </w:r>
    </w:p>
    <w:p>
      <w:pPr>
        <w:pStyle w:val="ListBullet"/>
        <w:spacing w:after="30" w:line="240" w:lineRule="auto"/>
      </w:pPr>
      <w:r>
        <w:t>The production manifest contains exactly one migration for this task.</w:t>
      </w:r>
    </w:p>
    <w:p>
      <w:pPr>
        <w:pStyle w:val="ListBullet"/>
        <w:spacing w:after="30" w:line="240" w:lineRule="auto"/>
      </w:pPr>
      <w:r>
        <w:t>Version is an integer greater than zero.</w:t>
      </w:r>
    </w:p>
    <w:p>
      <w:pPr>
        <w:pStyle w:val="ListBullet"/>
        <w:spacing w:after="30" w:line="240" w:lineRule="auto"/>
      </w:pPr>
      <w:r>
        <w:t>Name is stable lowercase kebab-case and must match the ledger row exactly.</w:t>
      </w:r>
    </w:p>
    <w:p>
      <w:pPr>
        <w:pStyle w:val="ListBullet"/>
        <w:spacing w:after="30" w:line="240" w:lineRule="auto"/>
      </w:pPr>
      <w:r>
        <w:t>SQL remains inside src/main/database and is not re-exported to preload, shared, or renderer code.</w:t>
      </w:r>
    </w:p>
    <w:p>
      <w:pPr>
        <w:pStyle w:val="ListBullet"/>
        <w:spacing w:after="30" w:line="240" w:lineRule="auto"/>
      </w:pPr>
      <w:r>
        <w:t>The migration source is embedded in out/main/index.js; the packaged application must not depend on a writable installation directory or an external .sql file.</w:t>
      </w:r>
    </w:p>
    <w:p>
      <w:pPr>
        <w:pStyle w:val="Heading2"/>
        <w:keepNext/>
        <w:spacing w:before="140" w:after="60"/>
      </w:pPr>
      <w:r>
        <w:t>7.2 Manifest validation</w:t>
      </w:r>
    </w:p>
    <w:p>
      <w:pPr>
        <w:spacing w:after="80" w:line="252" w:lineRule="auto"/>
      </w:pPr>
      <w:r>
        <w:t>Validate the full manifest before opening a migration transaction. A malformed catalog is an application build defect and must fail startup deterministically.</w:t>
      </w:r>
    </w:p>
    <w:p>
      <w:pPr>
        <w:pStyle w:val="ListBullet"/>
        <w:spacing w:after="30" w:line="240" w:lineRule="auto"/>
      </w:pPr>
      <w:r>
        <w:t>The manifest is non-empty for HSD-007.</w:t>
      </w:r>
    </w:p>
    <w:p>
      <w:pPr>
        <w:pStyle w:val="ListBullet"/>
        <w:spacing w:after="30" w:line="240" w:lineRule="auto"/>
      </w:pPr>
      <w:r>
        <w:t>Versions are integers, begin at 1, are unique, and are contiguous with no gap.</w:t>
      </w:r>
    </w:p>
    <w:p>
      <w:pPr>
        <w:pStyle w:val="ListBullet"/>
        <w:spacing w:after="30" w:line="240" w:lineRule="auto"/>
      </w:pPr>
      <w:r>
        <w:t>Entries are already ordered by ascending version; do not silently sort a malformed manifest.</w:t>
      </w:r>
    </w:p>
    <w:p>
      <w:pPr>
        <w:pStyle w:val="ListBullet"/>
        <w:spacing w:after="30" w:line="240" w:lineRule="auto"/>
      </w:pPr>
      <w:r>
        <w:t>Names are non-empty, unique, and match ^[a-z0-9]+(?:-[a-z0-9]+)*$.</w:t>
      </w:r>
    </w:p>
    <w:p>
      <w:pPr>
        <w:pStyle w:val="ListBullet"/>
        <w:spacing w:after="30" w:line="240" w:lineRule="auto"/>
      </w:pPr>
      <w:r>
        <w:t>SQL is non-empty after line-ending canonicalization.</w:t>
      </w:r>
    </w:p>
    <w:p>
      <w:pPr>
        <w:pStyle w:val="ListBullet"/>
        <w:spacing w:after="30" w:line="240" w:lineRule="auto"/>
      </w:pPr>
      <w:r>
        <w:t>The highest production version for this task is exactly 1.</w:t>
      </w:r>
    </w:p>
    <w:p>
      <w:pPr>
        <w:pStyle w:val="ListBullet"/>
        <w:spacing w:after="30" w:line="240" w:lineRule="auto"/>
      </w:pPr>
      <w:r>
        <w:t>Return a controlled MigrationManifestError without including SQL text.</w:t>
      </w:r>
    </w:p>
    <w:p>
      <w:pPr>
        <w:pStyle w:val="Heading2"/>
        <w:keepNext/>
        <w:spacing w:before="140" w:after="60"/>
      </w:pPr>
      <w:r>
        <w:t>7.3 SQL line-ending policy</w:t>
      </w:r>
    </w:p>
    <w:p>
      <w:pPr>
        <w:spacing w:after="80" w:line="252" w:lineRule="auto"/>
      </w:pPr>
      <w:r>
        <w:t>A migration checksum must not depend on whether the repository was checked out on Windows or Linux. Add a narrow Git attribute and canonicalize text before hashing:</w:t>
      </w:r>
    </w:p>
    <w:p>
      <w:pPr>
        <w:pStyle w:val="CodeBlock"/>
        <w:keepLines/>
        <w:spacing w:before="60" w:after="100"/>
      </w:pPr>
      <w:r>
        <w:rPr>
          <w:rFonts w:ascii="Cascadia Mono" w:hAnsi="Cascadia Mono"/>
          <w:sz w:val="15"/>
        </w:rPr>
        <w:t>*.sql text eol=lf</w:t>
      </w:r>
    </w:p>
    <w:p>
      <w:pPr>
        <w:pStyle w:val="CodeBlock"/>
        <w:keepLines/>
        <w:spacing w:before="60" w:after="100"/>
      </w:pPr>
      <w:r>
        <w:rPr>
          <w:rFonts w:ascii="Cascadia Mono" w:hAnsi="Cascadia Mono"/>
          <w:sz w:val="15"/>
        </w:rPr>
        <w:t>canonicalSql = sql</w:t>
        <w:br/>
        <w:t xml:space="preserve">  .replace(/^\uFEFF/, '')</w:t>
        <w:br/>
        <w:t xml:space="preserve">  .replace(/\r\n?/g, '\n')</w:t>
      </w:r>
    </w:p>
    <w:p>
      <w:pPr>
        <w:pStyle w:val="ListBullet"/>
        <w:spacing w:after="30" w:line="240" w:lineRule="auto"/>
      </w:pPr>
      <w:r>
        <w:t>Remove at most one UTF-8 BOM and normalize CRLF or CR to LF.</w:t>
      </w:r>
    </w:p>
    <w:p>
      <w:pPr>
        <w:pStyle w:val="ListBullet"/>
        <w:spacing w:after="30" w:line="240" w:lineRule="auto"/>
      </w:pPr>
      <w:r>
        <w:t>Do not trim, collapse, re-indent, minify, or otherwise rewrite SQL before hashing.</w:t>
      </w:r>
    </w:p>
    <w:p>
      <w:pPr>
        <w:pStyle w:val="ListBullet"/>
        <w:spacing w:after="30" w:line="240" w:lineRule="auto"/>
      </w:pPr>
      <w:r>
        <w:t>Store and compare lowercase 64-character SHA-256 hexadecimal text.</w:t>
      </w:r>
    </w:p>
    <w:p>
      <w:pPr>
        <w:pStyle w:val="ListBullet"/>
        <w:spacing w:after="30" w:line="240" w:lineRule="auto"/>
      </w:pPr>
      <w:r>
        <w:t>Do not log the SQL body or checksum during normal operation or failure handling.</w:t>
      </w:r>
    </w:p>
    <w:p>
      <w:pPr>
        <w:pStyle w:val="Heading1"/>
        <w:keepNext/>
        <w:spacing w:before="140" w:after="60"/>
      </w:pPr>
      <w:r>
        <w:t>8. Migration History and Immutability</w:t>
      </w:r>
    </w:p>
    <w:p>
      <w:pPr>
        <w:spacing w:after="80" w:line="252" w:lineRule="auto"/>
      </w:pPr>
      <w:r>
        <w:t>PRAGMA user_version is the fast integer schema marker. schema_migrations is the auditable ledger. Neither is sufficient alone; both must agree with the bundled manifest before pending migrations are applied.</w:t>
      </w:r>
    </w:p>
    <w:tbl>
      <w:tblPr>
        <w:tblStyle w:val="TableGrid"/>
        <w:tblW w:type="auto" w:w="0"/>
        <w:jc w:val="center"/>
        <w:tblLook w:firstColumn="1" w:firstRow="1" w:lastColumn="0" w:lastRow="0" w:noHBand="0" w:noVBand="1" w:val="04A0"/>
      </w:tblPr>
      <w:tblGrid>
        <w:gridCol w:w="10080"/>
      </w:tblGrid>
      <w:tr>
        <w:tc>
          <w:tcPr>
            <w:tcW w:type="dxa" w:w="10080"/>
            <w:shd w:fill="FFF2CC"/>
            <w:tcMar>
              <w:top w:w="100" w:type="dxa"/>
              <w:start w:w="130" w:type="dxa"/>
              <w:bottom w:w="100" w:type="dxa"/>
              <w:end w:w="130" w:type="dxa"/>
            </w:tcMar>
          </w:tcPr>
          <w:p>
            <w:pPr>
              <w:spacing w:after="0"/>
            </w:pPr>
            <w:r>
              <w:rPr>
                <w:b/>
                <w:color w:val="163A5F"/>
              </w:rPr>
              <w:t xml:space="preserve">Historical immutability: </w:t>
            </w:r>
            <w:r>
              <w:rPr>
                <w:sz w:val="18"/>
              </w:rPr>
              <w:t>After a migration has been merged and used by any real database, never edit, rename, reorder, or reuse it. Every later schema change must be a new numbered SQL file and a new manifest entry.</w:t>
            </w:r>
          </w:p>
        </w:tc>
      </w:tr>
    </w:tbl>
    <w:p>
      <w:pPr>
        <w:spacing w:after="80" w:line="252" w:lineRule="auto"/>
      </w:pPr>
    </w:p>
    <w:p>
      <w:pPr>
        <w:pStyle w:val="Heading2"/>
        <w:keepNext/>
        <w:spacing w:before="140" w:after="60"/>
      </w:pPr>
      <w:r>
        <w:t>8.1 Runner-owned migration ledger</w:t>
      </w:r>
    </w:p>
    <w:p>
      <w:pPr>
        <w:spacing w:after="80" w:line="252" w:lineRule="auto"/>
      </w:pPr>
      <w:r>
        <w:t>The migration runner owns creation of schema_migrations. On a fresh version-0 database, it creates this table inside the same transaction that applies migration 1. The table must not remain behind when migration 1 rolls back.</w:t>
      </w:r>
    </w:p>
    <w:p>
      <w:pPr>
        <w:pStyle w:val="CodeBlock"/>
        <w:keepLines/>
        <w:spacing w:before="60" w:after="100"/>
      </w:pPr>
      <w:r>
        <w:rPr>
          <w:rFonts w:ascii="Cascadia Mono" w:hAnsi="Cascadia Mono"/>
          <w:sz w:val="15"/>
        </w:rPr>
        <w:t>CREATE TABLE schema_migrations (</w:t>
        <w:br/>
        <w:t xml:space="preserve">  version INTEGER PRIMARY KEY CHECK (version &gt; 0),</w:t>
        <w:br/>
        <w:t xml:space="preserve">  name TEXT NOT NULL UNIQUE,</w:t>
        <w:br/>
        <w:t xml:space="preserve">  checksum TEXT NOT NULL CHECK (length(checksum) = 64),</w:t>
        <w:br/>
        <w:t xml:space="preserve">  applied_at TEXT NOT NULL,</w:t>
        <w:br/>
        <w:t xml:space="preserve">  application_version TEXT NOT NULL</w:t>
        <w:br/>
        <w:t>) STRICT;</w:t>
      </w:r>
    </w:p>
    <w:p>
      <w:pPr>
        <w:pStyle w:val="ListBullet"/>
        <w:spacing w:after="30" w:line="240" w:lineRule="auto"/>
      </w:pPr>
      <w:r>
        <w:t>The initial-schema SQL file must not insert a ledger row; the runner inserts it only after the SQL body succeeds.</w:t>
      </w:r>
    </w:p>
    <w:p>
      <w:pPr>
        <w:pStyle w:val="ListBullet"/>
        <w:spacing w:after="30" w:line="240" w:lineRule="auto"/>
      </w:pPr>
      <w:r>
        <w:t>The runner supplies applied_at from an injectable UTC clock and application_version from Electron app.getVersion().</w:t>
      </w:r>
    </w:p>
    <w:p>
      <w:pPr>
        <w:pStyle w:val="ListBullet"/>
        <w:spacing w:after="30" w:line="240" w:lineRule="auto"/>
      </w:pPr>
      <w:r>
        <w:t>No clinical or user data belongs in schema_migrations.</w:t>
      </w:r>
    </w:p>
    <w:p>
      <w:pPr>
        <w:pStyle w:val="Heading2"/>
        <w:keepNext/>
        <w:spacing w:before="140" w:after="60"/>
      </w:pPr>
      <w:r>
        <w:t>8.2 Compatibility rules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3816"/>
            <w:shd w:fill="163A5F"/>
            <w:vAlign w:val="top"/>
            <w:tcMar>
              <w:top w:w="55" w:type="dxa"/>
              <w:start w:w="90" w:type="dxa"/>
              <w:bottom w:w="55" w:type="dxa"/>
              <w:end w:w="90" w:type="dxa"/>
            </w:tcMar>
          </w:tcPr>
          <w:p>
            <w:pPr>
              <w:spacing w:after="0" w:before="0" w:line="240" w:lineRule="auto"/>
            </w:pPr>
            <w:r>
              <w:rPr>
                <w:rFonts w:ascii="Aptos" w:hAnsi="Aptos"/>
                <w:b/>
                <w:color w:val="FFFFFF"/>
                <w:sz w:val="17"/>
              </w:rPr>
              <w:t>Observed state</w:t>
            </w:r>
          </w:p>
        </w:tc>
        <w:tc>
          <w:tcPr>
            <w:tcW w:type="dxa" w:w="5976"/>
            <w:shd w:fill="163A5F"/>
            <w:vAlign w:val="top"/>
            <w:tcMar>
              <w:top w:w="55" w:type="dxa"/>
              <w:start w:w="90" w:type="dxa"/>
              <w:bottom w:w="55" w:type="dxa"/>
              <w:end w:w="90" w:type="dxa"/>
            </w:tcMar>
          </w:tcPr>
          <w:p>
            <w:pPr>
              <w:spacing w:after="0" w:before="0" w:line="240" w:lineRule="auto"/>
            </w:pPr>
            <w:r>
              <w:rPr>
                <w:rFonts w:ascii="Aptos" w:hAnsi="Aptos"/>
                <w:b/>
                <w:color w:val="FFFFFF"/>
                <w:sz w:val="17"/>
              </w:rPr>
              <w:t>Required behavior</w:t>
            </w:r>
          </w:p>
        </w:tc>
      </w:tr>
      <w:tr>
        <w:trPr>
          <w:cantSplit/>
        </w:trPr>
        <w:tc>
          <w:tcPr>
            <w:tcW w:type="dxa" w:w="3816"/>
            <w:tcMar>
              <w:top w:w="55" w:type="dxa"/>
              <w:start w:w="90" w:type="dxa"/>
              <w:bottom w:w="55" w:type="dxa"/>
              <w:end w:w="90" w:type="dxa"/>
            </w:tcMar>
            <w:vAlign w:val="top"/>
          </w:tcPr>
          <w:p>
            <w:pPr>
              <w:spacing w:after="0" w:before="0" w:line="240" w:lineRule="auto"/>
            </w:pPr>
            <w:r>
              <w:rPr>
                <w:rFonts w:ascii="Aptos" w:hAnsi="Aptos"/>
                <w:sz w:val="16"/>
              </w:rPr>
              <w:t>user_version=0 and no ledger table</w:t>
            </w:r>
          </w:p>
        </w:tc>
        <w:tc>
          <w:tcPr>
            <w:tcW w:type="dxa" w:w="5976"/>
            <w:tcMar>
              <w:top w:w="55" w:type="dxa"/>
              <w:start w:w="90" w:type="dxa"/>
              <w:bottom w:w="55" w:type="dxa"/>
              <w:end w:w="90" w:type="dxa"/>
            </w:tcMar>
            <w:vAlign w:val="top"/>
          </w:tcPr>
          <w:p>
            <w:pPr>
              <w:spacing w:after="0" w:before="0" w:line="240" w:lineRule="auto"/>
            </w:pPr>
            <w:r>
              <w:rPr>
                <w:rFonts w:ascii="Aptos" w:hAnsi="Aptos"/>
                <w:sz w:val="16"/>
              </w:rPr>
              <w:t>Fresh or HSD-006 database. Apply migration 1 atomically.</w:t>
            </w:r>
          </w:p>
        </w:tc>
      </w:tr>
      <w:tr>
        <w:trPr>
          <w:cantSplit/>
        </w:trPr>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user_version=1 and one matching ledger row</w:t>
            </w:r>
          </w:p>
        </w:tc>
        <w:tc>
          <w:tcPr>
            <w:tcW w:type="dxa" w:w="5976"/>
            <w:shd w:fill="EDF4FA"/>
            <w:tcMar>
              <w:top w:w="55" w:type="dxa"/>
              <w:start w:w="90" w:type="dxa"/>
              <w:bottom w:w="55" w:type="dxa"/>
              <w:end w:w="90" w:type="dxa"/>
            </w:tcMar>
            <w:vAlign w:val="top"/>
          </w:tcPr>
          <w:p>
            <w:pPr>
              <w:spacing w:after="0" w:before="0" w:line="240" w:lineRule="auto"/>
            </w:pPr>
            <w:r>
              <w:rPr>
                <w:rFonts w:ascii="Aptos" w:hAnsi="Aptos"/>
                <w:sz w:val="16"/>
              </w:rPr>
              <w:t>Current schema. Verify name/checksum and perform no writes.</w:t>
            </w:r>
          </w:p>
        </w:tc>
      </w:tr>
      <w:tr>
        <w:trPr>
          <w:cantSplit/>
        </w:trPr>
        <w:tc>
          <w:tcPr>
            <w:tcW w:type="dxa" w:w="3816"/>
            <w:tcMar>
              <w:top w:w="55" w:type="dxa"/>
              <w:start w:w="90" w:type="dxa"/>
              <w:bottom w:w="55" w:type="dxa"/>
              <w:end w:w="90" w:type="dxa"/>
            </w:tcMar>
            <w:vAlign w:val="top"/>
          </w:tcPr>
          <w:p>
            <w:pPr>
              <w:spacing w:after="0" w:before="0" w:line="240" w:lineRule="auto"/>
            </w:pPr>
            <w:r>
              <w:rPr>
                <w:rFonts w:ascii="Aptos" w:hAnsi="Aptos"/>
                <w:sz w:val="16"/>
              </w:rPr>
              <w:t>user_version less than highest manifest</w:t>
            </w:r>
          </w:p>
        </w:tc>
        <w:tc>
          <w:tcPr>
            <w:tcW w:type="dxa" w:w="5976"/>
            <w:tcMar>
              <w:top w:w="55" w:type="dxa"/>
              <w:start w:w="90" w:type="dxa"/>
              <w:bottom w:w="55" w:type="dxa"/>
              <w:end w:w="90" w:type="dxa"/>
            </w:tcMar>
            <w:vAlign w:val="top"/>
          </w:tcPr>
          <w:p>
            <w:pPr>
              <w:spacing w:after="0" w:before="0" w:line="240" w:lineRule="auto"/>
            </w:pPr>
            <w:r>
              <w:rPr>
                <w:rFonts w:ascii="Aptos" w:hAnsi="Aptos"/>
                <w:sz w:val="16"/>
              </w:rPr>
              <w:t>Verify all applied history, then apply each pending migration in order.</w:t>
            </w:r>
          </w:p>
        </w:tc>
      </w:tr>
      <w:tr>
        <w:trPr>
          <w:cantSplit/>
        </w:trPr>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user_version greater than highest manifest</w:t>
            </w:r>
          </w:p>
        </w:tc>
        <w:tc>
          <w:tcPr>
            <w:tcW w:type="dxa" w:w="5976"/>
            <w:shd w:fill="EDF4FA"/>
            <w:tcMar>
              <w:top w:w="55" w:type="dxa"/>
              <w:start w:w="90" w:type="dxa"/>
              <w:bottom w:w="55" w:type="dxa"/>
              <w:end w:w="90" w:type="dxa"/>
            </w:tcMar>
            <w:vAlign w:val="top"/>
          </w:tcPr>
          <w:p>
            <w:pPr>
              <w:spacing w:after="0" w:before="0" w:line="240" w:lineRule="auto"/>
            </w:pPr>
            <w:r>
              <w:rPr>
                <w:rFonts w:ascii="Aptos" w:hAnsi="Aptos"/>
                <w:sz w:val="16"/>
              </w:rPr>
              <w:t>Fail as database newer than application. Do not downgrade, reset, or delete.</w:t>
            </w:r>
          </w:p>
        </w:tc>
      </w:tr>
      <w:tr>
        <w:trPr>
          <w:cantSplit/>
        </w:trPr>
        <w:tc>
          <w:tcPr>
            <w:tcW w:type="dxa" w:w="3816"/>
            <w:tcMar>
              <w:top w:w="55" w:type="dxa"/>
              <w:start w:w="90" w:type="dxa"/>
              <w:bottom w:w="55" w:type="dxa"/>
              <w:end w:w="90" w:type="dxa"/>
            </w:tcMar>
            <w:vAlign w:val="top"/>
          </w:tcPr>
          <w:p>
            <w:pPr>
              <w:spacing w:after="0" w:before="0" w:line="240" w:lineRule="auto"/>
            </w:pPr>
            <w:r>
              <w:rPr>
                <w:rFonts w:ascii="Aptos" w:hAnsi="Aptos"/>
                <w:sz w:val="16"/>
              </w:rPr>
              <w:t>user_version&gt;0 but ledger table missing</w:t>
            </w:r>
          </w:p>
        </w:tc>
        <w:tc>
          <w:tcPr>
            <w:tcW w:type="dxa" w:w="5976"/>
            <w:tcMar>
              <w:top w:w="55" w:type="dxa"/>
              <w:start w:w="90" w:type="dxa"/>
              <w:bottom w:w="55" w:type="dxa"/>
              <w:end w:w="90" w:type="dxa"/>
            </w:tcMar>
            <w:vAlign w:val="top"/>
          </w:tcPr>
          <w:p>
            <w:pPr>
              <w:spacing w:after="0" w:before="0" w:line="240" w:lineRule="auto"/>
            </w:pPr>
            <w:r>
              <w:rPr>
                <w:rFonts w:ascii="Aptos" w:hAnsi="Aptos"/>
                <w:sz w:val="16"/>
              </w:rPr>
              <w:t>Fail as incompatible or corrupt migration metadata.</w:t>
            </w:r>
          </w:p>
        </w:tc>
      </w:tr>
      <w:tr>
        <w:trPr>
          <w:cantSplit/>
        </w:trPr>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user_version=0 but ledger table or rows already exist</w:t>
            </w:r>
          </w:p>
        </w:tc>
        <w:tc>
          <w:tcPr>
            <w:tcW w:type="dxa" w:w="5976"/>
            <w:shd w:fill="EDF4FA"/>
            <w:tcMar>
              <w:top w:w="55" w:type="dxa"/>
              <w:start w:w="90" w:type="dxa"/>
              <w:bottom w:w="55" w:type="dxa"/>
              <w:end w:w="90" w:type="dxa"/>
            </w:tcMar>
            <w:vAlign w:val="top"/>
          </w:tcPr>
          <w:p>
            <w:pPr>
              <w:spacing w:after="0" w:before="0" w:line="240" w:lineRule="auto"/>
            </w:pPr>
            <w:r>
              <w:rPr>
                <w:rFonts w:ascii="Aptos" w:hAnsi="Aptos"/>
                <w:sz w:val="16"/>
              </w:rPr>
              <w:t>Fail as inconsistent metadata; do not guess or repair.</w:t>
            </w:r>
          </w:p>
        </w:tc>
      </w:tr>
      <w:tr>
        <w:trPr>
          <w:cantSplit/>
        </w:trPr>
        <w:tc>
          <w:tcPr>
            <w:tcW w:type="dxa" w:w="3816"/>
            <w:tcMar>
              <w:top w:w="55" w:type="dxa"/>
              <w:start w:w="90" w:type="dxa"/>
              <w:bottom w:w="55" w:type="dxa"/>
              <w:end w:w="90" w:type="dxa"/>
            </w:tcMar>
            <w:vAlign w:val="top"/>
          </w:tcPr>
          <w:p>
            <w:pPr>
              <w:spacing w:after="0" w:before="0" w:line="240" w:lineRule="auto"/>
            </w:pPr>
            <w:r>
              <w:rPr>
                <w:rFonts w:ascii="Aptos" w:hAnsi="Aptos"/>
                <w:sz w:val="16"/>
              </w:rPr>
              <w:t>Missing, extra, duplicated, renamed, or checksum-mismatched applied row</w:t>
            </w:r>
          </w:p>
        </w:tc>
        <w:tc>
          <w:tcPr>
            <w:tcW w:type="dxa" w:w="5976"/>
            <w:tcMar>
              <w:top w:w="55" w:type="dxa"/>
              <w:start w:w="90" w:type="dxa"/>
              <w:bottom w:w="55" w:type="dxa"/>
              <w:end w:w="90" w:type="dxa"/>
            </w:tcMar>
            <w:vAlign w:val="top"/>
          </w:tcPr>
          <w:p>
            <w:pPr>
              <w:spacing w:after="0" w:before="0" w:line="240" w:lineRule="auto"/>
            </w:pPr>
            <w:r>
              <w:rPr>
                <w:rFonts w:ascii="Aptos" w:hAnsi="Aptos"/>
                <w:sz w:val="16"/>
              </w:rPr>
              <w:t>Fail before applying any pending migration.</w:t>
            </w:r>
          </w:p>
        </w:tc>
      </w:tr>
      <w:tr>
        <w:trPr>
          <w:cantSplit/>
        </w:trPr>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Migration or metadata write fails</w:t>
            </w:r>
          </w:p>
        </w:tc>
        <w:tc>
          <w:tcPr>
            <w:tcW w:type="dxa" w:w="5976"/>
            <w:shd w:fill="EDF4FA"/>
            <w:tcMar>
              <w:top w:w="55" w:type="dxa"/>
              <w:start w:w="90" w:type="dxa"/>
              <w:bottom w:w="55" w:type="dxa"/>
              <w:end w:w="90" w:type="dxa"/>
            </w:tcMar>
            <w:vAlign w:val="top"/>
          </w:tcPr>
          <w:p>
            <w:pPr>
              <w:spacing w:after="0" w:before="0" w:line="240" w:lineRule="auto"/>
            </w:pPr>
            <w:r>
              <w:rPr>
                <w:rFonts w:ascii="Aptos" w:hAnsi="Aptos"/>
                <w:sz w:val="16"/>
              </w:rPr>
              <w:t>Roll back the current migration; keep prior committed versions intact; fail startup.</w:t>
            </w:r>
          </w:p>
        </w:tc>
      </w:tr>
      <w:tr>
        <w:trPr>
          <w:cantSplit/>
        </w:trPr>
        <w:tc>
          <w:tcPr>
            <w:tcW w:type="dxa" w:w="3816"/>
            <w:tcMar>
              <w:top w:w="55" w:type="dxa"/>
              <w:start w:w="90" w:type="dxa"/>
              <w:bottom w:w="55" w:type="dxa"/>
              <w:end w:w="90" w:type="dxa"/>
            </w:tcMar>
            <w:vAlign w:val="top"/>
          </w:tcPr>
          <w:p>
            <w:pPr>
              <w:spacing w:after="0" w:before="0" w:line="240" w:lineRule="auto"/>
            </w:pPr>
            <w:r>
              <w:rPr>
                <w:rFonts w:ascii="Aptos" w:hAnsi="Aptos"/>
                <w:sz w:val="16"/>
              </w:rPr>
              <w:t>Rollback itself fails</w:t>
            </w:r>
          </w:p>
        </w:tc>
        <w:tc>
          <w:tcPr>
            <w:tcW w:type="dxa" w:w="5976"/>
            <w:tcMar>
              <w:top w:w="55" w:type="dxa"/>
              <w:start w:w="90" w:type="dxa"/>
              <w:bottom w:w="55" w:type="dxa"/>
              <w:end w:w="90" w:type="dxa"/>
            </w:tcMar>
            <w:vAlign w:val="top"/>
          </w:tcPr>
          <w:p>
            <w:pPr>
              <w:spacing w:after="0" w:before="0" w:line="240" w:lineRule="auto"/>
            </w:pPr>
            <w:r>
              <w:rPr>
                <w:rFonts w:ascii="Aptos" w:hAnsi="Aptos"/>
                <w:sz w:val="16"/>
              </w:rPr>
              <w:t>Log only safe rollback context and throw a controlled fatal migration error.</w:t>
            </w:r>
          </w:p>
        </w:tc>
      </w:tr>
      <w:tr>
        <w:trPr>
          <w:cantSplit/>
        </w:trPr>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Application version differs from historical ledger value</w:t>
            </w:r>
          </w:p>
        </w:tc>
        <w:tc>
          <w:tcPr>
            <w:tcW w:type="dxa" w:w="5976"/>
            <w:shd w:fill="EDF4FA"/>
            <w:tcMar>
              <w:top w:w="55" w:type="dxa"/>
              <w:start w:w="90" w:type="dxa"/>
              <w:bottom w:w="55" w:type="dxa"/>
              <w:end w:w="90" w:type="dxa"/>
            </w:tcMar>
            <w:vAlign w:val="top"/>
          </w:tcPr>
          <w:p>
            <w:pPr>
              <w:spacing w:after="0" w:before="0" w:line="240" w:lineRule="auto"/>
            </w:pPr>
            <w:r>
              <w:rPr>
                <w:rFonts w:ascii="Aptos" w:hAnsi="Aptos"/>
                <w:sz w:val="16"/>
              </w:rPr>
              <w:t>Allowed. application_version records the build that applied the migration; it is not a compatibility key.</w:t>
            </w:r>
          </w:p>
        </w:tc>
      </w:tr>
    </w:tbl>
    <w:p>
      <w:pPr>
        <w:spacing w:after="80" w:line="252" w:lineRule="auto"/>
      </w:pPr>
    </w:p>
    <w:p>
      <w:pPr>
        <w:pStyle w:val="Heading1"/>
        <w:keepNext/>
        <w:spacing w:before="140" w:after="60"/>
      </w:pPr>
      <w:r>
        <w:t>9. Atomic Migration Algorithm</w:t>
      </w:r>
    </w:p>
    <w:p>
      <w:pPr>
        <w:spacing w:after="80" w:line="252" w:lineRule="auto"/>
      </w:pPr>
      <w:r>
        <w:t>Use an explicit transaction per migration. Migrations run during single-instance startup before application repositories or user workflows can hold another transaction.</w:t>
      </w:r>
    </w:p>
    <w:p>
      <w:pPr>
        <w:pStyle w:val="CodeBlock"/>
        <w:keepLines/>
        <w:spacing w:before="60" w:after="100"/>
      </w:pPr>
      <w:r>
        <w:rPr>
          <w:rFonts w:ascii="Cascadia Mono" w:hAnsi="Cascadia Mono"/>
          <w:sz w:val="15"/>
        </w:rPr>
        <w:t>validateManifest(manifest)</w:t>
        <w:br/>
        <w:t>read PRAGMA user_version</w:t>
        <w:br/>
        <w:t>validate applied ledger rows against versions 1..user_version</w:t>
        <w:br/>
        <w:t>refuse database versions newer than the manifest</w:t>
        <w:br/>
        <w:br/>
        <w:t>for each pending migration in ascending order:</w:t>
        <w:br/>
        <w:t xml:space="preserve">  BEGIN IMMEDIATE</w:t>
        <w:br/>
        <w:t xml:space="preserve">  if applying version 1 to a fresh database:</w:t>
        <w:br/>
        <w:t xml:space="preserve">    create schema_migrations</w:t>
        <w:br/>
        <w:t xml:space="preserve">  execute the migration SQL body</w:t>
        <w:br/>
        <w:t xml:space="preserve">  insert schema_migrations(version, name, checksum, applied_at, application_version)</w:t>
        <w:br/>
        <w:t xml:space="preserve">  set PRAGMA user_version = &lt;version&gt;</w:t>
        <w:br/>
        <w:t xml:space="preserve">  verify user_version and the inserted ledger row</w:t>
        <w:br/>
        <w:t xml:space="preserve">  COMMIT</w:t>
        <w:br/>
        <w:br/>
        <w:t>after all migrations:</w:t>
        <w:br/>
        <w:t xml:space="preserve">  revalidate complete history</w:t>
        <w:br/>
        <w:t xml:space="preserve">  return { previousVersion, currentVersion, appliedVersions }</w:t>
      </w:r>
    </w:p>
    <w:p>
      <w:pPr>
        <w:pStyle w:val="ListBullet"/>
        <w:spacing w:after="30" w:line="240" w:lineRule="auto"/>
      </w:pPr>
      <w:r>
        <w:t>Reject migration execution when connection.inTransaction is already true.</w:t>
      </w:r>
    </w:p>
    <w:p>
      <w:pPr>
        <w:pStyle w:val="ListBullet"/>
        <w:spacing w:after="30" w:line="240" w:lineRule="auto"/>
      </w:pPr>
      <w:r>
        <w:t>Use only validated integer versions when constructing PRAGMA user_version assignment.</w:t>
      </w:r>
    </w:p>
    <w:p>
      <w:pPr>
        <w:pStyle w:val="ListBullet"/>
        <w:spacing w:after="30" w:line="240" w:lineRule="auto"/>
      </w:pPr>
      <w:r>
        <w:t>On failure, preserve the original exception type only as safe internal context; do not include raw messages in logs or renderer errors.</w:t>
      </w:r>
    </w:p>
    <w:p>
      <w:pPr>
        <w:pStyle w:val="ListBullet"/>
        <w:spacing w:after="30" w:line="240" w:lineRule="auto"/>
      </w:pPr>
      <w:r>
        <w:t>Attempt ROLLBACK exactly once when the migration transaction began. A rollback failure must not replace the controlled MigrationExecutionError returned to the caller.</w:t>
      </w:r>
    </w:p>
    <w:p>
      <w:pPr>
        <w:pStyle w:val="ListBullet"/>
        <w:spacing w:after="30" w:line="240" w:lineRule="auto"/>
      </w:pPr>
      <w:r>
        <w:t>Do not use VACUUM, ATTACH, DETACH, writable_schema, load_extension, journal-mode changes, foreign-key disablement, or destructive database replacement.</w:t>
      </w:r>
    </w:p>
    <w:p>
      <w:pPr>
        <w:pStyle w:val="ListBullet"/>
        <w:spacing w:after="30" w:line="240" w:lineRule="auto"/>
      </w:pPr>
      <w:r>
        <w:t>Do not continue startup after any migration error or compatibility refusal.</w:t>
      </w:r>
    </w:p>
    <w:p>
      <w:pPr>
        <w:pStyle w:val="Heading1"/>
        <w:keepNext/>
        <w:spacing w:before="140" w:after="60"/>
      </w:pPr>
      <w:r>
        <w:t>10. SQLite Runtime and Lifecycle Integration</w:t>
      </w:r>
    </w:p>
    <w:p>
      <w:pPr>
        <w:pStyle w:val="ListNumber"/>
        <w:spacing w:after="30" w:line="240" w:lineRule="auto"/>
      </w:pPr>
      <w:r>
        <w:t>HSD-006 opens the file-backed connection and applies foreign_keys, WAL, synchronous=NORMAL, busy_timeout=5000, and trusted_schema=OFF.</w:t>
      </w:r>
    </w:p>
    <w:p>
      <w:pPr>
        <w:pStyle w:val="ListNumber"/>
        <w:spacing w:after="30" w:line="240" w:lineRule="auto"/>
      </w:pPr>
      <w:r>
        <w:t>Run HSD-007 migrations on that configured connection before assigning it as the ready runtime connection.</w:t>
      </w:r>
    </w:p>
    <w:p>
      <w:pPr>
        <w:pStyle w:val="ListNumber"/>
        <w:spacing w:after="30" w:line="240" w:lineRule="auto"/>
      </w:pPr>
      <w:r>
        <w:t>Only after migrations complete may the runtime expose getConnection(), report database ready, register application IPC handlers, or create the renderer window.</w:t>
      </w:r>
    </w:p>
    <w:p>
      <w:pPr>
        <w:pStyle w:val="ListNumber"/>
        <w:spacing w:after="30" w:line="240" w:lineRule="auto"/>
      </w:pPr>
      <w:r>
        <w:t>If migration initialization fails, close the partially initialized connection through the existing hardened cleanup path, log safe startup context, and quit.</w:t>
      </w:r>
    </w:p>
    <w:p>
      <w:pPr>
        <w:pStyle w:val="ListNumber"/>
        <w:spacing w:after="30" w:line="240" w:lineRule="auto"/>
      </w:pPr>
      <w:r>
        <w:t>On subsequent launches at schema version 1, verify history without applying or rewriting anything.</w:t>
      </w:r>
    </w:p>
    <w:p>
      <w:pPr>
        <w:pStyle w:val="ListBullet"/>
        <w:spacing w:after="30" w:line="240" w:lineRule="auto"/>
      </w:pPr>
      <w:r>
        <w:t>Remove the HSD-006 assumption that PRAGMA user_version must equal 0 during every initialization.</w:t>
      </w:r>
    </w:p>
    <w:p>
      <w:pPr>
        <w:pStyle w:val="ListBullet"/>
        <w:spacing w:after="30" w:line="240" w:lineRule="auto"/>
      </w:pPr>
      <w:r>
        <w:t>After migration completion, verify PRAGMA user_version equals the highest bundled migration version.</w:t>
      </w:r>
    </w:p>
    <w:p>
      <w:pPr>
        <w:pStyle w:val="ListBullet"/>
        <w:spacing w:after="30" w:line="240" w:lineRule="auto"/>
      </w:pPr>
      <w:r>
        <w:t>Database health remains only ready or unavailable. Do not expose schema version through app.getHealth in HSD-007.</w:t>
      </w:r>
    </w:p>
    <w:p>
      <w:pPr>
        <w:pStyle w:val="ListBullet"/>
        <w:spacing w:after="30" w:line="240" w:lineRule="auto"/>
      </w:pPr>
      <w:r>
        <w:t>Preserve HSD-005 IPC channel count and schemas except for no change; no new channel is authorized by this task.</w:t>
      </w:r>
    </w:p>
    <w:p>
      <w:pPr>
        <w:pStyle w:val="ListBullet"/>
        <w:spacing w:after="30" w:line="240" w:lineRule="auto"/>
      </w:pPr>
      <w:r>
        <w:t>Preserve HSD-003/HSD-004 navigation, CSP, permission, session, and window hardening unchanged.</w:t>
      </w:r>
    </w:p>
    <w:p>
      <w:pPr>
        <w:pStyle w:val="Heading1"/>
        <w:keepNext/>
        <w:spacing w:before="140" w:after="60"/>
      </w:pPr>
      <w:r>
        <w:t>11. Schema Version 1 Conventions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232"/>
            <w:shd w:fill="163A5F"/>
            <w:vAlign w:val="top"/>
            <w:tcMar>
              <w:top w:w="55" w:type="dxa"/>
              <w:start w:w="90" w:type="dxa"/>
              <w:bottom w:w="55" w:type="dxa"/>
              <w:end w:w="90" w:type="dxa"/>
            </w:tcMar>
          </w:tcPr>
          <w:p>
            <w:pPr>
              <w:spacing w:after="0" w:before="0" w:line="240" w:lineRule="auto"/>
            </w:pPr>
            <w:r>
              <w:rPr>
                <w:rFonts w:ascii="Aptos" w:hAnsi="Aptos"/>
                <w:b/>
                <w:color w:val="FFFFFF"/>
                <w:sz w:val="17"/>
              </w:rPr>
              <w:t>Convention</w:t>
            </w:r>
          </w:p>
        </w:tc>
        <w:tc>
          <w:tcPr>
            <w:tcW w:type="dxa" w:w="7560"/>
            <w:shd w:fill="163A5F"/>
            <w:vAlign w:val="top"/>
            <w:tcMar>
              <w:top w:w="55" w:type="dxa"/>
              <w:start w:w="90" w:type="dxa"/>
              <w:bottom w:w="55" w:type="dxa"/>
              <w:end w:w="90" w:type="dxa"/>
            </w:tcMar>
          </w:tcPr>
          <w:p>
            <w:pPr>
              <w:spacing w:after="0" w:before="0" w:line="240" w:lineRule="auto"/>
            </w:pPr>
            <w:r>
              <w:rPr>
                <w:rFonts w:ascii="Aptos" w:hAnsi="Aptos"/>
                <w:b/>
                <w:color w:val="FFFFFF"/>
                <w:sz w:val="17"/>
              </w:rPr>
              <w:t>Required rule</w:t>
            </w:r>
          </w:p>
        </w:tc>
      </w:tr>
      <w:tr>
        <w:trPr>
          <w:cantSplit/>
        </w:trPr>
        <w:tc>
          <w:tcPr>
            <w:tcW w:type="dxa" w:w="2232"/>
            <w:tcMar>
              <w:top w:w="55" w:type="dxa"/>
              <w:start w:w="90" w:type="dxa"/>
              <w:bottom w:w="55" w:type="dxa"/>
              <w:end w:w="90" w:type="dxa"/>
            </w:tcMar>
            <w:vAlign w:val="top"/>
          </w:tcPr>
          <w:p>
            <w:pPr>
              <w:spacing w:after="0" w:before="0" w:line="240" w:lineRule="auto"/>
            </w:pPr>
            <w:r>
              <w:rPr>
                <w:rFonts w:ascii="Aptos" w:hAnsi="Aptos"/>
                <w:sz w:val="16"/>
              </w:rPr>
              <w:t>Table mode</w:t>
            </w:r>
          </w:p>
        </w:tc>
        <w:tc>
          <w:tcPr>
            <w:tcW w:type="dxa" w:w="7560"/>
            <w:tcMar>
              <w:top w:w="55" w:type="dxa"/>
              <w:start w:w="90" w:type="dxa"/>
              <w:bottom w:w="55" w:type="dxa"/>
              <w:end w:w="90" w:type="dxa"/>
            </w:tcMar>
            <w:vAlign w:val="top"/>
          </w:tcPr>
          <w:p>
            <w:pPr>
              <w:spacing w:after="0" w:before="0" w:line="240" w:lineRule="auto"/>
            </w:pPr>
            <w:r>
              <w:rPr>
                <w:rFonts w:ascii="Aptos" w:hAnsi="Aptos"/>
                <w:sz w:val="16"/>
              </w:rPr>
              <w:t>Every application and migration-ledger table is declared STRICT. Use only SQLite STRICT-compatible storage classes.</w:t>
            </w:r>
          </w:p>
        </w:tc>
      </w:tr>
      <w:tr>
        <w:trPr>
          <w:cantSplit/>
        </w:trPr>
        <w:tc>
          <w:tcPr>
            <w:tcW w:type="dxa" w:w="2232"/>
            <w:shd w:fill="EDF4FA"/>
            <w:tcMar>
              <w:top w:w="55" w:type="dxa"/>
              <w:start w:w="90" w:type="dxa"/>
              <w:bottom w:w="55" w:type="dxa"/>
              <w:end w:w="90" w:type="dxa"/>
            </w:tcMar>
            <w:vAlign w:val="top"/>
          </w:tcPr>
          <w:p>
            <w:pPr>
              <w:spacing w:after="0" w:before="0" w:line="240" w:lineRule="auto"/>
            </w:pPr>
            <w:r>
              <w:rPr>
                <w:rFonts w:ascii="Aptos" w:hAnsi="Aptos"/>
                <w:sz w:val="16"/>
              </w:rPr>
              <w:t>Identifiers</w:t>
            </w:r>
          </w:p>
        </w:tc>
        <w:tc>
          <w:tcPr>
            <w:tcW w:type="dxa" w:w="7560"/>
            <w:shd w:fill="EDF4FA"/>
            <w:tcMar>
              <w:top w:w="55" w:type="dxa"/>
              <w:start w:w="90" w:type="dxa"/>
              <w:bottom w:w="55" w:type="dxa"/>
              <w:end w:w="90" w:type="dxa"/>
            </w:tcMar>
            <w:vAlign w:val="top"/>
          </w:tcPr>
          <w:p>
            <w:pPr>
              <w:spacing w:after="0" w:before="0" w:line="240" w:lineRule="auto"/>
            </w:pPr>
            <w:r>
              <w:rPr>
                <w:rFonts w:ascii="Aptos" w:hAnsi="Aptos"/>
                <w:sz w:val="16"/>
              </w:rPr>
              <w:t>Application entity IDs are client-generated UUID text supplied by future services. Migration SQL must not generate entity UUIDs or insert records.</w:t>
            </w:r>
          </w:p>
        </w:tc>
      </w:tr>
      <w:tr>
        <w:trPr>
          <w:cantSplit/>
        </w:trPr>
        <w:tc>
          <w:tcPr>
            <w:tcW w:type="dxa" w:w="2232"/>
            <w:tcMar>
              <w:top w:w="55" w:type="dxa"/>
              <w:start w:w="90" w:type="dxa"/>
              <w:bottom w:w="55" w:type="dxa"/>
              <w:end w:w="90" w:type="dxa"/>
            </w:tcMar>
            <w:vAlign w:val="top"/>
          </w:tcPr>
          <w:p>
            <w:pPr>
              <w:spacing w:after="0" w:before="0" w:line="240" w:lineRule="auto"/>
            </w:pPr>
            <w:r>
              <w:rPr>
                <w:rFonts w:ascii="Aptos" w:hAnsi="Aptos"/>
                <w:sz w:val="16"/>
              </w:rPr>
              <w:t>Dates and times</w:t>
            </w:r>
          </w:p>
        </w:tc>
        <w:tc>
          <w:tcPr>
            <w:tcW w:type="dxa" w:w="7560"/>
            <w:tcMar>
              <w:top w:w="55" w:type="dxa"/>
              <w:start w:w="90" w:type="dxa"/>
              <w:bottom w:w="55" w:type="dxa"/>
              <w:end w:w="90" w:type="dxa"/>
            </w:tcMar>
            <w:vAlign w:val="top"/>
          </w:tcPr>
          <w:p>
            <w:pPr>
              <w:spacing w:after="0" w:before="0" w:line="240" w:lineRule="auto"/>
            </w:pPr>
            <w:r>
              <w:rPr>
                <w:rFonts w:ascii="Aptos" w:hAnsi="Aptos"/>
                <w:sz w:val="16"/>
              </w:rPr>
              <w:t>Timestamp columns are TEXT containing UTC RFC 3339 values. Date-only columns are TEXT using YYYY-MM-DD. Do not use local time or CURRENT_TIMESTAMP defaults.</w:t>
            </w:r>
          </w:p>
        </w:tc>
      </w:tr>
      <w:tr>
        <w:trPr>
          <w:cantSplit/>
        </w:trPr>
        <w:tc>
          <w:tcPr>
            <w:tcW w:type="dxa" w:w="2232"/>
            <w:shd w:fill="EDF4FA"/>
            <w:tcMar>
              <w:top w:w="55" w:type="dxa"/>
              <w:start w:w="90" w:type="dxa"/>
              <w:bottom w:w="55" w:type="dxa"/>
              <w:end w:w="90" w:type="dxa"/>
            </w:tcMar>
            <w:vAlign w:val="top"/>
          </w:tcPr>
          <w:p>
            <w:pPr>
              <w:spacing w:after="0" w:before="0" w:line="240" w:lineRule="auto"/>
            </w:pPr>
            <w:r>
              <w:rPr>
                <w:rFonts w:ascii="Aptos" w:hAnsi="Aptos"/>
                <w:sz w:val="16"/>
              </w:rPr>
              <w:t>Booleans</w:t>
            </w:r>
          </w:p>
        </w:tc>
        <w:tc>
          <w:tcPr>
            <w:tcW w:type="dxa" w:w="7560"/>
            <w:shd w:fill="EDF4FA"/>
            <w:tcMar>
              <w:top w:w="55" w:type="dxa"/>
              <w:start w:w="90" w:type="dxa"/>
              <w:bottom w:w="55" w:type="dxa"/>
              <w:end w:w="90" w:type="dxa"/>
            </w:tcMar>
            <w:vAlign w:val="top"/>
          </w:tcPr>
          <w:p>
            <w:pPr>
              <w:spacing w:after="0" w:before="0" w:line="240" w:lineRule="auto"/>
            </w:pPr>
            <w:r>
              <w:rPr>
                <w:rFonts w:ascii="Aptos" w:hAnsi="Aptos"/>
                <w:sz w:val="16"/>
              </w:rPr>
              <w:t>Use INTEGER with CHECK(value IN (0,1)); nullable boolean fields use NULL for unknown.</w:t>
            </w:r>
          </w:p>
        </w:tc>
      </w:tr>
      <w:tr>
        <w:trPr>
          <w:cantSplit/>
        </w:trPr>
        <w:tc>
          <w:tcPr>
            <w:tcW w:type="dxa" w:w="2232"/>
            <w:tcMar>
              <w:top w:w="55" w:type="dxa"/>
              <w:start w:w="90" w:type="dxa"/>
              <w:bottom w:w="55" w:type="dxa"/>
              <w:end w:w="90" w:type="dxa"/>
            </w:tcMar>
            <w:vAlign w:val="top"/>
          </w:tcPr>
          <w:p>
            <w:pPr>
              <w:spacing w:after="0" w:before="0" w:line="240" w:lineRule="auto"/>
            </w:pPr>
            <w:r>
              <w:rPr>
                <w:rFonts w:ascii="Aptos" w:hAnsi="Aptos"/>
                <w:sz w:val="16"/>
              </w:rPr>
              <w:t>JSON</w:t>
            </w:r>
          </w:p>
        </w:tc>
        <w:tc>
          <w:tcPr>
            <w:tcW w:type="dxa" w:w="7560"/>
            <w:tcMar>
              <w:top w:w="55" w:type="dxa"/>
              <w:start w:w="90" w:type="dxa"/>
              <w:bottom w:w="55" w:type="dxa"/>
              <w:end w:w="90" w:type="dxa"/>
            </w:tcMar>
            <w:vAlign w:val="top"/>
          </w:tcPr>
          <w:p>
            <w:pPr>
              <w:spacing w:after="0" w:before="0" w:line="240" w:lineRule="auto"/>
            </w:pPr>
            <w:r>
              <w:rPr>
                <w:rFonts w:ascii="Aptos" w:hAnsi="Aptos"/>
                <w:sz w:val="16"/>
              </w:rPr>
              <w:t>Store JSON as TEXT with json_valid checks. Nullable JSON columns require column IS NULL OR json_valid(column).</w:t>
            </w:r>
          </w:p>
        </w:tc>
      </w:tr>
      <w:tr>
        <w:trPr>
          <w:cantSplit/>
        </w:trPr>
        <w:tc>
          <w:tcPr>
            <w:tcW w:type="dxa" w:w="2232"/>
            <w:shd w:fill="EDF4FA"/>
            <w:tcMar>
              <w:top w:w="55" w:type="dxa"/>
              <w:start w:w="90" w:type="dxa"/>
              <w:bottom w:w="55" w:type="dxa"/>
              <w:end w:w="90" w:type="dxa"/>
            </w:tcMar>
            <w:vAlign w:val="top"/>
          </w:tcPr>
          <w:p>
            <w:pPr>
              <w:spacing w:after="0" w:before="0" w:line="240" w:lineRule="auto"/>
            </w:pPr>
            <w:r>
              <w:rPr>
                <w:rFonts w:ascii="Aptos" w:hAnsi="Aptos"/>
                <w:sz w:val="16"/>
              </w:rPr>
              <w:t>Foreign keys</w:t>
            </w:r>
          </w:p>
        </w:tc>
        <w:tc>
          <w:tcPr>
            <w:tcW w:type="dxa" w:w="7560"/>
            <w:shd w:fill="EDF4FA"/>
            <w:tcMar>
              <w:top w:w="55" w:type="dxa"/>
              <w:start w:w="90" w:type="dxa"/>
              <w:bottom w:w="55" w:type="dxa"/>
              <w:end w:w="90" w:type="dxa"/>
            </w:tcMar>
            <w:vAlign w:val="top"/>
          </w:tcPr>
          <w:p>
            <w:pPr>
              <w:spacing w:after="0" w:before="0" w:line="240" w:lineRule="auto"/>
            </w:pPr>
            <w:r>
              <w:rPr>
                <w:rFonts w:ascii="Aptos" w:hAnsi="Aptos"/>
                <w:sz w:val="16"/>
              </w:rPr>
              <w:t>Use named relationships with ON UPDATE RESTRICT and ON DELETE RESTRICT. Clinical or audit history must never cascade-delete.</w:t>
            </w:r>
          </w:p>
        </w:tc>
      </w:tr>
      <w:tr>
        <w:trPr>
          <w:cantSplit/>
        </w:trPr>
        <w:tc>
          <w:tcPr>
            <w:tcW w:type="dxa" w:w="2232"/>
            <w:tcMar>
              <w:top w:w="55" w:type="dxa"/>
              <w:start w:w="90" w:type="dxa"/>
              <w:bottom w:w="55" w:type="dxa"/>
              <w:end w:w="90" w:type="dxa"/>
            </w:tcMar>
            <w:vAlign w:val="top"/>
          </w:tcPr>
          <w:p>
            <w:pPr>
              <w:spacing w:after="0" w:before="0" w:line="240" w:lineRule="auto"/>
            </w:pPr>
            <w:r>
              <w:rPr>
                <w:rFonts w:ascii="Aptos" w:hAnsi="Aptos"/>
                <w:sz w:val="16"/>
              </w:rPr>
              <w:t>Status values</w:t>
            </w:r>
          </w:p>
        </w:tc>
        <w:tc>
          <w:tcPr>
            <w:tcW w:type="dxa" w:w="7560"/>
            <w:tcMar>
              <w:top w:w="55" w:type="dxa"/>
              <w:start w:w="90" w:type="dxa"/>
              <w:bottom w:w="55" w:type="dxa"/>
              <w:end w:w="90" w:type="dxa"/>
            </w:tcMar>
            <w:vAlign w:val="top"/>
          </w:tcPr>
          <w:p>
            <w:pPr>
              <w:spacing w:after="0" w:before="0" w:line="240" w:lineRule="auto"/>
            </w:pPr>
            <w:r>
              <w:rPr>
                <w:rFonts w:ascii="Aptos" w:hAnsi="Aptos"/>
                <w:sz w:val="16"/>
              </w:rPr>
              <w:t>Use stable uppercase codes only where this task explicitly defines them. Do not add clinical thresholds or diagnosis codes.</w:t>
            </w:r>
          </w:p>
        </w:tc>
      </w:tr>
      <w:tr>
        <w:trPr>
          <w:cantSplit/>
        </w:trPr>
        <w:tc>
          <w:tcPr>
            <w:tcW w:type="dxa" w:w="2232"/>
            <w:shd w:fill="EDF4FA"/>
            <w:tcMar>
              <w:top w:w="55" w:type="dxa"/>
              <w:start w:w="90" w:type="dxa"/>
              <w:bottom w:w="55" w:type="dxa"/>
              <w:end w:w="90" w:type="dxa"/>
            </w:tcMar>
            <w:vAlign w:val="top"/>
          </w:tcPr>
          <w:p>
            <w:pPr>
              <w:spacing w:after="0" w:before="0" w:line="240" w:lineRule="auto"/>
            </w:pPr>
            <w:r>
              <w:rPr>
                <w:rFonts w:ascii="Aptos" w:hAnsi="Aptos"/>
                <w:sz w:val="16"/>
              </w:rPr>
              <w:t>Audit fields</w:t>
            </w:r>
          </w:p>
        </w:tc>
        <w:tc>
          <w:tcPr>
            <w:tcW w:type="dxa" w:w="7560"/>
            <w:shd w:fill="EDF4FA"/>
            <w:tcMar>
              <w:top w:w="55" w:type="dxa"/>
              <w:start w:w="90" w:type="dxa"/>
              <w:bottom w:w="55" w:type="dxa"/>
              <w:end w:w="90" w:type="dxa"/>
            </w:tcMar>
            <w:vAlign w:val="top"/>
          </w:tcPr>
          <w:p>
            <w:pPr>
              <w:spacing w:after="0" w:before="0" w:line="240" w:lineRule="auto"/>
            </w:pPr>
            <w:r>
              <w:rPr>
                <w:rFonts w:ascii="Aptos" w:hAnsi="Aptos"/>
                <w:sz w:val="16"/>
              </w:rPr>
              <w:t>Schema supports recorded_by/source_type/recorded_at where planned, but repositories and append-only enforcement are deferred.</w:t>
            </w:r>
          </w:p>
        </w:tc>
      </w:tr>
      <w:tr>
        <w:trPr>
          <w:cantSplit/>
        </w:trPr>
        <w:tc>
          <w:tcPr>
            <w:tcW w:type="dxa" w:w="2232"/>
            <w:tcMar>
              <w:top w:w="55" w:type="dxa"/>
              <w:start w:w="90" w:type="dxa"/>
              <w:bottom w:w="55" w:type="dxa"/>
              <w:end w:w="90" w:type="dxa"/>
            </w:tcMar>
            <w:vAlign w:val="top"/>
          </w:tcPr>
          <w:p>
            <w:pPr>
              <w:spacing w:after="0" w:before="0" w:line="240" w:lineRule="auto"/>
            </w:pPr>
            <w:r>
              <w:rPr>
                <w:rFonts w:ascii="Aptos" w:hAnsi="Aptos"/>
                <w:sz w:val="16"/>
              </w:rPr>
              <w:t>Defaults</w:t>
            </w:r>
          </w:p>
        </w:tc>
        <w:tc>
          <w:tcPr>
            <w:tcW w:type="dxa" w:w="7560"/>
            <w:tcMar>
              <w:top w:w="55" w:type="dxa"/>
              <w:start w:w="90" w:type="dxa"/>
              <w:bottom w:w="55" w:type="dxa"/>
              <w:end w:w="90" w:type="dxa"/>
            </w:tcMar>
            <w:vAlign w:val="top"/>
          </w:tcPr>
          <w:p>
            <w:pPr>
              <w:spacing w:after="0" w:before="0" w:line="240" w:lineRule="auto"/>
            </w:pPr>
            <w:r>
              <w:rPr>
                <w:rFonts w:ascii="Aptos" w:hAnsi="Aptos"/>
                <w:sz w:val="16"/>
              </w:rPr>
              <w:t>Avoid implicit business defaults. Future services must supply IDs, timestamps, actor IDs, status, and version fields explicitly.</w:t>
            </w:r>
          </w:p>
        </w:tc>
      </w:tr>
      <w:tr>
        <w:trPr>
          <w:cantSplit/>
        </w:trPr>
        <w:tc>
          <w:tcPr>
            <w:tcW w:type="dxa" w:w="2232"/>
            <w:shd w:fill="EDF4FA"/>
            <w:tcMar>
              <w:top w:w="55" w:type="dxa"/>
              <w:start w:w="90" w:type="dxa"/>
              <w:bottom w:w="55" w:type="dxa"/>
              <w:end w:w="90" w:type="dxa"/>
            </w:tcMar>
            <w:vAlign w:val="top"/>
          </w:tcPr>
          <w:p>
            <w:pPr>
              <w:spacing w:after="0" w:before="0" w:line="240" w:lineRule="auto"/>
            </w:pPr>
            <w:r>
              <w:rPr>
                <w:rFonts w:ascii="Aptos" w:hAnsi="Aptos"/>
                <w:sz w:val="16"/>
              </w:rPr>
              <w:t>No seed data</w:t>
            </w:r>
          </w:p>
        </w:tc>
        <w:tc>
          <w:tcPr>
            <w:tcW w:type="dxa" w:w="7560"/>
            <w:shd w:fill="EDF4FA"/>
            <w:tcMar>
              <w:top w:w="55" w:type="dxa"/>
              <w:start w:w="90" w:type="dxa"/>
              <w:bottom w:w="55" w:type="dxa"/>
              <w:end w:w="90" w:type="dxa"/>
            </w:tcMar>
            <w:vAlign w:val="top"/>
          </w:tcPr>
          <w:p>
            <w:pPr>
              <w:spacing w:after="0" w:before="0" w:line="240" w:lineRule="auto"/>
            </w:pPr>
            <w:r>
              <w:rPr>
                <w:rFonts w:ascii="Aptos" w:hAnsi="Aptos"/>
                <w:sz w:val="16"/>
              </w:rPr>
              <w:t>Every non-ledger application table is empty immediately after migration 1.</w:t>
            </w:r>
          </w:p>
        </w:tc>
      </w:tr>
      <w:tr>
        <w:trPr>
          <w:cantSplit/>
        </w:trPr>
        <w:tc>
          <w:tcPr>
            <w:tcW w:type="dxa" w:w="2232"/>
            <w:tcMar>
              <w:top w:w="55" w:type="dxa"/>
              <w:start w:w="90" w:type="dxa"/>
              <w:bottom w:w="55" w:type="dxa"/>
              <w:end w:w="90" w:type="dxa"/>
            </w:tcMar>
            <w:vAlign w:val="top"/>
          </w:tcPr>
          <w:p>
            <w:pPr>
              <w:spacing w:after="0" w:before="0" w:line="240" w:lineRule="auto"/>
            </w:pPr>
            <w:r>
              <w:rPr>
                <w:rFonts w:ascii="Aptos" w:hAnsi="Aptos"/>
                <w:sz w:val="16"/>
              </w:rPr>
              <w:t>No triggers/views</w:t>
            </w:r>
          </w:p>
        </w:tc>
        <w:tc>
          <w:tcPr>
            <w:tcW w:type="dxa" w:w="7560"/>
            <w:tcMar>
              <w:top w:w="55" w:type="dxa"/>
              <w:start w:w="90" w:type="dxa"/>
              <w:bottom w:w="55" w:type="dxa"/>
              <w:end w:w="90" w:type="dxa"/>
            </w:tcMar>
            <w:vAlign w:val="top"/>
          </w:tcPr>
          <w:p>
            <w:pPr>
              <w:spacing w:after="0" w:before="0" w:line="240" w:lineRule="auto"/>
            </w:pPr>
            <w:r>
              <w:rPr>
                <w:rFonts w:ascii="Aptos" w:hAnsi="Aptos"/>
                <w:sz w:val="16"/>
              </w:rPr>
              <w:t>HSD-007 adds no triggers, views, FTS virtual tables, generated search documents, or stored procedures.</w:t>
            </w:r>
          </w:p>
        </w:tc>
      </w:tr>
      <w:tr>
        <w:trPr>
          <w:cantSplit/>
        </w:trPr>
        <w:tc>
          <w:tcPr>
            <w:tcW w:type="dxa" w:w="2232"/>
            <w:shd w:fill="EDF4FA"/>
            <w:tcMar>
              <w:top w:w="55" w:type="dxa"/>
              <w:start w:w="90" w:type="dxa"/>
              <w:bottom w:w="55" w:type="dxa"/>
              <w:end w:w="90" w:type="dxa"/>
            </w:tcMar>
            <w:vAlign w:val="top"/>
          </w:tcPr>
          <w:p>
            <w:pPr>
              <w:spacing w:after="0" w:before="0" w:line="240" w:lineRule="auto"/>
            </w:pPr>
            <w:r>
              <w:rPr>
                <w:rFonts w:ascii="Aptos" w:hAnsi="Aptos"/>
                <w:sz w:val="16"/>
              </w:rPr>
              <w:t>No clinical rules</w:t>
            </w:r>
          </w:p>
        </w:tc>
        <w:tc>
          <w:tcPr>
            <w:tcW w:type="dxa" w:w="7560"/>
            <w:shd w:fill="EDF4FA"/>
            <w:tcMar>
              <w:top w:w="55" w:type="dxa"/>
              <w:start w:w="90" w:type="dxa"/>
              <w:bottom w:w="55" w:type="dxa"/>
              <w:end w:w="90" w:type="dxa"/>
            </w:tcMar>
            <w:vAlign w:val="top"/>
          </w:tcPr>
          <w:p>
            <w:pPr>
              <w:spacing w:after="0" w:before="0" w:line="240" w:lineRule="auto"/>
            </w:pPr>
            <w:r>
              <w:rPr>
                <w:rFonts w:ascii="Aptos" w:hAnsi="Aptos"/>
                <w:sz w:val="16"/>
              </w:rPr>
              <w:t>Do not encode BP referral thresholds, age-specific protocol rules, diagnostic categories, or treatment guidance in the schema.</w:t>
            </w:r>
          </w:p>
        </w:tc>
      </w:tr>
    </w:tbl>
    <w:p>
      <w:pPr>
        <w:spacing w:after="80" w:line="252" w:lineRule="auto"/>
      </w:pPr>
    </w:p>
    <w:p>
      <w:pPr>
        <w:pStyle w:val="Heading1"/>
        <w:keepNext/>
        <w:spacing w:before="140" w:after="60"/>
      </w:pPr>
      <w:r>
        <w:t>12. Schema Version 1 Required Tables</w:t>
      </w:r>
    </w:p>
    <w:p>
      <w:pPr>
        <w:spacing w:after="80" w:line="252" w:lineRule="auto"/>
      </w:pPr>
      <w:r>
        <w:t>The following names and columns form the approved HSD-007 schema boundary. Equivalent renaming is not permitted because later repositories, migration snapshots, and interoperability mappings will depend on stable identifiers. SQL may format constraints inline or table-level, but behavior must match exactly.</w:t>
      </w:r>
    </w:p>
    <w:p>
      <w:pPr>
        <w:pStyle w:val="Heading2"/>
        <w:keepNext/>
        <w:spacing w:before="140" w:after="60"/>
      </w:pPr>
      <w:r>
        <w:t>12.1 Migration and installation metadata</w:t>
      </w:r>
    </w:p>
    <w:p>
      <w:pPr>
        <w:pStyle w:val="Heading2"/>
        <w:keepNext/>
        <w:spacing w:before="140" w:after="60"/>
      </w:pPr>
      <w:r>
        <w:t>schema_migrations</w:t>
      </w:r>
    </w:p>
    <w:p>
      <w:pPr>
        <w:spacing w:after="80" w:line="252" w:lineRule="auto"/>
      </w:pPr>
      <w:r>
        <w:rPr>
          <w:b/>
        </w:rPr>
        <w:t xml:space="preserve">Purpose: </w:t>
      </w:r>
      <w:r>
        <w:t>Runner-owned, append-only migration ledger.</w:t>
      </w:r>
    </w:p>
    <w:p>
      <w:pPr>
        <w:pStyle w:val="CodeBlock"/>
        <w:keepLines/>
        <w:spacing w:before="60" w:after="100"/>
      </w:pPr>
      <w:r>
        <w:rPr>
          <w:rFonts w:ascii="Cascadia Mono" w:hAnsi="Cascadia Mono"/>
          <w:sz w:val="15"/>
        </w:rPr>
        <w:t>version INTEGER PRIMARY KEY</w:t>
        <w:br/>
        <w:t>name TEXT NOT NULL UNIQUE</w:t>
        <w:br/>
        <w:t>checksum TEXT NOT NULL</w:t>
        <w:br/>
        <w:t>applied_at TEXT NOT NULL</w:t>
        <w:br/>
        <w:t>application_version TEXT NOT NULL</w:t>
      </w:r>
    </w:p>
    <w:p>
      <w:pPr>
        <w:pStyle w:val="ListBullet"/>
        <w:spacing w:after="30" w:line="240" w:lineRule="auto"/>
      </w:pPr>
      <w:r>
        <w:t>STRICT table; version &gt; 0; checksum length is exactly 64.</w:t>
      </w:r>
    </w:p>
    <w:p>
      <w:pPr>
        <w:pStyle w:val="ListBullet"/>
        <w:spacing w:after="30" w:line="240" w:lineRule="auto"/>
      </w:pPr>
      <w:r>
        <w:t>Created by the runner inside the version-1 transaction, not by seed code.</w:t>
      </w:r>
    </w:p>
    <w:p>
      <w:pPr>
        <w:pStyle w:val="ListBullet"/>
        <w:spacing w:after="30" w:line="240" w:lineRule="auto"/>
      </w:pPr>
      <w:r>
        <w:t>No UPDATE or DELETE operation is implemented in this task.</w:t>
      </w:r>
    </w:p>
    <w:p>
      <w:pPr>
        <w:pStyle w:val="Heading2"/>
        <w:keepNext/>
        <w:spacing w:before="140" w:after="60"/>
      </w:pPr>
      <w:r>
        <w:t>installation</w:t>
      </w:r>
    </w:p>
    <w:p>
      <w:pPr>
        <w:spacing w:after="80" w:line="252" w:lineRule="auto"/>
      </w:pPr>
      <w:r>
        <w:rPr>
          <w:b/>
        </w:rPr>
        <w:t xml:space="preserve">Purpose: </w:t>
      </w:r>
      <w:r>
        <w:t>Single local deployment identity reserved for first-run setup.</w:t>
      </w:r>
    </w:p>
    <w:p>
      <w:pPr>
        <w:pStyle w:val="CodeBlock"/>
        <w:keepLines/>
        <w:spacing w:before="60" w:after="100"/>
      </w:pPr>
      <w:r>
        <w:rPr>
          <w:rFonts w:ascii="Cascadia Mono" w:hAnsi="Cascadia Mono"/>
          <w:sz w:val="15"/>
        </w:rPr>
        <w:t>singleton_id INTEGER PRIMARY KEY</w:t>
        <w:br/>
        <w:t>id TEXT NOT NULL UNIQUE</w:t>
        <w:br/>
        <w:t>deployment_name TEXT NOT NULL</w:t>
        <w:br/>
        <w:t>timezone TEXT NOT NULL</w:t>
        <w:br/>
        <w:t>created_at TEXT NOT NULL</w:t>
        <w:br/>
        <w:t>updated_at TEXT NOT NULL</w:t>
      </w:r>
    </w:p>
    <w:p>
      <w:pPr>
        <w:pStyle w:val="ListBullet"/>
        <w:spacing w:after="30" w:line="240" w:lineRule="auto"/>
      </w:pPr>
      <w:r>
        <w:t>singleton_id is constrained to 1 so one database cannot contain multiple installation identities.</w:t>
      </w:r>
    </w:p>
    <w:p>
      <w:pPr>
        <w:pStyle w:val="ListBullet"/>
        <w:spacing w:after="30" w:line="240" w:lineRule="auto"/>
      </w:pPr>
      <w:r>
        <w:t>No row is inserted by HSD-007.</w:t>
      </w:r>
    </w:p>
    <w:p>
      <w:pPr>
        <w:pStyle w:val="ListBullet"/>
        <w:spacing w:after="30" w:line="240" w:lineRule="auto"/>
      </w:pPr>
      <w:r>
        <w:t>The installation UUID is generated in a later first-run task.</w:t>
      </w:r>
    </w:p>
    <w:p>
      <w:pPr>
        <w:pStyle w:val="Heading2"/>
        <w:keepNext/>
        <w:spacing w:before="140" w:after="60"/>
      </w:pPr>
      <w:r>
        <w:t>app_settings</w:t>
      </w:r>
    </w:p>
    <w:p>
      <w:pPr>
        <w:spacing w:after="80" w:line="252" w:lineRule="auto"/>
      </w:pPr>
      <w:r>
        <w:rPr>
          <w:b/>
        </w:rPr>
        <w:t xml:space="preserve">Purpose: </w:t>
      </w:r>
      <w:r>
        <w:t>Typed JSON configuration values whose operational use is deferred.</w:t>
      </w:r>
    </w:p>
    <w:p>
      <w:pPr>
        <w:pStyle w:val="CodeBlock"/>
        <w:keepLines/>
        <w:spacing w:before="60" w:after="100"/>
      </w:pPr>
      <w:r>
        <w:rPr>
          <w:rFonts w:ascii="Cascadia Mono" w:hAnsi="Cascadia Mono"/>
          <w:sz w:val="15"/>
        </w:rPr>
        <w:t>key TEXT PRIMARY KEY</w:t>
        <w:br/>
        <w:t>value_json TEXT NOT NULL</w:t>
        <w:br/>
        <w:t>updated_at TEXT NOT NULL</w:t>
        <w:br/>
        <w:t>sensitivity_classification TEXT NOT NULL</w:t>
      </w:r>
    </w:p>
    <w:p>
      <w:pPr>
        <w:pStyle w:val="ListBullet"/>
        <w:spacing w:after="30" w:line="240" w:lineRule="auto"/>
      </w:pPr>
      <w:r>
        <w:t>value_json must satisfy json_valid(value_json).</w:t>
      </w:r>
    </w:p>
    <w:p>
      <w:pPr>
        <w:pStyle w:val="ListBullet"/>
        <w:spacing w:after="30" w:line="240" w:lineRule="auto"/>
      </w:pPr>
      <w:r>
        <w:t>No secrets, endpoint, or default-location record is inserted by HSD-007.</w:t>
      </w:r>
    </w:p>
    <w:p>
      <w:pPr>
        <w:pStyle w:val="ListBullet"/>
        <w:spacing w:after="30" w:line="240" w:lineRule="auto"/>
      </w:pPr>
      <w:r>
        <w:t>Future settings services determine allowed keys and encryption policy.</w:t>
      </w:r>
    </w:p>
    <w:p>
      <w:pPr>
        <w:pStyle w:val="Heading2"/>
        <w:keepNext/>
        <w:spacing w:before="140" w:after="60"/>
      </w:pPr>
      <w:r>
        <w:t>12.2 Local identity, location, and protocol structure</w:t>
      </w:r>
    </w:p>
    <w:p>
      <w:pPr>
        <w:pStyle w:val="Heading2"/>
        <w:keepNext/>
        <w:spacing w:before="140" w:after="60"/>
      </w:pPr>
      <w:r>
        <w:t>users</w:t>
      </w:r>
    </w:p>
    <w:p>
      <w:pPr>
        <w:spacing w:after="80" w:line="252" w:lineRule="auto"/>
      </w:pPr>
      <w:r>
        <w:rPr>
          <w:b/>
        </w:rPr>
        <w:t xml:space="preserve">Purpose: </w:t>
      </w:r>
      <w:r>
        <w:t>Local account structure for future administrator, nurse, and trained-screener authentication.</w:t>
      </w:r>
    </w:p>
    <w:p>
      <w:pPr>
        <w:pStyle w:val="CodeBlock"/>
        <w:keepLines/>
        <w:spacing w:before="60" w:after="100"/>
      </w:pPr>
      <w:r>
        <w:rPr>
          <w:rFonts w:ascii="Cascadia Mono" w:hAnsi="Cascadia Mono"/>
          <w:sz w:val="15"/>
        </w:rPr>
        <w:t>id TEXT PRIMARY KEY</w:t>
        <w:br/>
        <w:t>username TEXT NOT NULL</w:t>
        <w:br/>
        <w:t>username_normalized TEXT NOT NULL UNIQUE</w:t>
        <w:br/>
        <w:t>display_name TEXT NOT NULL</w:t>
        <w:br/>
        <w:t>password_hash TEXT NOT NULL</w:t>
        <w:br/>
        <w:t>password_salt TEXT NOT NULL</w:t>
        <w:br/>
        <w:t>role TEXT NOT NULL</w:t>
        <w:br/>
        <w:t>is_active INTEGER NOT NULL</w:t>
        <w:br/>
        <w:t>must_change_password INTEGER NOT NULL</w:t>
        <w:br/>
        <w:t>failed_login_count INTEGER NOT NULL</w:t>
        <w:br/>
        <w:t>locked_until TEXT NULL</w:t>
        <w:br/>
        <w:t>last_login_at TEXT NULL</w:t>
        <w:br/>
        <w:t>created_at TEXT NOT NULL</w:t>
        <w:br/>
        <w:t>updated_at TEXT NOT NULL</w:t>
      </w:r>
    </w:p>
    <w:p>
      <w:pPr>
        <w:pStyle w:val="ListBullet"/>
        <w:spacing w:after="30" w:line="240" w:lineRule="auto"/>
      </w:pPr>
      <w:r>
        <w:t>role is restricted to LOCAL_ADMIN, NURSE, or TRAINED_SCREENER.</w:t>
      </w:r>
    </w:p>
    <w:p>
      <w:pPr>
        <w:pStyle w:val="ListBullet"/>
        <w:spacing w:after="30" w:line="240" w:lineRule="auto"/>
      </w:pPr>
      <w:r>
        <w:t>Boolean columns are restricted to 0 or 1; failed_login_count is non-negative.</w:t>
      </w:r>
    </w:p>
    <w:p>
      <w:pPr>
        <w:pStyle w:val="ListBullet"/>
        <w:spacing w:after="30" w:line="240" w:lineRule="auto"/>
      </w:pPr>
      <w:r>
        <w:t>No password value, user row, authentication service, or role authorization is implemented here.</w:t>
      </w:r>
    </w:p>
    <w:p>
      <w:pPr>
        <w:pStyle w:val="Heading2"/>
        <w:keepNext/>
        <w:spacing w:before="140" w:after="60"/>
      </w:pPr>
      <w:r>
        <w:t>locations</w:t>
      </w:r>
    </w:p>
    <w:p>
      <w:pPr>
        <w:spacing w:after="80" w:line="252" w:lineRule="auto"/>
      </w:pPr>
      <w:r>
        <w:rPr>
          <w:b/>
        </w:rPr>
        <w:t xml:space="preserve">Purpose: </w:t>
      </w:r>
      <w:r>
        <w:t>Church, quarter, village, community, or other approved screening site.</w:t>
      </w:r>
    </w:p>
    <w:p>
      <w:pPr>
        <w:pStyle w:val="CodeBlock"/>
        <w:keepLines/>
        <w:spacing w:before="60" w:after="100"/>
      </w:pPr>
      <w:r>
        <w:rPr>
          <w:rFonts w:ascii="Cascadia Mono" w:hAnsi="Cascadia Mono"/>
          <w:sz w:val="15"/>
        </w:rPr>
        <w:t>id TEXT PRIMARY KEY</w:t>
        <w:br/>
        <w:t>name TEXT NOT NULL</w:t>
        <w:br/>
        <w:t>name_normalized TEXT NOT NULL</w:t>
        <w:br/>
        <w:t>location_type TEXT NOT NULL</w:t>
        <w:br/>
        <w:t>village TEXT NULL</w:t>
        <w:br/>
        <w:t>subdivision TEXT NULL</w:t>
        <w:br/>
        <w:t>region TEXT NULL</w:t>
        <w:br/>
        <w:t>directions TEXT NULL</w:t>
        <w:br/>
        <w:t>is_active INTEGER NOT NULL</w:t>
        <w:br/>
        <w:t>created_by TEXT NOT NULL</w:t>
        <w:br/>
        <w:t>created_at TEXT NOT NULL</w:t>
        <w:br/>
        <w:t>updated_by TEXT NOT NULL</w:t>
        <w:br/>
        <w:t>updated_at TEXT NOT NULL</w:t>
      </w:r>
    </w:p>
    <w:p>
      <w:pPr>
        <w:pStyle w:val="ListBullet"/>
        <w:spacing w:after="30" w:line="240" w:lineRule="auto"/>
      </w:pPr>
      <w:r>
        <w:t>created_by and updated_by reference users(id) with RESTRICT behavior.</w:t>
      </w:r>
    </w:p>
    <w:p>
      <w:pPr>
        <w:pStyle w:val="ListBullet"/>
        <w:spacing w:after="30" w:line="240" w:lineRule="auto"/>
      </w:pPr>
      <w:r>
        <w:t>is_active is 0 or 1; location_type must be non-empty but is not clinically governed.</w:t>
      </w:r>
    </w:p>
    <w:p>
      <w:pPr>
        <w:pStyle w:val="ListBullet"/>
        <w:spacing w:after="30" w:line="240" w:lineRule="auto"/>
      </w:pPr>
      <w:r>
        <w:t>No location row is inserted.</w:t>
      </w:r>
    </w:p>
    <w:p>
      <w:pPr>
        <w:pStyle w:val="Heading2"/>
        <w:keepNext/>
        <w:spacing w:before="140" w:after="60"/>
      </w:pPr>
      <w:r>
        <w:t>protocol_versions</w:t>
      </w:r>
    </w:p>
    <w:p>
      <w:pPr>
        <w:spacing w:after="80" w:line="252" w:lineRule="auto"/>
      </w:pPr>
      <w:r>
        <w:rPr>
          <w:b/>
        </w:rPr>
        <w:t xml:space="preserve">Purpose: </w:t>
      </w:r>
      <w:r>
        <w:t>Versioned external protocol packages without approved clinical thresholds in code.</w:t>
      </w:r>
    </w:p>
    <w:p>
      <w:pPr>
        <w:pStyle w:val="CodeBlock"/>
        <w:keepLines/>
        <w:spacing w:before="60" w:after="100"/>
      </w:pPr>
      <w:r>
        <w:rPr>
          <w:rFonts w:ascii="Cascadia Mono" w:hAnsi="Cascadia Mono"/>
          <w:sz w:val="15"/>
        </w:rPr>
        <w:t>id TEXT PRIMARY KEY</w:t>
        <w:br/>
        <w:t>protocol_key TEXT NOT NULL</w:t>
        <w:br/>
        <w:t>version_label TEXT NOT NULL</w:t>
        <w:br/>
        <w:t>status TEXT NOT NULL</w:t>
        <w:br/>
        <w:t>effective_at TEXT NULL</w:t>
        <w:br/>
        <w:t>configuration_json TEXT NOT NULL</w:t>
        <w:br/>
        <w:t>checksum TEXT NOT NULL</w:t>
        <w:br/>
        <w:t>imported_by TEXT NULL</w:t>
        <w:br/>
        <w:t>imported_at TEXT NOT NULL</w:t>
        <w:br/>
        <w:t>activated_by TEXT NULL</w:t>
        <w:br/>
        <w:t>activated_at TEXT NULL</w:t>
        <w:br/>
        <w:t>created_at TEXT NOT NULL</w:t>
      </w:r>
    </w:p>
    <w:p>
      <w:pPr>
        <w:pStyle w:val="ListBullet"/>
        <w:spacing w:after="30" w:line="240" w:lineRule="auto"/>
      </w:pPr>
      <w:r>
        <w:t>status is restricted to DRAFT, ACTIVE, or INACTIVE.</w:t>
      </w:r>
    </w:p>
    <w:p>
      <w:pPr>
        <w:pStyle w:val="ListBullet"/>
        <w:spacing w:after="30" w:line="240" w:lineRule="auto"/>
      </w:pPr>
      <w:r>
        <w:t>configuration_json must be valid JSON; protocol_key plus version_label is unique.</w:t>
      </w:r>
    </w:p>
    <w:p>
      <w:pPr>
        <w:pStyle w:val="ListBullet"/>
        <w:spacing w:after="30" w:line="240" w:lineRule="auto"/>
      </w:pPr>
      <w:r>
        <w:t>A partial unique index permits at most one ACTIVE protocol row.</w:t>
      </w:r>
    </w:p>
    <w:p>
      <w:pPr>
        <w:pStyle w:val="ListBullet"/>
        <w:spacing w:after="30" w:line="240" w:lineRule="auto"/>
      </w:pPr>
      <w:r>
        <w:t>imported_by and activated_by reference users(id); no placeholder or threshold configuration is seeded.</w:t>
      </w:r>
    </w:p>
    <w:p>
      <w:pPr>
        <w:pStyle w:val="Heading2"/>
        <w:keepNext/>
        <w:spacing w:before="140" w:after="60"/>
      </w:pPr>
      <w:r>
        <w:t>12.3 Patient identity and participation records</w:t>
      </w:r>
    </w:p>
    <w:p>
      <w:pPr>
        <w:pStyle w:val="Heading2"/>
        <w:keepNext/>
        <w:spacing w:before="140" w:after="60"/>
      </w:pPr>
      <w:r>
        <w:t>patients</w:t>
      </w:r>
    </w:p>
    <w:p>
      <w:pPr>
        <w:spacing w:after="80" w:line="252" w:lineRule="auto"/>
      </w:pPr>
      <w:r>
        <w:rPr>
          <w:b/>
        </w:rPr>
        <w:t xml:space="preserve">Purpose: </w:t>
      </w:r>
      <w:r>
        <w:t>Participant registry with local code, flexible names, contact, residence, and lifecycle status.</w:t>
      </w:r>
    </w:p>
    <w:p>
      <w:pPr>
        <w:pStyle w:val="CodeBlock"/>
        <w:keepLines/>
        <w:spacing w:before="60" w:after="100"/>
      </w:pPr>
      <w:r>
        <w:rPr>
          <w:rFonts w:ascii="Cascadia Mono" w:hAnsi="Cascadia Mono"/>
          <w:sz w:val="15"/>
        </w:rPr>
        <w:t>id TEXT PRIMARY KEY</w:t>
        <w:br/>
        <w:t>patient_code TEXT NOT NULL UNIQUE</w:t>
        <w:br/>
        <w:t>display_name TEXT NOT NULL</w:t>
        <w:br/>
        <w:t>given_name TEXT NULL</w:t>
        <w:br/>
        <w:t>family_name TEXT NULL</w:t>
        <w:br/>
        <w:t>other_names TEXT NULL</w:t>
        <w:br/>
        <w:t>name_normalized TEXT NOT NULL</w:t>
        <w:br/>
        <w:t>sex TEXT NULL</w:t>
        <w:br/>
        <w:t>date_of_birth TEXT NULL</w:t>
        <w:br/>
        <w:t>approximate_age_years INTEGER NULL</w:t>
        <w:br/>
        <w:t>age_as_of_date TEXT NULL</w:t>
        <w:br/>
        <w:t>phone TEXT NULL</w:t>
        <w:br/>
        <w:t>phone_normalized TEXT NULL</w:t>
        <w:br/>
        <w:t>alternate_contact_name TEXT NULL</w:t>
        <w:br/>
        <w:t>alternate_contact_phone TEXT NULL</w:t>
        <w:br/>
        <w:t>village TEXT NULL</w:t>
        <w:br/>
        <w:t>quarter TEXT NULL</w:t>
        <w:br/>
        <w:t>residence_notes TEXT NULL</w:t>
        <w:br/>
        <w:t>status TEXT NOT NULL</w:t>
        <w:br/>
        <w:t>created_by TEXT NOT NULL</w:t>
        <w:br/>
        <w:t>created_at TEXT NOT NULL</w:t>
        <w:br/>
        <w:t>updated_by TEXT NOT NULL</w:t>
        <w:br/>
        <w:t>updated_at TEXT NOT NULL</w:t>
      </w:r>
    </w:p>
    <w:p>
      <w:pPr>
        <w:pStyle w:val="ListBullet"/>
        <w:spacing w:after="30" w:line="240" w:lineRule="auto"/>
      </w:pPr>
      <w:r>
        <w:t>status is ACTIVE or INACTIVE; approximate_age_years is NULL or non-negative.</w:t>
      </w:r>
    </w:p>
    <w:p>
      <w:pPr>
        <w:pStyle w:val="ListBullet"/>
        <w:spacing w:after="30" w:line="240" w:lineRule="auto"/>
      </w:pPr>
      <w:r>
        <w:t>created_by and updated_by reference users(id).</w:t>
      </w:r>
    </w:p>
    <w:p>
      <w:pPr>
        <w:pStyle w:val="ListBullet"/>
        <w:spacing w:after="30" w:line="240" w:lineRule="auto"/>
      </w:pPr>
      <w:r>
        <w:t>Do not enforce final Babungo registration minimums in SQL; governance and domain validation remain later tasks.</w:t>
      </w:r>
    </w:p>
    <w:p>
      <w:pPr>
        <w:pStyle w:val="ListBullet"/>
        <w:spacing w:after="30" w:line="240" w:lineRule="auto"/>
      </w:pPr>
      <w:r>
        <w:t>Do not add automatic duplicate merge behavior.</w:t>
      </w:r>
    </w:p>
    <w:p>
      <w:pPr>
        <w:pStyle w:val="Heading2"/>
        <w:keepNext/>
        <w:spacing w:before="140" w:after="60"/>
      </w:pPr>
      <w:r>
        <w:t>patient_identifiers</w:t>
      </w:r>
    </w:p>
    <w:p>
      <w:pPr>
        <w:spacing w:after="80" w:line="252" w:lineRule="auto"/>
      </w:pPr>
      <w:r>
        <w:rPr>
          <w:b/>
        </w:rPr>
        <w:t xml:space="preserve">Purpose: </w:t>
      </w:r>
      <w:r>
        <w:t>Additional local or external identifiers associated with a patient.</w:t>
      </w:r>
    </w:p>
    <w:p>
      <w:pPr>
        <w:pStyle w:val="CodeBlock"/>
        <w:keepLines/>
        <w:spacing w:before="60" w:after="100"/>
      </w:pPr>
      <w:r>
        <w:rPr>
          <w:rFonts w:ascii="Cascadia Mono" w:hAnsi="Cascadia Mono"/>
          <w:sz w:val="15"/>
        </w:rPr>
        <w:t>id TEXT PRIMARY KEY</w:t>
        <w:br/>
        <w:t>patient_id TEXT NOT NULL</w:t>
        <w:br/>
        <w:t>identifier_type TEXT NOT NULL</w:t>
        <w:br/>
        <w:t>issuer TEXT NOT NULL</w:t>
        <w:br/>
        <w:t>identifier_value TEXT NOT NULL</w:t>
        <w:br/>
        <w:t>is_primary INTEGER NOT NULL</w:t>
        <w:br/>
        <w:t>valid_from TEXT NULL</w:t>
        <w:br/>
        <w:t>valid_to TEXT NULL</w:t>
        <w:br/>
        <w:t>created_by TEXT NOT NULL</w:t>
        <w:br/>
        <w:t>created_at TEXT NOT NULL</w:t>
      </w:r>
    </w:p>
    <w:p>
      <w:pPr>
        <w:pStyle w:val="ListBullet"/>
        <w:spacing w:after="30" w:line="240" w:lineRule="auto"/>
      </w:pPr>
      <w:r>
        <w:t>patient_id references patients(id); created_by references users(id).</w:t>
      </w:r>
    </w:p>
    <w:p>
      <w:pPr>
        <w:pStyle w:val="ListBullet"/>
        <w:spacing w:after="30" w:line="240" w:lineRule="auto"/>
      </w:pPr>
      <w:r>
        <w:t>identifier_type, issuer, and identifier_value form a unique key.</w:t>
      </w:r>
    </w:p>
    <w:p>
      <w:pPr>
        <w:pStyle w:val="ListBullet"/>
        <w:spacing w:after="30" w:line="240" w:lineRule="auto"/>
      </w:pPr>
      <w:r>
        <w:t>is_primary is 0 or 1. No identifier row is generated by migration.</w:t>
      </w:r>
    </w:p>
    <w:p>
      <w:pPr>
        <w:pStyle w:val="Heading2"/>
        <w:keepNext/>
        <w:spacing w:before="140" w:after="60"/>
      </w:pPr>
      <w:r>
        <w:t>consent_records</w:t>
      </w:r>
    </w:p>
    <w:p>
      <w:pPr>
        <w:spacing w:after="80" w:line="252" w:lineRule="auto"/>
      </w:pPr>
      <w:r>
        <w:rPr>
          <w:b/>
        </w:rPr>
        <w:t xml:space="preserve">Purpose: </w:t>
      </w:r>
      <w:r>
        <w:t>Append-oriented participation or data-use acknowledgment history.</w:t>
      </w:r>
    </w:p>
    <w:p>
      <w:pPr>
        <w:pStyle w:val="CodeBlock"/>
        <w:keepLines/>
        <w:spacing w:before="60" w:after="100"/>
      </w:pPr>
      <w:r>
        <w:rPr>
          <w:rFonts w:ascii="Cascadia Mono" w:hAnsi="Cascadia Mono"/>
          <w:sz w:val="15"/>
        </w:rPr>
        <w:t>id TEXT PRIMARY KEY</w:t>
        <w:br/>
        <w:t>patient_id TEXT NOT NULL</w:t>
        <w:br/>
        <w:t>consent_type TEXT NOT NULL</w:t>
        <w:br/>
        <w:t>status TEXT NOT NULL</w:t>
        <w:br/>
        <w:t>source_type TEXT NOT NULL</w:t>
        <w:br/>
        <w:t>effective_at TEXT NULL</w:t>
        <w:br/>
        <w:t>withdrawn_at TEXT NULL</w:t>
        <w:br/>
        <w:t>notes TEXT NULL</w:t>
        <w:br/>
        <w:t>recorded_by TEXT NOT NULL</w:t>
        <w:br/>
        <w:t>recorded_at TEXT NOT NULL</w:t>
      </w:r>
    </w:p>
    <w:p>
      <w:pPr>
        <w:pStyle w:val="ListBullet"/>
        <w:spacing w:after="30" w:line="240" w:lineRule="auto"/>
      </w:pPr>
      <w:r>
        <w:t>patient_id references patients(id); recorded_by references users(id).</w:t>
      </w:r>
    </w:p>
    <w:p>
      <w:pPr>
        <w:pStyle w:val="ListBullet"/>
        <w:spacing w:after="30" w:line="240" w:lineRule="auto"/>
      </w:pPr>
      <w:r>
        <w:t>consent_type, status, and source_type must be non-empty, but exact approved wording is deferred to governance.</w:t>
      </w:r>
    </w:p>
    <w:p>
      <w:pPr>
        <w:pStyle w:val="ListBullet"/>
        <w:spacing w:after="30" w:line="240" w:lineRule="auto"/>
      </w:pPr>
      <w:r>
        <w:t>No hard-delete or current-consent trigger is implemented.</w:t>
      </w:r>
    </w:p>
    <w:p>
      <w:pPr>
        <w:pStyle w:val="Heading2"/>
        <w:keepNext/>
        <w:spacing w:before="140" w:after="60"/>
      </w:pPr>
      <w:r>
        <w:t>12.4 Screening workflow and observations</w:t>
      </w:r>
    </w:p>
    <w:p>
      <w:pPr>
        <w:pStyle w:val="Heading2"/>
        <w:keepNext/>
        <w:spacing w:before="140" w:after="60"/>
      </w:pPr>
      <w:r>
        <w:t>screening_sessions</w:t>
      </w:r>
    </w:p>
    <w:p>
      <w:pPr>
        <w:spacing w:after="80" w:line="252" w:lineRule="auto"/>
      </w:pPr>
      <w:r>
        <w:rPr>
          <w:b/>
        </w:rPr>
        <w:t xml:space="preserve">Purpose: </w:t>
      </w:r>
      <w:r>
        <w:t>One dated screening operation at a location under a protocol version.</w:t>
      </w:r>
    </w:p>
    <w:p>
      <w:pPr>
        <w:pStyle w:val="CodeBlock"/>
        <w:keepLines/>
        <w:spacing w:before="60" w:after="100"/>
      </w:pPr>
      <w:r>
        <w:rPr>
          <w:rFonts w:ascii="Cascadia Mono" w:hAnsi="Cascadia Mono"/>
          <w:sz w:val="15"/>
        </w:rPr>
        <w:t>id TEXT PRIMARY KEY</w:t>
        <w:br/>
        <w:t>location_id TEXT NOT NULL</w:t>
        <w:br/>
        <w:t>protocol_version_id TEXT NOT NULL</w:t>
        <w:br/>
        <w:t>session_date TEXT NOT NULL</w:t>
        <w:br/>
        <w:t>status TEXT NOT NULL</w:t>
        <w:br/>
        <w:t>created_by TEXT NOT NULL</w:t>
        <w:br/>
        <w:t>created_at TEXT NOT NULL</w:t>
        <w:br/>
        <w:t>opened_at TEXT NOT NULL</w:t>
        <w:br/>
        <w:t>closed_by TEXT NULL</w:t>
        <w:br/>
        <w:t>closed_at TEXT NULL</w:t>
        <w:br/>
        <w:t>updated_at TEXT NOT NULL</w:t>
      </w:r>
    </w:p>
    <w:p>
      <w:pPr>
        <w:pStyle w:val="ListBullet"/>
        <w:spacing w:after="30" w:line="240" w:lineRule="auto"/>
      </w:pPr>
      <w:r>
        <w:t>status is OPEN or CLOSED.</w:t>
      </w:r>
    </w:p>
    <w:p>
      <w:pPr>
        <w:pStyle w:val="ListBullet"/>
        <w:spacing w:after="30" w:line="240" w:lineRule="auto"/>
      </w:pPr>
      <w:r>
        <w:t>location_id, protocol_version_id, created_by, and closed_by use RESTRICT foreign keys.</w:t>
      </w:r>
    </w:p>
    <w:p>
      <w:pPr>
        <w:pStyle w:val="ListBullet"/>
        <w:spacing w:after="30" w:line="240" w:lineRule="auto"/>
      </w:pPr>
      <w:r>
        <w:t>location_id plus session_date is unique for schema version 1.</w:t>
      </w:r>
    </w:p>
    <w:p>
      <w:pPr>
        <w:pStyle w:val="ListBullet"/>
        <w:spacing w:after="30" w:line="240" w:lineRule="auto"/>
      </w:pPr>
      <w:r>
        <w:t>No session row or status transition service is implemented.</w:t>
      </w:r>
    </w:p>
    <w:p>
      <w:pPr>
        <w:pStyle w:val="Heading2"/>
        <w:keepNext/>
        <w:spacing w:before="140" w:after="60"/>
      </w:pPr>
      <w:r>
        <w:t>screening_encounters</w:t>
      </w:r>
    </w:p>
    <w:p>
      <w:pPr>
        <w:spacing w:after="80" w:line="252" w:lineRule="auto"/>
      </w:pPr>
      <w:r>
        <w:rPr>
          <w:b/>
        </w:rPr>
        <w:t xml:space="preserve">Purpose: </w:t>
      </w:r>
      <w:r>
        <w:t>One patient visit linked to a screening session, location, screener, and protocol version.</w:t>
      </w:r>
    </w:p>
    <w:p>
      <w:pPr>
        <w:pStyle w:val="CodeBlock"/>
        <w:keepLines/>
        <w:spacing w:before="60" w:after="100"/>
      </w:pPr>
      <w:r>
        <w:rPr>
          <w:rFonts w:ascii="Cascadia Mono" w:hAnsi="Cascadia Mono"/>
          <w:sz w:val="15"/>
        </w:rPr>
        <w:t>id TEXT PRIMARY KEY</w:t>
        <w:br/>
        <w:t>patient_id TEXT NOT NULL</w:t>
        <w:br/>
        <w:t>screening_session_id TEXT NOT NULL</w:t>
        <w:br/>
        <w:t>location_id TEXT NOT NULL</w:t>
        <w:br/>
        <w:t>protocol_version_id TEXT NOT NULL</w:t>
        <w:br/>
        <w:t>status TEXT NOT NULL</w:t>
        <w:br/>
        <w:t>started_at TEXT NOT NULL</w:t>
        <w:br/>
        <w:t>completed_at TEXT NULL</w:t>
        <w:br/>
        <w:t>source_type TEXT NOT NULL</w:t>
        <w:br/>
        <w:t>recorded_by TEXT NOT NULL</w:t>
        <w:br/>
        <w:t>summary_systolic INTEGER NULL</w:t>
        <w:br/>
        <w:t>summary_diastolic INTEGER NULL</w:t>
        <w:br/>
        <w:t>summary_pulse INTEGER NULL</w:t>
        <w:br/>
        <w:t>next_action_category TEXT NULL</w:t>
        <w:br/>
        <w:t>decision_json TEXT NULL</w:t>
        <w:br/>
        <w:t>amendment_of_encounter_id TEXT NULL</w:t>
        <w:br/>
        <w:t>amendment_reason TEXT NULL</w:t>
        <w:br/>
        <w:t>void_reason TEXT NULL</w:t>
        <w:br/>
        <w:t>record_version INTEGER NOT NULL</w:t>
        <w:br/>
        <w:t>created_at TEXT NOT NULL</w:t>
        <w:br/>
        <w:t>updated_at TEXT NOT NULL</w:t>
      </w:r>
    </w:p>
    <w:p>
      <w:pPr>
        <w:pStyle w:val="ListBullet"/>
        <w:spacing w:after="30" w:line="240" w:lineRule="auto"/>
      </w:pPr>
      <w:r>
        <w:t>status is DRAFT, COMPLETED, AMENDED, or VOID; record_version is at least 1.</w:t>
      </w:r>
    </w:p>
    <w:p>
      <w:pPr>
        <w:pStyle w:val="ListBullet"/>
        <w:spacing w:after="30" w:line="240" w:lineRule="auto"/>
      </w:pPr>
      <w:r>
        <w:t>Patient, session, location, protocol, user, and optional amended-encounter relationships use RESTRICT foreign keys.</w:t>
      </w:r>
    </w:p>
    <w:p>
      <w:pPr>
        <w:pStyle w:val="ListBullet"/>
        <w:spacing w:after="30" w:line="240" w:lineRule="auto"/>
      </w:pPr>
      <w:r>
        <w:t>decision_json is NULL or valid JSON.</w:t>
      </w:r>
    </w:p>
    <w:p>
      <w:pPr>
        <w:pStyle w:val="ListBullet"/>
        <w:spacing w:after="30" w:line="240" w:lineRule="auto"/>
      </w:pPr>
      <w:r>
        <w:t>The schema stores no diagnostic code and no protocol threshold.</w:t>
      </w:r>
    </w:p>
    <w:p>
      <w:pPr>
        <w:pStyle w:val="Heading2"/>
        <w:keepNext/>
        <w:spacing w:before="140" w:after="60"/>
      </w:pPr>
      <w:r>
        <w:t>blood_pressure_readings</w:t>
      </w:r>
    </w:p>
    <w:p>
      <w:pPr>
        <w:spacing w:after="80" w:line="252" w:lineRule="auto"/>
      </w:pPr>
      <w:r>
        <w:rPr>
          <w:b/>
        </w:rPr>
        <w:t xml:space="preserve">Purpose: </w:t>
      </w:r>
      <w:r>
        <w:t>Raw, sequenced BP and pulse observations for one encounter.</w:t>
      </w:r>
    </w:p>
    <w:p>
      <w:pPr>
        <w:pStyle w:val="CodeBlock"/>
        <w:keepLines/>
        <w:spacing w:before="60" w:after="100"/>
      </w:pPr>
      <w:r>
        <w:rPr>
          <w:rFonts w:ascii="Cascadia Mono" w:hAnsi="Cascadia Mono"/>
          <w:sz w:val="15"/>
        </w:rPr>
        <w:t>id TEXT PRIMARY KEY</w:t>
        <w:br/>
        <w:t>encounter_id TEXT NOT NULL</w:t>
        <w:br/>
        <w:t>sequence_number INTEGER NOT NULL</w:t>
        <w:br/>
        <w:t>systolic INTEGER NOT NULL</w:t>
        <w:br/>
        <w:t>diastolic INTEGER NOT NULL</w:t>
        <w:br/>
        <w:t>pulse INTEGER NULL</w:t>
        <w:br/>
        <w:t>arm TEXT NULL</w:t>
        <w:br/>
        <w:t>body_position TEXT NULL</w:t>
        <w:br/>
        <w:t>cuff_size TEXT NULL</w:t>
        <w:br/>
        <w:t>device_identifier TEXT NULL</w:t>
        <w:br/>
        <w:t>measured_at TEXT NOT NULL</w:t>
        <w:br/>
        <w:t>status TEXT NOT NULL</w:t>
        <w:br/>
        <w:t>discard_reason TEXT NULL</w:t>
        <w:br/>
        <w:t>source_type TEXT NOT NULL</w:t>
        <w:br/>
        <w:t>recorded_by TEXT NOT NULL</w:t>
        <w:br/>
        <w:t>recorded_at TEXT NOT NULL</w:t>
      </w:r>
    </w:p>
    <w:p>
      <w:pPr>
        <w:pStyle w:val="ListBullet"/>
        <w:spacing w:after="30" w:line="240" w:lineRule="auto"/>
      </w:pPr>
      <w:r>
        <w:t>status is ACTIVE or DISCARDED; sequence_number, systolic, and diastolic are positive; pulse is NULL or positive.</w:t>
      </w:r>
    </w:p>
    <w:p>
      <w:pPr>
        <w:pStyle w:val="ListBullet"/>
        <w:spacing w:after="30" w:line="240" w:lineRule="auto"/>
      </w:pPr>
      <w:r>
        <w:t>encounter_id plus sequence_number is unique.</w:t>
      </w:r>
    </w:p>
    <w:p>
      <w:pPr>
        <w:pStyle w:val="ListBullet"/>
        <w:spacing w:after="30" w:line="240" w:lineRule="auto"/>
      </w:pPr>
      <w:r>
        <w:t>encounter_id and recorded_by use RESTRICT foreign keys.</w:t>
      </w:r>
    </w:p>
    <w:p>
      <w:pPr>
        <w:pStyle w:val="ListBullet"/>
        <w:spacing w:after="30" w:line="240" w:lineRule="auto"/>
      </w:pPr>
      <w:r>
        <w:t>Do not encode hypertension thresholds or referral rules.</w:t>
      </w:r>
    </w:p>
    <w:p>
      <w:pPr>
        <w:pStyle w:val="Heading2"/>
        <w:keepNext/>
        <w:spacing w:before="140" w:after="60"/>
      </w:pPr>
      <w:r>
        <w:t>lifestyle_logs</w:t>
      </w:r>
    </w:p>
    <w:p>
      <w:pPr>
        <w:spacing w:after="80" w:line="252" w:lineRule="auto"/>
      </w:pPr>
      <w:r>
        <w:rPr>
          <w:b/>
        </w:rPr>
        <w:t xml:space="preserve">Purpose: </w:t>
      </w:r>
      <w:r>
        <w:t>Question-code and response records for the current encounter.</w:t>
      </w:r>
    </w:p>
    <w:p>
      <w:pPr>
        <w:pStyle w:val="CodeBlock"/>
        <w:keepLines/>
        <w:spacing w:before="60" w:after="100"/>
      </w:pPr>
      <w:r>
        <w:rPr>
          <w:rFonts w:ascii="Cascadia Mono" w:hAnsi="Cascadia Mono"/>
          <w:sz w:val="15"/>
        </w:rPr>
        <w:t>id TEXT PRIMARY KEY</w:t>
        <w:br/>
        <w:t>encounter_id TEXT NOT NULL</w:t>
        <w:br/>
        <w:t>question_code TEXT NOT NULL</w:t>
        <w:br/>
        <w:t>response_code TEXT NULL</w:t>
        <w:br/>
        <w:t>response_text TEXT NULL</w:t>
        <w:br/>
        <w:t>source_type TEXT NOT NULL</w:t>
        <w:br/>
        <w:t>recorded_by TEXT NOT NULL</w:t>
        <w:br/>
        <w:t>recorded_at TEXT NOT NULL</w:t>
      </w:r>
    </w:p>
    <w:p>
      <w:pPr>
        <w:pStyle w:val="ListBullet"/>
        <w:spacing w:after="30" w:line="240" w:lineRule="auto"/>
      </w:pPr>
      <w:r>
        <w:t>encounter_id plus question_code is unique for schema version 1.</w:t>
      </w:r>
    </w:p>
    <w:p>
      <w:pPr>
        <w:pStyle w:val="ListBullet"/>
        <w:spacing w:after="30" w:line="240" w:lineRule="auto"/>
      </w:pPr>
      <w:r>
        <w:t>encounter_id and recorded_by use RESTRICT foreign keys.</w:t>
      </w:r>
    </w:p>
    <w:p>
      <w:pPr>
        <w:pStyle w:val="ListBullet"/>
        <w:spacing w:after="30" w:line="240" w:lineRule="auto"/>
      </w:pPr>
      <w:r>
        <w:t>Question catalog, approved choices, and validation rules are deferred.</w:t>
      </w:r>
    </w:p>
    <w:p>
      <w:pPr>
        <w:pStyle w:val="Heading2"/>
        <w:keepNext/>
        <w:spacing w:before="140" w:after="60"/>
      </w:pPr>
      <w:r>
        <w:t>food_logs</w:t>
      </w:r>
    </w:p>
    <w:p>
      <w:pPr>
        <w:spacing w:after="80" w:line="252" w:lineRule="auto"/>
      </w:pPr>
      <w:r>
        <w:rPr>
          <w:b/>
        </w:rPr>
        <w:t xml:space="preserve">Purpose: </w:t>
      </w:r>
      <w:r>
        <w:t>Patient-reported common food and frequency context for an encounter.</w:t>
      </w:r>
    </w:p>
    <w:p>
      <w:pPr>
        <w:pStyle w:val="CodeBlock"/>
        <w:keepLines/>
        <w:spacing w:before="60" w:after="100"/>
      </w:pPr>
      <w:r>
        <w:rPr>
          <w:rFonts w:ascii="Cascadia Mono" w:hAnsi="Cascadia Mono"/>
          <w:sz w:val="15"/>
        </w:rPr>
        <w:t>id TEXT PRIMARY KEY</w:t>
        <w:br/>
        <w:t>encounter_id TEXT NOT NULL</w:t>
        <w:br/>
        <w:t>food_code TEXT NULL</w:t>
        <w:br/>
        <w:t>food_name TEXT NOT NULL</w:t>
        <w:br/>
        <w:t>food_name_normalized TEXT NOT NULL</w:t>
        <w:br/>
        <w:t>frequency_code TEXT NULL</w:t>
        <w:br/>
        <w:t>notes TEXT NULL</w:t>
        <w:br/>
        <w:t>source_type TEXT NOT NULL</w:t>
        <w:br/>
        <w:t>recorded_by TEXT NOT NULL</w:t>
        <w:br/>
        <w:t>recorded_at TEXT NOT NULL</w:t>
      </w:r>
    </w:p>
    <w:p>
      <w:pPr>
        <w:pStyle w:val="ListBullet"/>
        <w:spacing w:after="30" w:line="240" w:lineRule="auto"/>
      </w:pPr>
      <w:r>
        <w:t>encounter_id and recorded_by use RESTRICT foreign keys.</w:t>
      </w:r>
    </w:p>
    <w:p>
      <w:pPr>
        <w:pStyle w:val="ListBullet"/>
        <w:spacing w:after="30" w:line="240" w:lineRule="auto"/>
      </w:pPr>
      <w:r>
        <w:t>No food catalog or seed entries are created by HSD-007.</w:t>
      </w:r>
    </w:p>
    <w:p>
      <w:pPr>
        <w:pStyle w:val="ListBullet"/>
        <w:spacing w:after="30" w:line="240" w:lineRule="auto"/>
      </w:pPr>
      <w:r>
        <w:t>Multiple food rows per encounter are allowed.</w:t>
      </w:r>
    </w:p>
    <w:p>
      <w:pPr>
        <w:pStyle w:val="Heading2"/>
        <w:keepNext/>
        <w:spacing w:before="140" w:after="60"/>
      </w:pPr>
      <w:r>
        <w:t>otc_medication_logs</w:t>
      </w:r>
    </w:p>
    <w:p>
      <w:pPr>
        <w:spacing w:after="80" w:line="252" w:lineRule="auto"/>
      </w:pPr>
      <w:r>
        <w:rPr>
          <w:b/>
        </w:rPr>
        <w:t xml:space="preserve">Purpose: </w:t>
      </w:r>
      <w:r>
        <w:t>Patient-reported OTC product, reason, and current-use context.</w:t>
      </w:r>
    </w:p>
    <w:p>
      <w:pPr>
        <w:pStyle w:val="CodeBlock"/>
        <w:keepLines/>
        <w:spacing w:before="60" w:after="100"/>
      </w:pPr>
      <w:r>
        <w:rPr>
          <w:rFonts w:ascii="Cascadia Mono" w:hAnsi="Cascadia Mono"/>
          <w:sz w:val="15"/>
        </w:rPr>
        <w:t>id TEXT PRIMARY KEY</w:t>
        <w:br/>
        <w:t>encounter_id TEXT NOT NULL</w:t>
        <w:br/>
        <w:t>product_name TEXT NOT NULL</w:t>
        <w:br/>
        <w:t>product_name_normalized TEXT NOT NULL</w:t>
        <w:br/>
        <w:t>reason_for_use TEXT NOT NULL</w:t>
        <w:br/>
        <w:t>dose_text TEXT NULL</w:t>
        <w:br/>
        <w:t>frequency_text TEXT NULL</w:t>
        <w:br/>
        <w:t>duration_text TEXT NULL</w:t>
        <w:br/>
        <w:t>source_of_medication TEXT NULL</w:t>
        <w:br/>
        <w:t>currently_taking INTEGER NULL</w:t>
        <w:br/>
        <w:t>source_type TEXT NOT NULL</w:t>
        <w:br/>
        <w:t>recorded_by TEXT NOT NULL</w:t>
        <w:br/>
        <w:t>recorded_at TEXT NOT NULL</w:t>
      </w:r>
    </w:p>
    <w:p>
      <w:pPr>
        <w:pStyle w:val="ListBullet"/>
        <w:spacing w:after="30" w:line="240" w:lineRule="auto"/>
      </w:pPr>
      <w:r>
        <w:t>currently_taking is NULL for unknown or 0/1 for known false/true.</w:t>
      </w:r>
    </w:p>
    <w:p>
      <w:pPr>
        <w:pStyle w:val="ListBullet"/>
        <w:spacing w:after="30" w:line="240" w:lineRule="auto"/>
      </w:pPr>
      <w:r>
        <w:t>encounter_id and recorded_by use RESTRICT foreign keys.</w:t>
      </w:r>
    </w:p>
    <w:p>
      <w:pPr>
        <w:pStyle w:val="ListBullet"/>
        <w:spacing w:after="30" w:line="240" w:lineRule="auto"/>
      </w:pPr>
      <w:r>
        <w:t>No drug catalog, prescription workflow, treatment recommendation, or medication normalization service is included.</w:t>
      </w:r>
    </w:p>
    <w:p>
      <w:pPr>
        <w:pStyle w:val="Heading2"/>
        <w:keepNext/>
        <w:spacing w:before="140" w:after="60"/>
      </w:pPr>
      <w:r>
        <w:t>12.5 Referral and follow-up structure</w:t>
      </w:r>
    </w:p>
    <w:p>
      <w:pPr>
        <w:pStyle w:val="Heading2"/>
        <w:keepNext/>
        <w:spacing w:before="140" w:after="60"/>
      </w:pPr>
      <w:r>
        <w:t>referrals</w:t>
      </w:r>
    </w:p>
    <w:p>
      <w:pPr>
        <w:spacing w:after="80" w:line="252" w:lineRule="auto"/>
      </w:pPr>
      <w:r>
        <w:rPr>
          <w:b/>
        </w:rPr>
        <w:t xml:space="preserve">Purpose: </w:t>
      </w:r>
      <w:r>
        <w:t>Referral initiated from an encounter and retained through closure.</w:t>
      </w:r>
    </w:p>
    <w:p>
      <w:pPr>
        <w:pStyle w:val="CodeBlock"/>
        <w:keepLines/>
        <w:spacing w:before="60" w:after="100"/>
      </w:pPr>
      <w:r>
        <w:rPr>
          <w:rFonts w:ascii="Cascadia Mono" w:hAnsi="Cascadia Mono"/>
          <w:sz w:val="15"/>
        </w:rPr>
        <w:t>id TEXT PRIMARY KEY</w:t>
        <w:br/>
        <w:t>patient_id TEXT NOT NULL</w:t>
        <w:br/>
        <w:t>encounter_id TEXT NOT NULL</w:t>
        <w:br/>
        <w:t>protocol_version_id TEXT NOT NULL</w:t>
        <w:br/>
        <w:t>reason_codes_json TEXT NOT NULL</w:t>
        <w:br/>
        <w:t>reason_text TEXT NULL</w:t>
        <w:br/>
        <w:t>urgency TEXT NOT NULL</w:t>
        <w:br/>
        <w:t>destination_name TEXT NULL</w:t>
        <w:br/>
        <w:t>due_date TEXT NULL</w:t>
        <w:br/>
        <w:t>status TEXT NOT NULL</w:t>
        <w:br/>
        <w:t>created_by TEXT NOT NULL</w:t>
        <w:br/>
        <w:t>created_at TEXT NOT NULL</w:t>
        <w:br/>
        <w:t>printed_at TEXT NULL</w:t>
        <w:br/>
        <w:t>closed_by TEXT NULL</w:t>
        <w:br/>
        <w:t>closed_at TEXT NULL</w:t>
        <w:br/>
        <w:t>closure_reason TEXT NULL</w:t>
        <w:br/>
        <w:t>record_version INTEGER NOT NULL</w:t>
        <w:br/>
        <w:t>updated_at TEXT NOT NULL</w:t>
      </w:r>
    </w:p>
    <w:p>
      <w:pPr>
        <w:pStyle w:val="ListBullet"/>
        <w:spacing w:after="30" w:line="240" w:lineRule="auto"/>
      </w:pPr>
      <w:r>
        <w:t>status is OPEN, CONTACTED, SEEN, UNABLE_TO_CONFIRM, or CLOSED; OVERDUE remains a derived condition.</w:t>
      </w:r>
    </w:p>
    <w:p>
      <w:pPr>
        <w:pStyle w:val="ListBullet"/>
        <w:spacing w:after="30" w:line="240" w:lineRule="auto"/>
      </w:pPr>
      <w:r>
        <w:t>reason_codes_json must be valid JSON; record_version is at least 1.</w:t>
      </w:r>
    </w:p>
    <w:p>
      <w:pPr>
        <w:pStyle w:val="ListBullet"/>
        <w:spacing w:after="30" w:line="240" w:lineRule="auto"/>
      </w:pPr>
      <w:r>
        <w:t>Patient, encounter, protocol, creator, and optional closer use RESTRICT foreign keys.</w:t>
      </w:r>
    </w:p>
    <w:p>
      <w:pPr>
        <w:pStyle w:val="ListBullet"/>
        <w:spacing w:after="30" w:line="240" w:lineRule="auto"/>
      </w:pPr>
      <w:r>
        <w:t>No referral generation, transition engine, due-date rule, or print template is implemented.</w:t>
      </w:r>
    </w:p>
    <w:p>
      <w:pPr>
        <w:pStyle w:val="Heading2"/>
        <w:keepNext/>
        <w:spacing w:before="140" w:after="60"/>
      </w:pPr>
      <w:r>
        <w:t>referral_status_history</w:t>
      </w:r>
    </w:p>
    <w:p>
      <w:pPr>
        <w:spacing w:after="80" w:line="252" w:lineRule="auto"/>
      </w:pPr>
      <w:r>
        <w:rPr>
          <w:b/>
        </w:rPr>
        <w:t xml:space="preserve">Purpose: </w:t>
      </w:r>
      <w:r>
        <w:t>Append-oriented record of each referral state transition.</w:t>
      </w:r>
    </w:p>
    <w:p>
      <w:pPr>
        <w:pStyle w:val="CodeBlock"/>
        <w:keepLines/>
        <w:spacing w:before="60" w:after="100"/>
      </w:pPr>
      <w:r>
        <w:rPr>
          <w:rFonts w:ascii="Cascadia Mono" w:hAnsi="Cascadia Mono"/>
          <w:sz w:val="15"/>
        </w:rPr>
        <w:t>id TEXT PRIMARY KEY</w:t>
        <w:br/>
        <w:t>referral_id TEXT NOT NULL</w:t>
        <w:br/>
        <w:t>from_status TEXT NULL</w:t>
        <w:br/>
        <w:t>to_status TEXT NOT NULL</w:t>
        <w:br/>
        <w:t>change_reason TEXT NULL</w:t>
        <w:br/>
        <w:t>changed_by TEXT NOT NULL</w:t>
        <w:br/>
        <w:t>changed_at TEXT NOT NULL</w:t>
      </w:r>
    </w:p>
    <w:p>
      <w:pPr>
        <w:pStyle w:val="ListBullet"/>
        <w:spacing w:after="30" w:line="240" w:lineRule="auto"/>
      </w:pPr>
      <w:r>
        <w:t>referral_id and changed_by use RESTRICT foreign keys.</w:t>
      </w:r>
    </w:p>
    <w:p>
      <w:pPr>
        <w:pStyle w:val="ListBullet"/>
        <w:spacing w:after="30" w:line="240" w:lineRule="auto"/>
      </w:pPr>
      <w:r>
        <w:t>No trigger writes history automatically; later services must append it transactionally.</w:t>
      </w:r>
    </w:p>
    <w:p>
      <w:pPr>
        <w:pStyle w:val="ListBullet"/>
        <w:spacing w:after="30" w:line="240" w:lineRule="auto"/>
      </w:pPr>
      <w:r>
        <w:t>No UPDATE or DELETE repository is introduced.</w:t>
      </w:r>
    </w:p>
    <w:p>
      <w:pPr>
        <w:pStyle w:val="Heading2"/>
        <w:keepNext/>
        <w:spacing w:before="140" w:after="60"/>
      </w:pPr>
      <w:r>
        <w:t>followups</w:t>
      </w:r>
    </w:p>
    <w:p>
      <w:pPr>
        <w:spacing w:after="80" w:line="252" w:lineRule="auto"/>
      </w:pPr>
      <w:r>
        <w:rPr>
          <w:b/>
        </w:rPr>
        <w:t xml:space="preserve">Purpose: </w:t>
      </w:r>
      <w:r>
        <w:t>Contact attempts and reported outcomes linked to a referral.</w:t>
      </w:r>
    </w:p>
    <w:p>
      <w:pPr>
        <w:pStyle w:val="CodeBlock"/>
        <w:keepLines/>
        <w:spacing w:before="60" w:after="100"/>
      </w:pPr>
      <w:r>
        <w:rPr>
          <w:rFonts w:ascii="Cascadia Mono" w:hAnsi="Cascadia Mono"/>
          <w:sz w:val="15"/>
        </w:rPr>
        <w:t>id TEXT PRIMARY KEY</w:t>
        <w:br/>
        <w:t>referral_id TEXT NOT NULL</w:t>
        <w:br/>
        <w:t>contact_date TEXT NOT NULL</w:t>
        <w:br/>
        <w:t>contact_method TEXT NOT NULL</w:t>
        <w:br/>
        <w:t>information_source TEXT NOT NULL</w:t>
        <w:br/>
        <w:t>provider_seen INTEGER NULL</w:t>
        <w:br/>
        <w:t>facility_name TEXT NULL</w:t>
        <w:br/>
        <w:t>date_seen TEXT NULL</w:t>
        <w:br/>
        <w:t>reported_outcome TEXT NULL</w:t>
        <w:br/>
        <w:t>reported_medications_or_advice TEXT NULL</w:t>
        <w:br/>
        <w:t>next_action TEXT NULL</w:t>
        <w:br/>
        <w:t>next_followup_date TEXT NULL</w:t>
        <w:br/>
        <w:t>source_type TEXT NOT NULL</w:t>
        <w:br/>
        <w:t>recorded_by TEXT NOT NULL</w:t>
        <w:br/>
        <w:t>recorded_at TEXT NOT NULL</w:t>
      </w:r>
    </w:p>
    <w:p>
      <w:pPr>
        <w:pStyle w:val="ListBullet"/>
        <w:spacing w:after="30" w:line="240" w:lineRule="auto"/>
      </w:pPr>
      <w:r>
        <w:t>provider_seen is NULL for unknown or 0/1 for known false/true.</w:t>
      </w:r>
    </w:p>
    <w:p>
      <w:pPr>
        <w:pStyle w:val="ListBullet"/>
        <w:spacing w:after="30" w:line="240" w:lineRule="auto"/>
      </w:pPr>
      <w:r>
        <w:t>referral_id and recorded_by use RESTRICT foreign keys.</w:t>
      </w:r>
    </w:p>
    <w:p>
      <w:pPr>
        <w:pStyle w:val="ListBullet"/>
        <w:spacing w:after="30" w:line="240" w:lineRule="auto"/>
      </w:pPr>
      <w:r>
        <w:t>No referral status mutation, clinical interpretation, or follow-up form is included.</w:t>
      </w:r>
    </w:p>
    <w:p>
      <w:pPr>
        <w:pStyle w:val="Heading2"/>
        <w:keepNext/>
        <w:spacing w:before="140" w:after="60"/>
      </w:pPr>
      <w:r>
        <w:t>12.6 Synchronization readiness and audit structure</w:t>
      </w:r>
    </w:p>
    <w:p>
      <w:pPr>
        <w:pStyle w:val="Heading2"/>
        <w:keepNext/>
        <w:spacing w:before="140" w:after="60"/>
      </w:pPr>
      <w:r>
        <w:t>sync_outbox</w:t>
      </w:r>
    </w:p>
    <w:p>
      <w:pPr>
        <w:spacing w:after="80" w:line="252" w:lineRule="auto"/>
      </w:pPr>
      <w:r>
        <w:rPr>
          <w:b/>
        </w:rPr>
        <w:t xml:space="preserve">Purpose: </w:t>
      </w:r>
      <w:r>
        <w:t>Durable event queue reserved for future transactional synchronization.</w:t>
      </w:r>
    </w:p>
    <w:p>
      <w:pPr>
        <w:pStyle w:val="CodeBlock"/>
        <w:keepLines/>
        <w:spacing w:before="60" w:after="100"/>
      </w:pPr>
      <w:r>
        <w:rPr>
          <w:rFonts w:ascii="Cascadia Mono" w:hAnsi="Cascadia Mono"/>
          <w:sz w:val="15"/>
        </w:rPr>
        <w:t>id TEXT PRIMARY KEY</w:t>
        <w:br/>
        <w:t>aggregate_type TEXT NOT NULL</w:t>
        <w:br/>
        <w:t>aggregate_id TEXT NOT NULL</w:t>
        <w:br/>
        <w:t>operation TEXT NOT NULL</w:t>
        <w:br/>
        <w:t>payload_json TEXT NOT NULL</w:t>
        <w:br/>
        <w:t>payload_schema_version TEXT NOT NULL</w:t>
        <w:br/>
        <w:t>created_at TEXT NOT NULL</w:t>
        <w:br/>
        <w:t>status TEXT NOT NULL</w:t>
        <w:br/>
        <w:t>attempt_count INTEGER NOT NULL</w:t>
        <w:br/>
        <w:t>next_attempt_at TEXT NULL</w:t>
        <w:br/>
        <w:t>last_error_code TEXT NULL</w:t>
        <w:br/>
        <w:t>last_error_message TEXT NULL</w:t>
        <w:br/>
        <w:t>sent_at TEXT NULL</w:t>
      </w:r>
    </w:p>
    <w:p>
      <w:pPr>
        <w:pStyle w:val="ListBullet"/>
        <w:spacing w:after="30" w:line="240" w:lineRule="auto"/>
      </w:pPr>
      <w:r>
        <w:t>status is PENDING, IN_FLIGHT, SENT, or FAILED; attempt_count is non-negative.</w:t>
      </w:r>
    </w:p>
    <w:p>
      <w:pPr>
        <w:pStyle w:val="ListBullet"/>
        <w:spacing w:after="30" w:line="240" w:lineRule="auto"/>
      </w:pPr>
      <w:r>
        <w:t>payload_json must be valid JSON.</w:t>
      </w:r>
    </w:p>
    <w:p>
      <w:pPr>
        <w:pStyle w:val="ListBullet"/>
        <w:spacing w:after="30" w:line="240" w:lineRule="auto"/>
      </w:pPr>
      <w:r>
        <w:t>No outbox row, transport, retry worker, payload contract, or synchronization IPC is implemented.</w:t>
      </w:r>
    </w:p>
    <w:p>
      <w:pPr>
        <w:pStyle w:val="Heading2"/>
        <w:keepNext/>
        <w:spacing w:before="140" w:after="60"/>
      </w:pPr>
      <w:r>
        <w:t>sync_attempts</w:t>
      </w:r>
    </w:p>
    <w:p>
      <w:pPr>
        <w:spacing w:after="80" w:line="252" w:lineRule="auto"/>
      </w:pPr>
      <w:r>
        <w:rPr>
          <w:b/>
        </w:rPr>
        <w:t xml:space="preserve">Purpose: </w:t>
      </w:r>
      <w:r>
        <w:t>Sanitized batch-attempt history for the future sync agent.</w:t>
      </w:r>
    </w:p>
    <w:p>
      <w:pPr>
        <w:pStyle w:val="CodeBlock"/>
        <w:keepLines/>
        <w:spacing w:before="60" w:after="100"/>
      </w:pPr>
      <w:r>
        <w:rPr>
          <w:rFonts w:ascii="Cascadia Mono" w:hAnsi="Cascadia Mono"/>
          <w:sz w:val="15"/>
        </w:rPr>
        <w:t>id TEXT PRIMARY KEY</w:t>
        <w:br/>
        <w:t>batch_id TEXT NOT NULL</w:t>
        <w:br/>
        <w:t>started_at TEXT NOT NULL</w:t>
        <w:br/>
        <w:t>ended_at TEXT NULL</w:t>
        <w:br/>
        <w:t>status TEXT NOT NULL</w:t>
        <w:br/>
        <w:t>item_counts_json TEXT NOT NULL</w:t>
        <w:br/>
        <w:t>error_summary TEXT NULL</w:t>
      </w:r>
    </w:p>
    <w:p>
      <w:pPr>
        <w:pStyle w:val="ListBullet"/>
        <w:spacing w:after="30" w:line="240" w:lineRule="auto"/>
      </w:pPr>
      <w:r>
        <w:t>item_counts_json must be valid JSON.</w:t>
      </w:r>
    </w:p>
    <w:p>
      <w:pPr>
        <w:pStyle w:val="ListBullet"/>
        <w:spacing w:after="30" w:line="240" w:lineRule="auto"/>
      </w:pPr>
      <w:r>
        <w:t>No network endpoint, credential, transport, or batch execution is introduced.</w:t>
      </w:r>
    </w:p>
    <w:p>
      <w:pPr>
        <w:pStyle w:val="ListBullet"/>
        <w:spacing w:after="30" w:line="240" w:lineRule="auto"/>
      </w:pPr>
      <w:r>
        <w:t>error_summary is structurally present but future services must sanitize it.</w:t>
      </w:r>
    </w:p>
    <w:p>
      <w:pPr>
        <w:pStyle w:val="Heading2"/>
        <w:keepNext/>
        <w:spacing w:before="140" w:after="60"/>
      </w:pPr>
      <w:r>
        <w:t>audit_log</w:t>
      </w:r>
    </w:p>
    <w:p>
      <w:pPr>
        <w:spacing w:after="80" w:line="252" w:lineRule="auto"/>
      </w:pPr>
      <w:r>
        <w:rPr>
          <w:b/>
        </w:rPr>
        <w:t xml:space="preserve">Purpose: </w:t>
      </w:r>
      <w:r>
        <w:t>Append-oriented local audit records for system and user actions.</w:t>
      </w:r>
    </w:p>
    <w:p>
      <w:pPr>
        <w:pStyle w:val="CodeBlock"/>
        <w:keepLines/>
        <w:spacing w:before="60" w:after="100"/>
      </w:pPr>
      <w:r>
        <w:rPr>
          <w:rFonts w:ascii="Cascadia Mono" w:hAnsi="Cascadia Mono"/>
          <w:sz w:val="15"/>
        </w:rPr>
        <w:t>id TEXT PRIMARY KEY</w:t>
        <w:br/>
        <w:t>installation_id TEXT NOT NULL</w:t>
        <w:br/>
        <w:t>user_id TEXT NULL</w:t>
        <w:br/>
        <w:t>action TEXT NOT NULL</w:t>
        <w:br/>
        <w:t>entity_type TEXT NOT NULL</w:t>
        <w:br/>
        <w:t>entity_id TEXT NULL</w:t>
        <w:br/>
        <w:t>occurred_at TEXT NOT NULL</w:t>
        <w:br/>
        <w:t>metadata_json TEXT NOT NULL</w:t>
      </w:r>
    </w:p>
    <w:p>
      <w:pPr>
        <w:pStyle w:val="ListBullet"/>
        <w:spacing w:after="30" w:line="240" w:lineRule="auto"/>
      </w:pPr>
      <w:r>
        <w:t>installation_id references installation(id); user_id optionally references users(id).</w:t>
      </w:r>
    </w:p>
    <w:p>
      <w:pPr>
        <w:pStyle w:val="ListBullet"/>
        <w:spacing w:after="30" w:line="240" w:lineRule="auto"/>
      </w:pPr>
      <w:r>
        <w:t>metadata_json must be valid JSON and must not contain unnecessary clinical payload.</w:t>
      </w:r>
    </w:p>
    <w:p>
      <w:pPr>
        <w:pStyle w:val="ListBullet"/>
        <w:spacing w:after="30" w:line="240" w:lineRule="auto"/>
      </w:pPr>
      <w:r>
        <w:t>No audit service, trigger, export, or hard append-only enforcement is implemented in HSD-007.</w:t>
      </w:r>
    </w:p>
    <w:p>
      <w:pPr>
        <w:pStyle w:val="Heading1"/>
        <w:keepNext/>
        <w:spacing w:before="140" w:after="60"/>
      </w:pPr>
      <w:r>
        <w:t>13. Required Indexes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096"/>
            <w:shd w:fill="163A5F"/>
            <w:vAlign w:val="top"/>
            <w:tcMar>
              <w:top w:w="55" w:type="dxa"/>
              <w:start w:w="90" w:type="dxa"/>
              <w:bottom w:w="55" w:type="dxa"/>
              <w:end w:w="90" w:type="dxa"/>
            </w:tcMar>
          </w:tcPr>
          <w:p>
            <w:pPr>
              <w:spacing w:after="0" w:before="0" w:line="240" w:lineRule="auto"/>
            </w:pPr>
            <w:r>
              <w:rPr>
                <w:rFonts w:ascii="Aptos" w:hAnsi="Aptos"/>
                <w:b/>
                <w:color w:val="FFFFFF"/>
                <w:sz w:val="17"/>
              </w:rPr>
              <w:t>Index</w:t>
            </w:r>
          </w:p>
        </w:tc>
        <w:tc>
          <w:tcPr>
            <w:tcW w:type="dxa" w:w="3816"/>
            <w:shd w:fill="163A5F"/>
            <w:vAlign w:val="top"/>
            <w:tcMar>
              <w:top w:w="55" w:type="dxa"/>
              <w:start w:w="90" w:type="dxa"/>
              <w:bottom w:w="55" w:type="dxa"/>
              <w:end w:w="90" w:type="dxa"/>
            </w:tcMar>
          </w:tcPr>
          <w:p>
            <w:pPr>
              <w:spacing w:after="0" w:before="0" w:line="240" w:lineRule="auto"/>
            </w:pPr>
            <w:r>
              <w:rPr>
                <w:rFonts w:ascii="Aptos" w:hAnsi="Aptos"/>
                <w:b/>
                <w:color w:val="FFFFFF"/>
                <w:sz w:val="17"/>
              </w:rPr>
              <w:t>Columns / predicate</w:t>
            </w:r>
          </w:p>
        </w:tc>
        <w:tc>
          <w:tcPr>
            <w:tcW w:type="dxa" w:w="2880"/>
            <w:shd w:fill="163A5F"/>
            <w:vAlign w:val="top"/>
            <w:tcMar>
              <w:top w:w="55" w:type="dxa"/>
              <w:start w:w="90" w:type="dxa"/>
              <w:bottom w:w="55" w:type="dxa"/>
              <w:end w:w="90" w:type="dxa"/>
            </w:tcMar>
          </w:tcPr>
          <w:p>
            <w:pPr>
              <w:spacing w:after="0" w:before="0" w:line="240" w:lineRule="auto"/>
            </w:pPr>
            <w:r>
              <w:rPr>
                <w:rFonts w:ascii="Aptos" w:hAnsi="Aptos"/>
                <w:b/>
                <w:color w:val="FFFFFF"/>
                <w:sz w:val="17"/>
              </w:rPr>
              <w:t>Purpose</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ux_users_username_normalized</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users(username_normalized)</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Unique local username lookup</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ix_locations_name_normalized</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locations(name_normalized)</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Location search</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ux_protocol_versions_key_version</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protocol_versions(protocol_key, version_label)</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Immutable protocol identity</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ux_protocol_versions_one_active</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protocol_versions((1)) WHERE status = ACTIVE</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At most one active protocol</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ux_screening_sessions_location_date</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screening_sessions(location_id, session_date)</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One version-1 session per site/date</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ux_patients_patient_code</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patients(patient_code)</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Human-readable local code uniqueness</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ix_patients_name_normalized</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patients(name_normalized)</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Patient search</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ix_patients_phone_normalized</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patients(phone_normalized) WHERE phone_normalized IS NOT NULL</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Phone search</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ux_patient_identifiers_identity</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patient_identifiers(identifier_type, issuer, identifier_value)</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Identifier uniqueness</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ix_patient_identifiers_patient</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patient_identifiers(patient_id)</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Patient identifier history</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ix_consent_records_patient_time</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consent_records(patient_id, recorded_at DESC)</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Consent history</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ix_screening_encounters_patient_time</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screening_encounters(patient_id, started_at DESC)</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Longitudinal timeline</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ix_screening_encounters_session</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screening_encounters(screening_session_id)</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Session summary</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ux_bp_readings_encounter_sequence</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blood_pressure_readings(encounter_id, sequence_number)</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Stable reading order</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ix_lifestyle_logs_encounter</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lifestyle_logs(encounter_id)</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Encounter context</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ix_food_logs_encounter</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food_logs(encounter_id)</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Encounter context</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ix_otc_medication_logs_encounter</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otc_medication_logs(encounter_id)</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Encounter context</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ix_referrals_patient_time</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referrals(patient_id, created_at DESC)</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Patient referral history</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ix_referrals_status_due_date</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referrals(status, due_date)</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Open/overdue worklist</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ix_referral_status_history_time</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referral_status_history(referral_id, changed_at)</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Status timeline</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ix_followups_referral_contact_date</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followups(referral_id, contact_date DESC)</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Referral follow-up history</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ix_sync_outbox_status_next_attempt</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sync_outbox(status, next_attempt_at, created_at)</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Due queue selection</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ix_sync_attempts_started_at</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sync_attempts(started_at DESC)</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Operational history</w:t>
            </w:r>
          </w:p>
        </w:tc>
      </w:tr>
      <w:tr>
        <w:trPr>
          <w:cantSplit/>
        </w:trPr>
        <w:tc>
          <w:tcPr>
            <w:tcW w:type="dxa" w:w="3096"/>
            <w:shd w:fill="EDF4FA"/>
            <w:tcMar>
              <w:top w:w="55" w:type="dxa"/>
              <w:start w:w="90" w:type="dxa"/>
              <w:bottom w:w="55" w:type="dxa"/>
              <w:end w:w="90" w:type="dxa"/>
            </w:tcMar>
            <w:vAlign w:val="top"/>
          </w:tcPr>
          <w:p>
            <w:pPr>
              <w:spacing w:after="0" w:before="0" w:line="240" w:lineRule="auto"/>
            </w:pPr>
            <w:r>
              <w:rPr>
                <w:rFonts w:ascii="Aptos" w:hAnsi="Aptos"/>
                <w:sz w:val="16"/>
              </w:rPr>
              <w:t>ix_audit_log_occurred_at</w:t>
            </w:r>
          </w:p>
        </w:tc>
        <w:tc>
          <w:tcPr>
            <w:tcW w:type="dxa" w:w="3816"/>
            <w:shd w:fill="EDF4FA"/>
            <w:tcMar>
              <w:top w:w="55" w:type="dxa"/>
              <w:start w:w="90" w:type="dxa"/>
              <w:bottom w:w="55" w:type="dxa"/>
              <w:end w:w="90" w:type="dxa"/>
            </w:tcMar>
            <w:vAlign w:val="top"/>
          </w:tcPr>
          <w:p>
            <w:pPr>
              <w:spacing w:after="0" w:before="0" w:line="240" w:lineRule="auto"/>
            </w:pPr>
            <w:r>
              <w:rPr>
                <w:rFonts w:ascii="Aptos" w:hAnsi="Aptos"/>
                <w:sz w:val="16"/>
              </w:rPr>
              <w:t>audit_log(occurred_at DESC)</w:t>
            </w:r>
          </w:p>
        </w:tc>
        <w:tc>
          <w:tcPr>
            <w:tcW w:type="dxa" w:w="2880"/>
            <w:shd w:fill="EDF4FA"/>
            <w:tcMar>
              <w:top w:w="55" w:type="dxa"/>
              <w:start w:w="90" w:type="dxa"/>
              <w:bottom w:w="55" w:type="dxa"/>
              <w:end w:w="90" w:type="dxa"/>
            </w:tcMar>
            <w:vAlign w:val="top"/>
          </w:tcPr>
          <w:p>
            <w:pPr>
              <w:spacing w:after="0" w:before="0" w:line="240" w:lineRule="auto"/>
            </w:pPr>
            <w:r>
              <w:rPr>
                <w:rFonts w:ascii="Aptos" w:hAnsi="Aptos"/>
                <w:sz w:val="16"/>
              </w:rPr>
              <w:t>Audit review</w:t>
            </w:r>
          </w:p>
        </w:tc>
      </w:tr>
      <w:tr>
        <w:trPr>
          <w:cantSplit/>
        </w:trPr>
        <w:tc>
          <w:tcPr>
            <w:tcW w:type="dxa" w:w="3096"/>
            <w:tcMar>
              <w:top w:w="55" w:type="dxa"/>
              <w:start w:w="90" w:type="dxa"/>
              <w:bottom w:w="55" w:type="dxa"/>
              <w:end w:w="90" w:type="dxa"/>
            </w:tcMar>
            <w:vAlign w:val="top"/>
          </w:tcPr>
          <w:p>
            <w:pPr>
              <w:spacing w:after="0" w:before="0" w:line="240" w:lineRule="auto"/>
            </w:pPr>
            <w:r>
              <w:rPr>
                <w:rFonts w:ascii="Aptos" w:hAnsi="Aptos"/>
                <w:sz w:val="16"/>
              </w:rPr>
              <w:t>ix_audit_log_entity</w:t>
            </w:r>
          </w:p>
        </w:tc>
        <w:tc>
          <w:tcPr>
            <w:tcW w:type="dxa" w:w="3816"/>
            <w:tcMar>
              <w:top w:w="55" w:type="dxa"/>
              <w:start w:w="90" w:type="dxa"/>
              <w:bottom w:w="55" w:type="dxa"/>
              <w:end w:w="90" w:type="dxa"/>
            </w:tcMar>
            <w:vAlign w:val="top"/>
          </w:tcPr>
          <w:p>
            <w:pPr>
              <w:spacing w:after="0" w:before="0" w:line="240" w:lineRule="auto"/>
            </w:pPr>
            <w:r>
              <w:rPr>
                <w:rFonts w:ascii="Aptos" w:hAnsi="Aptos"/>
                <w:sz w:val="16"/>
              </w:rPr>
              <w:t>audit_log(entity_type, entity_id, occurred_at DESC)</w:t>
            </w:r>
          </w:p>
        </w:tc>
        <w:tc>
          <w:tcPr>
            <w:tcW w:type="dxa" w:w="2880"/>
            <w:tcMar>
              <w:top w:w="55" w:type="dxa"/>
              <w:start w:w="90" w:type="dxa"/>
              <w:bottom w:w="55" w:type="dxa"/>
              <w:end w:w="90" w:type="dxa"/>
            </w:tcMar>
            <w:vAlign w:val="top"/>
          </w:tcPr>
          <w:p>
            <w:pPr>
              <w:spacing w:after="0" w:before="0" w:line="240" w:lineRule="auto"/>
            </w:pPr>
            <w:r>
              <w:rPr>
                <w:rFonts w:ascii="Aptos" w:hAnsi="Aptos"/>
                <w:sz w:val="16"/>
              </w:rPr>
              <w:t>Entity audit history</w:t>
            </w:r>
          </w:p>
        </w:tc>
      </w:tr>
    </w:tbl>
    <w:p>
      <w:pPr>
        <w:spacing w:after="80" w:line="252" w:lineRule="auto"/>
      </w:pPr>
    </w:p>
    <w:p>
      <w:pPr>
        <w:pStyle w:val="ListBullet"/>
        <w:spacing w:after="30" w:line="240" w:lineRule="auto"/>
      </w:pPr>
      <w:r>
        <w:t>Primary-key and UNIQUE constraints may create autoindexes; the explicitly named indexes above must still be discoverable where named.</w:t>
      </w:r>
    </w:p>
    <w:p>
      <w:pPr>
        <w:pStyle w:val="ListBullet"/>
        <w:spacing w:after="30" w:line="240" w:lineRule="auto"/>
      </w:pPr>
      <w:r>
        <w:t>Add child foreign-key indexes where needed by the required list; do not add speculative indexes unrelated to planned access patterns.</w:t>
      </w:r>
    </w:p>
    <w:p>
      <w:pPr>
        <w:pStyle w:val="ListBullet"/>
        <w:spacing w:after="30" w:line="240" w:lineRule="auto"/>
      </w:pPr>
      <w:r>
        <w:t>Do not create FTS indexes, trigram extensions, or materialized search tables in HSD-007.</w:t>
      </w:r>
    </w:p>
    <w:p>
      <w:pPr>
        <w:pStyle w:val="Heading1"/>
        <w:keepNext/>
        <w:spacing w:before="140" w:after="60"/>
      </w:pPr>
      <w:r>
        <w:t>14. Error Handling and Safe Operational Logging</w:t>
      </w:r>
    </w:p>
    <w:p>
      <w:pPr>
        <w:spacing w:after="80" w:line="252" w:lineRule="auto"/>
      </w:pPr>
      <w:r>
        <w:t>Migration failures remain inside the trusted main process. Logs may contain fixed event names, safe phases, integer versions, stable migration names, schema version, application version, and exception type. They must not contain SQL, database paths, checksums, bound values, row contents, raw SQLite messages, stack traces, environment data, usernames, or patient information.</w:t>
      </w:r>
    </w:p>
    <w:p>
      <w:pPr>
        <w:pStyle w:val="CodeBlock"/>
        <w:keepLines/>
        <w:spacing w:before="60" w:after="100"/>
      </w:pPr>
      <w:r>
        <w:rPr>
          <w:rFonts w:ascii="Cascadia Mono" w:hAnsi="Cascadia Mono"/>
          <w:sz w:val="15"/>
        </w:rPr>
        <w:t>Database migration started; version=1; name=initial-schema</w:t>
        <w:br/>
        <w:t>Database migration applied; version=1; name=initial-schema</w:t>
        <w:br/>
        <w:t>Database migrations current; schemaVersion=1</w:t>
        <w:br/>
        <w:t>Database migration failed; version=1; name=initial-schema; phase=execute; errorType=SqliteError</w:t>
        <w:br/>
        <w:t>Database migration rollback failed; version=1; name=initial-schema; phase=rollback; errorType=SqliteError</w:t>
      </w:r>
    </w:p>
    <w:p>
      <w:pPr>
        <w:pStyle w:val="ListBullet"/>
        <w:spacing w:after="30" w:line="240" w:lineRule="auto"/>
      </w:pPr>
      <w:r>
        <w:t>A thrown migration error containing a secret path or SQL statement must not appear in logger output.</w:t>
      </w:r>
    </w:p>
    <w:p>
      <w:pPr>
        <w:pStyle w:val="ListBullet"/>
        <w:spacing w:after="30" w:line="240" w:lineRule="auto"/>
      </w:pPr>
      <w:r>
        <w:t>Checksum mismatch errors may identify version and migration name, but not either checksum value.</w:t>
      </w:r>
    </w:p>
    <w:p>
      <w:pPr>
        <w:pStyle w:val="ListBullet"/>
        <w:spacing w:after="30" w:line="240" w:lineRule="auto"/>
      </w:pPr>
      <w:r>
        <w:t>Newer-schema refusal may identify currentVersion and supportedVersion because they are non-sensitive integers.</w:t>
      </w:r>
    </w:p>
    <w:p>
      <w:pPr>
        <w:pStyle w:val="ListBullet"/>
        <w:spacing w:after="30" w:line="240" w:lineRule="auto"/>
      </w:pPr>
      <w:r>
        <w:t>Renderer-visible app.getHealth behavior remains Database: Unavailable only when startup can reach a safe UI; normal fatal startup must quit before the renderer is created.</w:t>
      </w:r>
    </w:p>
    <w:p>
      <w:pPr>
        <w:pStyle w:val="ListBullet"/>
        <w:spacing w:after="30" w:line="240" w:lineRule="auto"/>
      </w:pPr>
      <w:r>
        <w:t>Do not swallow errors with an empty catch block.</w:t>
      </w:r>
    </w:p>
    <w:p>
      <w:pPr>
        <w:pStyle w:val="Heading1"/>
        <w:keepNext/>
        <w:spacing w:before="140" w:after="60"/>
      </w:pPr>
      <w:r>
        <w:t>15. Automated Test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304"/>
            <w:shd w:fill="163A5F"/>
            <w:vAlign w:val="top"/>
            <w:tcMar>
              <w:top w:w="55" w:type="dxa"/>
              <w:start w:w="90" w:type="dxa"/>
              <w:bottom w:w="55" w:type="dxa"/>
              <w:end w:w="90" w:type="dxa"/>
            </w:tcMar>
          </w:tcPr>
          <w:p>
            <w:pPr>
              <w:spacing w:after="0" w:before="0" w:line="240" w:lineRule="auto"/>
            </w:pPr>
            <w:r>
              <w:rPr>
                <w:rFonts w:ascii="Aptos" w:hAnsi="Aptos"/>
                <w:b/>
                <w:color w:val="FFFFFF"/>
                <w:sz w:val="17"/>
              </w:rPr>
              <w:t>Test group</w:t>
            </w:r>
          </w:p>
        </w:tc>
        <w:tc>
          <w:tcPr>
            <w:tcW w:type="dxa" w:w="7488"/>
            <w:shd w:fill="163A5F"/>
            <w:vAlign w:val="top"/>
            <w:tcMar>
              <w:top w:w="55" w:type="dxa"/>
              <w:start w:w="90" w:type="dxa"/>
              <w:bottom w:w="55" w:type="dxa"/>
              <w:end w:w="90" w:type="dxa"/>
            </w:tcMar>
          </w:tcPr>
          <w:p>
            <w:pPr>
              <w:spacing w:after="0" w:before="0" w:line="240" w:lineRule="auto"/>
            </w:pPr>
            <w:r>
              <w:rPr>
                <w:rFonts w:ascii="Aptos" w:hAnsi="Aptos"/>
                <w:b/>
                <w:color w:val="FFFFFF"/>
                <w:sz w:val="17"/>
              </w:rPr>
              <w:t>Minimum required cases</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Manifest validation</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Accept exact [1]; reject empty, zero/negative, non-integer, duplicate, out-of-order, gap, duplicate name, invalid name, and empty SQL.</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Checksum canonicalization</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Same SQL with LF, CRLF, CR, or one BOM produces the same SHA-256; meaningful whitespace or SQL changes produce a different checksum.</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Fresh migration</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Temporary file-backed HSD-006-style database at user_version=0 upgrades to 1, creates ledger plus every schema table/index, and records exactly one migration row.</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Existing empty HSD-006 database</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A pre-created file using HSD-006 pragmas and no tables upgrades without replacement or path change.</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Idempotent restart</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Second run applies nothing, writes no second ledger row, preserves checksum/name, and remains at user_version=1.</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Sequential engine</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An injected two-migration test manifest proves ordered upgrade and one transaction per migration without adding a second production migration.</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Atomic rollback</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A failing test migration that creates a table and then errors leaves no created table, no ledger row, and unchanged user_version.</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Rollback failure</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Injected rollback failure is safely logged and the controlled migration error remains authoritative.</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Checksum mismatch</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After applying version 1, altered SQL under version 1 is refused before any pending migration and no raw checksum/SQL is logged.</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Name mismatch</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Renamed applied migration is refused.</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Newer database</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user_version=2 with production manifest max=1 is refused without write, downgrade, reset, or deletion.</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Metadata inconsistency</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Missing ledger, extra row, missing row, version-0 ledger, and user_version/ledger disagreement are refused.</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Schema exactness</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sqlite_master and PRAGMA table_list show the required tables only; every application table is STRICT; every non-ledger table has zero rows.</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Foreign keys</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Invalid child insert fails; deleting a referenced parent fails; foreign_keys remains 1 after migration.</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Checks and JSON</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Invalid role/status/boolean/negative counter/invalid JSON examples fail while structurally valid examples succeed inside rolled-back test transactions.</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Indexes</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Every required named index or equivalent declared uniqueness is present and duplicate patient code, username, identifier, session/date, and reading sequence are rejected.</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Runtime integration</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DatabaseRuntime reports ready only after migration success and closes/returns unavailable when migration fails.</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Safe logging</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Errors containing a secret Windows path, SQL fragment, or patient-like value are absent from all captured logs.</w:t>
            </w:r>
          </w:p>
        </w:tc>
      </w:tr>
      <w:tr>
        <w:trPr>
          <w:cantSplit/>
        </w:trPr>
        <w:tc>
          <w:tcPr>
            <w:tcW w:type="dxa" w:w="2304"/>
            <w:tcMar>
              <w:top w:w="55" w:type="dxa"/>
              <w:start w:w="90" w:type="dxa"/>
              <w:bottom w:w="55" w:type="dxa"/>
              <w:end w:w="90" w:type="dxa"/>
            </w:tcMar>
            <w:vAlign w:val="top"/>
          </w:tcPr>
          <w:p>
            <w:pPr>
              <w:spacing w:after="0" w:before="0" w:line="240" w:lineRule="auto"/>
            </w:pPr>
            <w:r>
              <w:rPr>
                <w:rFonts w:ascii="Aptos" w:hAnsi="Aptos"/>
                <w:sz w:val="16"/>
              </w:rPr>
              <w:t>Contract regression</w:t>
            </w:r>
          </w:p>
        </w:tc>
        <w:tc>
          <w:tcPr>
            <w:tcW w:type="dxa" w:w="7488"/>
            <w:tcMar>
              <w:top w:w="55" w:type="dxa"/>
              <w:start w:w="90" w:type="dxa"/>
              <w:bottom w:w="55" w:type="dxa"/>
              <w:end w:w="90" w:type="dxa"/>
            </w:tcMar>
            <w:vAlign w:val="top"/>
          </w:tcPr>
          <w:p>
            <w:pPr>
              <w:spacing w:after="0" w:before="0" w:line="240" w:lineRule="auto"/>
            </w:pPr>
            <w:r>
              <w:rPr>
                <w:rFonts w:ascii="Aptos" w:hAnsi="Aptos"/>
                <w:sz w:val="16"/>
              </w:rPr>
              <w:t>Existing app.getInfo/app.getHealth schemas, preload behavior, sender authorization, CSP, session security, and renderer status tests continue passing.</w:t>
            </w:r>
          </w:p>
        </w:tc>
      </w:tr>
      <w:tr>
        <w:trPr>
          <w:cantSplit/>
        </w:trPr>
        <w:tc>
          <w:tcPr>
            <w:tcW w:type="dxa" w:w="2304"/>
            <w:shd w:fill="EDF4FA"/>
            <w:tcMar>
              <w:top w:w="55" w:type="dxa"/>
              <w:start w:w="90" w:type="dxa"/>
              <w:bottom w:w="55" w:type="dxa"/>
              <w:end w:w="90" w:type="dxa"/>
            </w:tcMar>
            <w:vAlign w:val="top"/>
          </w:tcPr>
          <w:p>
            <w:pPr>
              <w:spacing w:after="0" w:before="0" w:line="240" w:lineRule="auto"/>
            </w:pPr>
            <w:r>
              <w:rPr>
                <w:rFonts w:ascii="Aptos" w:hAnsi="Aptos"/>
                <w:sz w:val="16"/>
              </w:rPr>
              <w:t>Repository hygiene</w:t>
            </w:r>
          </w:p>
        </w:tc>
        <w:tc>
          <w:tcPr>
            <w:tcW w:type="dxa" w:w="7488"/>
            <w:shd w:fill="EDF4FA"/>
            <w:tcMar>
              <w:top w:w="55" w:type="dxa"/>
              <w:start w:w="90" w:type="dxa"/>
              <w:bottom w:w="55" w:type="dxa"/>
              <w:end w:w="90" w:type="dxa"/>
            </w:tcMar>
            <w:vAlign w:val="top"/>
          </w:tcPr>
          <w:p>
            <w:pPr>
              <w:spacing w:after="0" w:before="0" w:line="240" w:lineRule="auto"/>
            </w:pPr>
            <w:r>
              <w:rPr>
                <w:rFonts w:ascii="Aptos" w:hAnsi="Aptos"/>
                <w:sz w:val="16"/>
              </w:rPr>
              <w:t>No *.sqlite, *.sqlite3, *-wal, *-shm, generated database snapshot, or migration output is committed.</w:t>
            </w:r>
          </w:p>
        </w:tc>
      </w:tr>
    </w:tbl>
    <w:p>
      <w:pPr>
        <w:spacing w:after="80" w:line="252" w:lineRule="auto"/>
      </w:pPr>
    </w:p>
    <w:p>
      <w:pPr>
        <w:pStyle w:val="Heading1"/>
        <w:keepNext/>
        <w:spacing w:before="140" w:after="60"/>
      </w:pPr>
      <w:r>
        <w:t>16. Manual and Packaging Verification</w:t>
      </w:r>
    </w:p>
    <w:p>
      <w:pPr>
        <w:spacing w:after="80" w:line="252" w:lineRule="auto"/>
      </w:pPr>
      <w:r>
        <w:t>A JavaScript build and Node integration test are necessary but not sufficient. The migration source must also be available to the Electron main bundle in development, preview, and unpacked Windows execution.</w:t>
      </w:r>
    </w:p>
    <w:p>
      <w:pPr>
        <w:pStyle w:val="CodeBlock"/>
        <w:keepLines/>
        <w:spacing w:before="60" w:after="100"/>
      </w:pPr>
      <w:r>
        <w:rPr>
          <w:rFonts w:ascii="Cascadia Mono" w:hAnsi="Cascadia Mono"/>
          <w:sz w:val="15"/>
        </w:rPr>
        <w:t>pnpm install</w:t>
        <w:br/>
        <w:t>pnpm format:check</w:t>
        <w:br/>
        <w:t>pnpm lint</w:t>
        <w:br/>
        <w:t>pnpm typecheck</w:t>
        <w:br/>
        <w:t>pnpm test</w:t>
        <w:br/>
        <w:t>pnpm verify</w:t>
        <w:br/>
        <w:t>pnpm build</w:t>
      </w:r>
    </w:p>
    <w:p>
      <w:pPr>
        <w:spacing w:after="80" w:line="252" w:lineRule="auto"/>
      </w:pPr>
      <w:r>
        <w:t>Development runtime:</w:t>
      </w:r>
    </w:p>
    <w:p>
      <w:pPr>
        <w:pStyle w:val="CodeBlock"/>
        <w:keepLines/>
        <w:spacing w:before="60" w:after="100"/>
      </w:pPr>
      <w:r>
        <w:rPr>
          <w:rFonts w:ascii="Cascadia Mono" w:hAnsi="Cascadia Mono"/>
          <w:sz w:val="15"/>
        </w:rPr>
        <w:t>pnpm dev</w:t>
      </w:r>
    </w:p>
    <w:p>
      <w:pPr>
        <w:pStyle w:val="ListBullet"/>
        <w:spacing w:after="30" w:line="240" w:lineRule="auto"/>
      </w:pPr>
      <w:r>
        <w:t>The application starts without migration or native-module errors.</w:t>
      </w:r>
    </w:p>
    <w:p>
      <w:pPr>
        <w:pStyle w:val="ListBullet"/>
        <w:spacing w:after="30" w:line="240" w:lineRule="auto"/>
      </w:pPr>
      <w:r>
        <w:t>The foundation window shows Database: Ready and Desktop IPC: Available.</w:t>
      </w:r>
    </w:p>
    <w:p>
      <w:pPr>
        <w:pStyle w:val="ListBullet"/>
        <w:spacing w:after="30" w:line="240" w:lineRule="auto"/>
      </w:pPr>
      <w:r>
        <w:t>On the first HSD-007 launch of an existing HSD-006 database, migration 1 is applied once.</w:t>
      </w:r>
    </w:p>
    <w:p>
      <w:pPr>
        <w:pStyle w:val="ListBullet"/>
        <w:spacing w:after="30" w:line="240" w:lineRule="auto"/>
      </w:pPr>
      <w:r>
        <w:t>After closing and starting again, the migration runner reports current schema and does not reapply version 1.</w:t>
      </w:r>
    </w:p>
    <w:p>
      <w:pPr>
        <w:spacing w:after="80" w:line="252" w:lineRule="auto"/>
      </w:pPr>
      <w:r>
        <w:t>Production preview:</w:t>
      </w:r>
    </w:p>
    <w:p>
      <w:pPr>
        <w:pStyle w:val="CodeBlock"/>
        <w:keepLines/>
        <w:spacing w:before="60" w:after="100"/>
      </w:pPr>
      <w:r>
        <w:rPr>
          <w:rFonts w:ascii="Cascadia Mono" w:hAnsi="Cascadia Mono"/>
          <w:sz w:val="15"/>
        </w:rPr>
        <w:t>pnpm start</w:t>
      </w:r>
    </w:p>
    <w:p>
      <w:pPr>
        <w:pStyle w:val="ListBullet"/>
        <w:spacing w:after="30" w:line="240" w:lineRule="auto"/>
      </w:pPr>
      <w:r>
        <w:t>Database remains Ready. Preview may still display development runtime because it is not packaged.</w:t>
      </w:r>
    </w:p>
    <w:p>
      <w:pPr>
        <w:spacing w:after="80" w:line="252" w:lineRule="auto"/>
      </w:pPr>
      <w:r>
        <w:t>Unpacked Windows package:</w:t>
      </w:r>
    </w:p>
    <w:p>
      <w:pPr>
        <w:pStyle w:val="CodeBlock"/>
        <w:keepLines/>
        <w:spacing w:before="60" w:after="100"/>
      </w:pPr>
      <w:r>
        <w:rPr>
          <w:rFonts w:ascii="Cascadia Mono" w:hAnsi="Cascadia Mono"/>
          <w:sz w:val="15"/>
        </w:rPr>
        <w:t>pnpm build:unpack</w:t>
        <w:br/>
        <w:t>./dist/win-unpacked/health-screening-desktop.exe</w:t>
      </w:r>
    </w:p>
    <w:p>
      <w:pPr>
        <w:pStyle w:val="ListBullet"/>
        <w:spacing w:after="30" w:line="240" w:lineRule="auto"/>
      </w:pPr>
      <w:r>
        <w:t>The application displays packaged preview, Database: Ready, and Desktop IPC: Available.</w:t>
      </w:r>
    </w:p>
    <w:p>
      <w:pPr>
        <w:pStyle w:val="ListBullet"/>
        <w:spacing w:after="30" w:line="240" w:lineRule="auto"/>
      </w:pPr>
      <w:r>
        <w:t>No external migration directory or repository-relative SQL file is required beside the executable.</w:t>
      </w:r>
    </w:p>
    <w:p>
      <w:pPr>
        <w:pStyle w:val="ListBullet"/>
        <w:spacing w:after="30" w:line="240" w:lineRule="auto"/>
      </w:pPr>
      <w:r>
        <w:t>Close and reopen the unpacked application to prove idempotent migration history.</w:t>
      </w:r>
    </w:p>
    <w:tbl>
      <w:tblPr>
        <w:tblStyle w:val="TableGrid"/>
        <w:tblW w:type="auto" w:w="0"/>
        <w:jc w:val="center"/>
        <w:tblLook w:firstColumn="1" w:firstRow="1" w:lastColumn="0" w:lastRow="0" w:noHBand="0" w:noVBand="1" w:val="04A0"/>
      </w:tblPr>
      <w:tblGrid>
        <w:gridCol w:w="10080"/>
      </w:tblGrid>
      <w:tr>
        <w:tc>
          <w:tcPr>
            <w:tcW w:type="dxa" w:w="10080"/>
            <w:shd w:fill="FCE4D6"/>
            <w:tcMar>
              <w:top w:w="100" w:type="dxa"/>
              <w:start w:w="130" w:type="dxa"/>
              <w:bottom w:w="100" w:type="dxa"/>
              <w:end w:w="130" w:type="dxa"/>
            </w:tcMar>
          </w:tcPr>
          <w:p>
            <w:pPr>
              <w:spacing w:after="0"/>
            </w:pPr>
            <w:r>
              <w:rPr>
                <w:b/>
                <w:color w:val="163A5F"/>
              </w:rPr>
              <w:t xml:space="preserve">Data safety: </w:t>
            </w:r>
            <w:r>
              <w:rPr>
                <w:sz w:val="18"/>
              </w:rPr>
              <w:t>Do not delete the real userData database merely to demonstrate a fresh migration. Fresh and corrupted-state scenarios belong in temporary integration-test directories.</w:t>
            </w:r>
          </w:p>
        </w:tc>
      </w:tr>
    </w:tbl>
    <w:p>
      <w:pPr>
        <w:spacing w:after="80" w:line="252" w:lineRule="auto"/>
      </w:pPr>
    </w:p>
    <w:p>
      <w:pPr>
        <w:pStyle w:val="Heading1"/>
        <w:keepNext/>
        <w:spacing w:before="140" w:after="60"/>
      </w:pPr>
      <w:r>
        <w:t>17. Documentation Requirements</w:t>
      </w:r>
    </w:p>
    <w:p>
      <w:pPr>
        <w:pStyle w:val="ListBullet"/>
        <w:spacing w:after="30" w:line="240" w:lineRule="auto"/>
      </w:pPr>
      <w:r>
        <w:t>ADR-004 must explain why explicit numbered SQL migrations were selected instead of an ORM-managed schema, automatic synchronization, or destructive startup recreation.</w:t>
      </w:r>
    </w:p>
    <w:p>
      <w:pPr>
        <w:pStyle w:val="ListBullet"/>
        <w:spacing w:after="30" w:line="240" w:lineRule="auto"/>
      </w:pPr>
      <w:r>
        <w:t>docs/database/migrations.md must document manifest rules, canonical checksum rules, the ledger/user_version relationship, transaction sequence, failure behavior, immutability, and how a future developer adds 0002.</w:t>
      </w:r>
    </w:p>
    <w:p>
      <w:pPr>
        <w:pStyle w:val="ListBullet"/>
        <w:spacing w:after="30" w:line="240" w:lineRule="auto"/>
      </w:pPr>
      <w:r>
        <w:t>docs/database/schema-v1.md must list all tables, relationships, key constraints, indexes, timestamp/boolean/JSON conventions, and intentionally deferred repository or clinical enforcement.</w:t>
      </w:r>
    </w:p>
    <w:p>
      <w:pPr>
        <w:pStyle w:val="ListBullet"/>
        <w:spacing w:after="30" w:line="240" w:lineRule="auto"/>
      </w:pPr>
      <w:r>
        <w:t>docs/database/sqlite-runtime.md must describe that the HSD-006 runtime now becomes ready only after HSD-007 migrations complete.</w:t>
      </w:r>
    </w:p>
    <w:p>
      <w:pPr>
        <w:pStyle w:val="ListBullet"/>
        <w:spacing w:after="30" w:line="240" w:lineRule="auto"/>
      </w:pPr>
      <w:r>
        <w:t>Engineering standards must state that historical migration files are immutable and no application startup may silently reset or downgrade a database.</w:t>
      </w:r>
    </w:p>
    <w:p>
      <w:pPr>
        <w:pStyle w:val="ListBullet"/>
        <w:spacing w:after="30" w:line="240" w:lineRule="auto"/>
      </w:pPr>
      <w:r>
        <w:t>Repository structure documentation must show the migration manifest, runner, and sql/ directory.</w:t>
      </w:r>
    </w:p>
    <w:p>
      <w:pPr>
        <w:pStyle w:val="ListBullet"/>
        <w:spacing w:after="30" w:line="240" w:lineRule="auto"/>
      </w:pPr>
      <w:r>
        <w:t>Documentation must not claim that authentication, first-run setup, patient registration, screening, referral, outbox processing, audit writing, or backup/restore is implemented.</w:t>
      </w:r>
    </w:p>
    <w:p>
      <w:pPr>
        <w:pStyle w:val="Heading1"/>
        <w:keepNext/>
        <w:spacing w:before="140" w:after="60"/>
      </w:pPr>
      <w:r>
        <w:t>18. Prohibited Changes</w:t>
      </w:r>
    </w:p>
    <w:p>
      <w:pPr>
        <w:pStyle w:val="ListBullet"/>
        <w:spacing w:after="30" w:line="240" w:lineRule="auto"/>
      </w:pPr>
      <w:r>
        <w:t>Do not add or upgrade dependencies.</w:t>
      </w:r>
    </w:p>
    <w:p>
      <w:pPr>
        <w:pStyle w:val="ListBullet"/>
        <w:spacing w:after="30" w:line="240" w:lineRule="auto"/>
      </w:pPr>
      <w:r>
        <w:t>Do not add an ORM, query builder, migration CLI, schema generator, or code-first database tool.</w:t>
      </w:r>
    </w:p>
    <w:p>
      <w:pPr>
        <w:pStyle w:val="ListBullet"/>
        <w:spacing w:after="30" w:line="240" w:lineRule="auto"/>
      </w:pPr>
      <w:r>
        <w:t>Do not use runtime filesystem discovery or read SQL from process.cwd(), __dirname, resourcesPath, Downloads, or the installation directory.</w:t>
      </w:r>
    </w:p>
    <w:p>
      <w:pPr>
        <w:pStyle w:val="ListBullet"/>
        <w:spacing w:after="30" w:line="240" w:lineRule="auto"/>
      </w:pPr>
      <w:r>
        <w:t>Do not create a second production migration, seed script, fixture database, or committed schema snapshot.</w:t>
      </w:r>
    </w:p>
    <w:p>
      <w:pPr>
        <w:pStyle w:val="ListBullet"/>
        <w:spacing w:after="30" w:line="240" w:lineRule="auto"/>
      </w:pPr>
      <w:r>
        <w:t>Do not insert installation, user, location, protocol, patient, encounter, reading, referral, audit, setting, or outbox records.</w:t>
      </w:r>
    </w:p>
    <w:p>
      <w:pPr>
        <w:pStyle w:val="ListBullet"/>
        <w:spacing w:after="30" w:line="240" w:lineRule="auto"/>
      </w:pPr>
      <w:r>
        <w:t>Do not add repositories, services, generic SQL execution, query consoles, or transaction APIs for renderer use.</w:t>
      </w:r>
    </w:p>
    <w:p>
      <w:pPr>
        <w:pStyle w:val="ListBullet"/>
        <w:spacing w:after="30" w:line="240" w:lineRule="auto"/>
      </w:pPr>
      <w:r>
        <w:t>Do not add authentication, password hashing, sessions, roles, permissions, first-run setup, or route protection.</w:t>
      </w:r>
    </w:p>
    <w:p>
      <w:pPr>
        <w:pStyle w:val="ListBullet"/>
        <w:spacing w:after="30" w:line="240" w:lineRule="auto"/>
      </w:pPr>
      <w:r>
        <w:t>Do not add patient search/registration, clinical forms, protocol thresholds, diagnosis logic, referrals, follow-up, reports, or printing.</w:t>
      </w:r>
    </w:p>
    <w:p>
      <w:pPr>
        <w:pStyle w:val="ListBullet"/>
        <w:spacing w:after="30" w:line="240" w:lineRule="auto"/>
      </w:pPr>
      <w:r>
        <w:t>Do not add central API, sync transport, background worker, PostgreSQL, FHIR, hospital onboarding, doctor portal, documents, or AI.</w:t>
      </w:r>
    </w:p>
    <w:p>
      <w:pPr>
        <w:pStyle w:val="ListBullet"/>
        <w:spacing w:after="30" w:line="240" w:lineRule="auto"/>
      </w:pPr>
      <w:r>
        <w:t>Do not expose schema version, table names, SQL, migration names, checksums, database path, or connection objects through preload or renderer IPC.</w:t>
      </w:r>
    </w:p>
    <w:p>
      <w:pPr>
        <w:pStyle w:val="ListBullet"/>
        <w:spacing w:after="30" w:line="240" w:lineRule="auto"/>
      </w:pPr>
      <w:r>
        <w:t>Do not disable foreign keys, trusted-schema hardening, WAL, CSP, sandboxing, sender validation, or single-instance behavior.</w:t>
      </w:r>
    </w:p>
    <w:p>
      <w:pPr>
        <w:pStyle w:val="ListBullet"/>
        <w:spacing w:after="30" w:line="240" w:lineRule="auto"/>
      </w:pPr>
      <w:r>
        <w:t>Do not auto-repair, reset, copy, replace, or delete an incompatible production database.</w:t>
      </w:r>
    </w:p>
    <w:p>
      <w:pPr>
        <w:pStyle w:val="ListBullet"/>
        <w:spacing w:after="30" w:line="240" w:lineRule="auto"/>
      </w:pPr>
      <w:r>
        <w:t>Do not force-push or rewrite prior HSD commits.</w:t>
      </w:r>
    </w:p>
    <w:p>
      <w:pPr>
        <w:pStyle w:val="Heading1"/>
        <w:keepNext/>
        <w:spacing w:before="140" w:after="60"/>
      </w:pPr>
      <w:r>
        <w:t>19. Acceptance Checklist</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376"/>
            <w:shd w:fill="163A5F"/>
            <w:vAlign w:val="top"/>
            <w:tcMar>
              <w:top w:w="55" w:type="dxa"/>
              <w:start w:w="90" w:type="dxa"/>
              <w:bottom w:w="55" w:type="dxa"/>
              <w:end w:w="90" w:type="dxa"/>
            </w:tcMar>
          </w:tcPr>
          <w:p>
            <w:pPr>
              <w:spacing w:after="0" w:before="0" w:line="240" w:lineRule="auto"/>
            </w:pPr>
            <w:r>
              <w:rPr>
                <w:rFonts w:ascii="Aptos" w:hAnsi="Aptos"/>
                <w:b/>
                <w:color w:val="FFFFFF"/>
                <w:sz w:val="17"/>
              </w:rPr>
              <w:t>Reviewer check</w:t>
            </w:r>
          </w:p>
        </w:tc>
        <w:tc>
          <w:tcPr>
            <w:tcW w:type="dxa" w:w="7416"/>
            <w:shd w:fill="163A5F"/>
            <w:vAlign w:val="top"/>
            <w:tcMar>
              <w:top w:w="55" w:type="dxa"/>
              <w:start w:w="90" w:type="dxa"/>
              <w:bottom w:w="55" w:type="dxa"/>
              <w:end w:w="90" w:type="dxa"/>
            </w:tcMar>
          </w:tcPr>
          <w:p>
            <w:pPr>
              <w:spacing w:after="0" w:before="0" w:line="240" w:lineRule="auto"/>
            </w:pPr>
            <w:r>
              <w:rPr>
                <w:rFonts w:ascii="Aptos" w:hAnsi="Aptos"/>
                <w:b/>
                <w:color w:val="FFFFFF"/>
                <w:sz w:val="17"/>
              </w:rPr>
              <w:t>Pass condition</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Branch ancestry</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Based exactly on the merged HSD-006 main baseline.</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Dependencies</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package.json and lockfile unchanged; no ORM or migration package.</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Catalog</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Explicit immutable manifest contains only version 1 / initial-schema.</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SQL packaging</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0001 SQL is imported as raw main-bundle content; no runtime file discovery.</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Line endings</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*.sql is LF-controlled and checksum canonicalization handles CRLF/CR/BOM.</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Manifest validation</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Positive, contiguous, ordered, unique versions and stable names enforced.</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Ledger</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schema_migrations is STRICT, runner-owned, and records version/name/checksum/time/app version.</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Atomicity</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SQL, ledger insert, and user_version update commit or roll back together.</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Compatibility</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Fresh, current, prior, mismatch, inconsistent, and newer-schema states behave as required.</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Schema</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All required version-1 tables exist, are STRICT, and contain no seed data.</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Relationships</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Foreign keys use RESTRICT; invalid children and parent deletion are blocked.</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Constraints</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Required roles, statuses, booleans, counters, JSON, uniqueness, and positive sequences are enforced.</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Indexes</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Required named indexes and access patterns exist.</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Runtime</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Database becomes ready only after migrations and stays unavailable on migration failure.</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IPC boundary</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No new channel; no raw SQL/path/schema/checksum crosses main-process boundary.</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Logging</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Safe events only; no SQL, path, checksum, payload, raw message, or PHI.</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Tests</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All required unit/integration/regression tests pass with real temporary SQLite files.</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Build</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format, lint, typecheck, tests, verify, and production build pass.</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Development smoke</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Database Ready and IPC Available; first run applies once; restart is idempotent.</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Preview smoke</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Database Ready and IPC Available.</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Unpacked Windows smoke</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Packaged preview, Database Ready, IPC Available, and restart succeeds.</w:t>
            </w:r>
          </w:p>
        </w:tc>
      </w:tr>
      <w:tr>
        <w:trPr>
          <w:cantSplit/>
        </w:trPr>
        <w:tc>
          <w:tcPr>
            <w:tcW w:type="dxa" w:w="2376"/>
            <w:shd w:fill="EDF4FA"/>
            <w:tcMar>
              <w:top w:w="55" w:type="dxa"/>
              <w:start w:w="90" w:type="dxa"/>
              <w:bottom w:w="55" w:type="dxa"/>
              <w:end w:w="90" w:type="dxa"/>
            </w:tcMar>
            <w:vAlign w:val="top"/>
          </w:tcPr>
          <w:p>
            <w:pPr>
              <w:spacing w:after="0" w:before="0" w:line="240" w:lineRule="auto"/>
            </w:pPr>
            <w:r>
              <w:rPr>
                <w:rFonts w:ascii="Aptos" w:hAnsi="Aptos"/>
                <w:sz w:val="16"/>
              </w:rPr>
              <w:t>Hygiene</w:t>
            </w:r>
          </w:p>
        </w:tc>
        <w:tc>
          <w:tcPr>
            <w:tcW w:type="dxa" w:w="7416"/>
            <w:shd w:fill="EDF4FA"/>
            <w:tcMar>
              <w:top w:w="55" w:type="dxa"/>
              <w:start w:w="90" w:type="dxa"/>
              <w:bottom w:w="55" w:type="dxa"/>
              <w:end w:w="90" w:type="dxa"/>
            </w:tcMar>
            <w:vAlign w:val="top"/>
          </w:tcPr>
          <w:p>
            <w:pPr>
              <w:spacing w:after="0" w:before="0" w:line="240" w:lineRule="auto"/>
            </w:pPr>
            <w:r>
              <w:rPr>
                <w:rFonts w:ascii="Aptos" w:hAnsi="Aptos"/>
                <w:sz w:val="16"/>
              </w:rPr>
              <w:t>Working tree clean and no database/WAL/SHM artifacts tracked.</w:t>
            </w:r>
          </w:p>
        </w:tc>
      </w:tr>
      <w:tr>
        <w:trPr>
          <w:cantSplit/>
        </w:trPr>
        <w:tc>
          <w:tcPr>
            <w:tcW w:type="dxa" w:w="2376"/>
            <w:tcMar>
              <w:top w:w="55" w:type="dxa"/>
              <w:start w:w="90" w:type="dxa"/>
              <w:bottom w:w="55" w:type="dxa"/>
              <w:end w:w="90" w:type="dxa"/>
            </w:tcMar>
            <w:vAlign w:val="top"/>
          </w:tcPr>
          <w:p>
            <w:pPr>
              <w:spacing w:after="0" w:before="0" w:line="240" w:lineRule="auto"/>
            </w:pPr>
            <w:r>
              <w:rPr>
                <w:rFonts w:ascii="Aptos" w:hAnsi="Aptos"/>
                <w:sz w:val="16"/>
              </w:rPr>
              <w:t>Scope</w:t>
            </w:r>
          </w:p>
        </w:tc>
        <w:tc>
          <w:tcPr>
            <w:tcW w:type="dxa" w:w="7416"/>
            <w:tcMar>
              <w:top w:w="55" w:type="dxa"/>
              <w:start w:w="90" w:type="dxa"/>
              <w:bottom w:w="55" w:type="dxa"/>
              <w:end w:w="90" w:type="dxa"/>
            </w:tcMar>
            <w:vAlign w:val="top"/>
          </w:tcPr>
          <w:p>
            <w:pPr>
              <w:spacing w:after="0" w:before="0" w:line="240" w:lineRule="auto"/>
            </w:pPr>
            <w:r>
              <w:rPr>
                <w:rFonts w:ascii="Aptos" w:hAnsi="Aptos"/>
                <w:sz w:val="16"/>
              </w:rPr>
              <w:t>No repository, auth, clinical workflow, sync transport, backup, FHIR, portal, or AI implementation.</w:t>
            </w:r>
          </w:p>
        </w:tc>
      </w:tr>
    </w:tbl>
    <w:p>
      <w:pPr>
        <w:spacing w:after="80" w:line="252" w:lineRule="auto"/>
      </w:pPr>
    </w:p>
    <w:p>
      <w:pPr>
        <w:pStyle w:val="Heading1"/>
        <w:keepNext/>
        <w:spacing w:before="140" w:after="60"/>
      </w:pPr>
      <w:r>
        <w:t>20. Codex Completion Report</w:t>
      </w:r>
    </w:p>
    <w:p>
      <w:pPr>
        <w:spacing w:after="80" w:line="252" w:lineRule="auto"/>
      </w:pPr>
      <w:r>
        <w:t>At the end of implementation, Codex must report the following without claiming unverified success:</w:t>
      </w:r>
    </w:p>
    <w:p>
      <w:pPr>
        <w:pStyle w:val="ListBullet"/>
        <w:spacing w:after="30" w:line="240" w:lineRule="auto"/>
      </w:pPr>
      <w:r>
        <w:t>Branch name and exact commit SHA.</w:t>
      </w:r>
    </w:p>
    <w:p>
      <w:pPr>
        <w:pStyle w:val="ListBullet"/>
        <w:spacing w:after="30" w:line="240" w:lineRule="auto"/>
      </w:pPr>
      <w:r>
        <w:t>Files created and modified, grouped by migration engine, schema, runtime integration, tests, and documentation.</w:t>
      </w:r>
    </w:p>
    <w:p>
      <w:pPr>
        <w:pStyle w:val="ListBullet"/>
        <w:spacing w:after="30" w:line="240" w:lineRule="auto"/>
      </w:pPr>
      <w:r>
        <w:t>Exact production manifest entries and highest schema version.</w:t>
      </w:r>
    </w:p>
    <w:p>
      <w:pPr>
        <w:pStyle w:val="ListBullet"/>
        <w:spacing w:after="30" w:line="240" w:lineRule="auto"/>
      </w:pPr>
      <w:r>
        <w:t>Exact table and index count created by version 1.</w:t>
      </w:r>
    </w:p>
    <w:p>
      <w:pPr>
        <w:pStyle w:val="ListBullet"/>
        <w:spacing w:after="30" w:line="240" w:lineRule="auto"/>
      </w:pPr>
      <w:r>
        <w:t>How SQL is embedded and why packaged runtime does not require external files.</w:t>
      </w:r>
    </w:p>
    <w:p>
      <w:pPr>
        <w:pStyle w:val="ListBullet"/>
        <w:spacing w:after="30" w:line="240" w:lineRule="auto"/>
      </w:pPr>
      <w:r>
        <w:t>Checksum canonicalization and history-verification behavior.</w:t>
      </w:r>
    </w:p>
    <w:p>
      <w:pPr>
        <w:pStyle w:val="ListBullet"/>
        <w:spacing w:after="30" w:line="240" w:lineRule="auto"/>
      </w:pPr>
      <w:r>
        <w:t>Transaction and rollback behavior, including rollback-failure handling.</w:t>
      </w:r>
    </w:p>
    <w:p>
      <w:pPr>
        <w:pStyle w:val="ListBullet"/>
        <w:spacing w:after="30" w:line="240" w:lineRule="auto"/>
      </w:pPr>
      <w:r>
        <w:t>Compatibility behavior for fresh, current, prior, inconsistent, checksum-mismatched, and newer databases.</w:t>
      </w:r>
    </w:p>
    <w:p>
      <w:pPr>
        <w:pStyle w:val="ListBullet"/>
        <w:spacing w:after="30" w:line="240" w:lineRule="auto"/>
      </w:pPr>
      <w:r>
        <w:t>Quality-gate command results and total test count.</w:t>
      </w:r>
    </w:p>
    <w:p>
      <w:pPr>
        <w:pStyle w:val="ListBullet"/>
        <w:spacing w:after="30" w:line="240" w:lineRule="auto"/>
      </w:pPr>
      <w:r>
        <w:t>Development, preview, and unpacked Windows smoke-test evidence actually observed.</w:t>
      </w:r>
    </w:p>
    <w:p>
      <w:pPr>
        <w:pStyle w:val="ListBullet"/>
        <w:spacing w:after="30" w:line="240" w:lineRule="auto"/>
      </w:pPr>
      <w:r>
        <w:t>Any limitation, skipped test, environment issue, or unverified claim.</w:t>
      </w:r>
    </w:p>
    <w:p>
      <w:pPr>
        <w:pStyle w:val="ListBullet"/>
        <w:spacing w:after="30" w:line="240" w:lineRule="auto"/>
      </w:pPr>
      <w:r>
        <w:t>Confirmation that no seed data, repository, auth, clinical workflow, sync transport, or new IPC operation was added.</w:t>
      </w:r>
    </w:p>
    <w:p>
      <w:pPr>
        <w:pStyle w:val="Heading1"/>
        <w:keepNext/>
        <w:spacing w:before="140" w:after="60"/>
      </w:pPr>
      <w:r>
        <w:t>21. Commit and Push</w:t>
      </w:r>
    </w:p>
    <w:p>
      <w:pPr>
        <w:spacing w:after="80" w:line="252" w:lineRule="auto"/>
      </w:pPr>
      <w:r>
        <w:t>After every required command passes and the working tree contains only HSD-007 work:</w:t>
      </w:r>
    </w:p>
    <w:p>
      <w:pPr>
        <w:pStyle w:val="CodeBlock"/>
        <w:keepLines/>
        <w:spacing w:before="60" w:after="100"/>
      </w:pPr>
      <w:r>
        <w:rPr>
          <w:rFonts w:ascii="Cascadia Mono" w:hAnsi="Cascadia Mono"/>
          <w:sz w:val="15"/>
        </w:rPr>
        <w:t>git status</w:t>
        <w:br/>
        <w:t>git add .</w:t>
        <w:br/>
        <w:t>git commit -m "feat: add numbered sqlite migrations"</w:t>
        <w:br/>
        <w:t>git push -u origin feature/hsd-007-numbered-migrations</w:t>
        <w:br/>
        <w:t>git status</w:t>
        <w:br/>
        <w:t>git log -5 --oneline</w:t>
      </w:r>
    </w:p>
    <w:p>
      <w:pPr>
        <w:pStyle w:val="ListBullet"/>
        <w:spacing w:after="30" w:line="240" w:lineRule="auto"/>
      </w:pPr>
      <w:r>
        <w:t>The primary implementation must use the exact commit message above.</w:t>
      </w:r>
    </w:p>
    <w:p>
      <w:pPr>
        <w:pStyle w:val="ListBullet"/>
        <w:spacing w:after="30" w:line="240" w:lineRule="auto"/>
      </w:pPr>
      <w:r>
        <w:t>Do not amend the reviewed HSD-006 commits.</w:t>
      </w:r>
    </w:p>
    <w:p>
      <w:pPr>
        <w:pStyle w:val="ListBullet"/>
        <w:spacing w:after="30" w:line="240" w:lineRule="auto"/>
      </w:pPr>
      <w:r>
        <w:t>If review later requires corrections, create a separate correction commit with the reviewer-provided message.</w:t>
      </w:r>
    </w:p>
    <w:p>
      <w:pPr>
        <w:pStyle w:val="Heading1"/>
        <w:keepNext/>
        <w:spacing w:before="140" w:after="60"/>
      </w:pPr>
      <w:r>
        <w:t>22. Required Review Result</w:t>
      </w:r>
    </w:p>
    <w:tbl>
      <w:tblPr>
        <w:tblStyle w:val="TableGrid"/>
        <w:tblW w:type="auto" w:w="0"/>
        <w:jc w:val="center"/>
        <w:tblLook w:firstColumn="1" w:firstRow="1" w:lastColumn="0" w:lastRow="0" w:noHBand="0" w:noVBand="1" w:val="04A0"/>
      </w:tblPr>
      <w:tblGrid>
        <w:gridCol w:w="10080"/>
      </w:tblGrid>
      <w:tr>
        <w:tc>
          <w:tcPr>
            <w:tcW w:type="dxa" w:w="10080"/>
            <w:shd w:fill="E2F0D9"/>
            <w:tcMar>
              <w:top w:w="100" w:type="dxa"/>
              <w:start w:w="130" w:type="dxa"/>
              <w:bottom w:w="100" w:type="dxa"/>
              <w:end w:w="130" w:type="dxa"/>
            </w:tcMar>
          </w:tcPr>
          <w:p>
            <w:pPr>
              <w:spacing w:after="0"/>
            </w:pPr>
            <w:r>
              <w:rPr>
                <w:b/>
                <w:color w:val="163A5F"/>
              </w:rPr>
              <w:t xml:space="preserve">Result: </w:t>
            </w:r>
            <w:r>
              <w:rPr>
                <w:sz w:val="18"/>
              </w:rPr>
              <w:t>The remote feature branch contains one reviewable HSD-007 implementation that upgrades an HSD-006 database from schema version 0 to 1, verifies immutable history, creates the complete empty local schema atomically, remains secure and package-safe, passes every quality gate, and introduces no business workflow.</w:t>
            </w:r>
          </w:p>
        </w:tc>
      </w:tr>
    </w:tbl>
    <w:p>
      <w:pPr>
        <w:spacing w:after="80" w:line="252" w:lineRule="auto"/>
      </w:pPr>
    </w:p>
    <w:p>
      <w:pPr>
        <w:spacing w:after="80" w:line="252" w:lineRule="auto"/>
      </w:pPr>
      <w:r>
        <w:t>Do not begin HSD-008 until HSD-007 has been pushed, independently reviewed, corrected where required, verified in development/preview/unpacked Windows execution, and merged into main.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HEALTH SCREENING OFFLINE DESKTOP APPLICATION  |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ascadia Mono" w:hAnsi="Cascadia Mono"/>
      <w:color w:val="1E1E1E"/>
      <w:sz w:val="16"/>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HSD-007 - Numbered SQL Migrations and Initial Local Schema</dc:title>
  <dc:subject>Bounded Codex implementation task for the Health Screening Offline Desktop application</dc:subject>
  <dc:creator>Health Screening Offline Desktop Project</dc:creator>
  <cp:keywords>Electron, SQLite, migrations, schema, offline-first, Codex</cp:keywords>
  <dc:description>Implementation task generated from the approved project design baseline.</dc:description>
  <cp:lastModifiedBy/>
  <cp:revision>1</cp:revision>
  <dcterms:created xsi:type="dcterms:W3CDTF">2013-12-23T23:15:00Z</dcterms:created>
  <dcterms:modified xsi:type="dcterms:W3CDTF">2013-12-23T23:15:00Z</dcterms:modified>
  <cp:category/>
</cp:coreProperties>
</file>