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w:hAnsi="Aptos"/>
          <w:b/>
          <w:i w:val="0"/>
          <w:color w:val="2F5597"/>
          <w:sz w:val="32"/>
        </w:rPr>
        <w:t>HSD-002</w:t>
      </w:r>
    </w:p>
    <w:p>
      <w:pPr>
        <w:pStyle w:val="Title"/>
        <w:jc w:val="center"/>
      </w:pPr>
      <w:r>
        <w:rPr>
          <w:rFonts w:ascii="Aptos" w:hAnsi="Aptos"/>
          <w:b/>
          <w:i w:val="0"/>
          <w:color w:val="15324B"/>
          <w:sz w:val="56"/>
        </w:rPr>
        <w:t>Tooling and Quality Gates</w:t>
      </w:r>
    </w:p>
    <w:p>
      <w:pPr>
        <w:jc w:val="center"/>
      </w:pPr>
      <w:r>
        <w:rPr>
          <w:rFonts w:ascii="Aptos" w:hAnsi="Aptos"/>
          <w:b/>
          <w:i w:val="0"/>
          <w:color w:val="1F4E78"/>
          <w:sz w:val="30"/>
        </w:rPr>
        <w:t>Codex Implementation Task</w:t>
      </w:r>
    </w:p>
    <w:p>
      <w:pPr>
        <w:spacing w:before="200"/>
        <w:jc w:val="center"/>
      </w:pPr>
      <w:r>
        <w:rPr>
          <w:rFonts w:ascii="Aptos" w:hAnsi="Aptos"/>
          <w:b w:val="0"/>
          <w:i w:val="0"/>
          <w:color w:val="4B5563"/>
          <w:sz w:val="24"/>
        </w:rPr>
        <w:t>Health Screening Offline Desktop Application</w:t>
      </w:r>
    </w:p>
    <w:tbl>
      <w:tblPr>
        <w:tblW w:type="auto" w:w="0"/>
        <w:jc w:val="center"/>
        <w:tblLayout w:type="fixed"/>
        <w:tblLook w:firstColumn="1" w:firstRow="1" w:lastColumn="0" w:lastRow="0" w:noHBand="0" w:noVBand="1" w:val="04A0"/>
      </w:tblPr>
      <w:tblGrid>
        <w:gridCol w:w="2880"/>
        <w:gridCol w:w="6912"/>
      </w:tblGrid>
      <w:tr>
        <w:tc>
          <w:tcPr>
            <w:tcW w:type="dxa" w:w="5083"/>
            <w:tcMar>
              <w:top w:w="100" w:type="dxa"/>
              <w:start w:w="120" w:type="dxa"/>
              <w:bottom w:w="100" w:type="dxa"/>
              <w:end w:w="120" w:type="dxa"/>
            </w:tcMar>
            <w:shd w:fill="DCE6F1"/>
            <w:vAlign w:val="center"/>
          </w:tcPr>
          <w:p>
            <w:r/>
            <w:r>
              <w:rPr>
                <w:rFonts w:ascii="Aptos" w:hAnsi="Aptos"/>
                <w:b/>
                <w:i w:val="0"/>
                <w:color w:val="15324B"/>
                <w:sz w:val="21"/>
              </w:rPr>
              <w:t>Task ID</w:t>
            </w:r>
          </w:p>
        </w:tc>
        <w:tc>
          <w:tcPr>
            <w:tcW w:type="dxa" w:w="5083"/>
            <w:tcMar>
              <w:top w:w="100" w:type="dxa"/>
              <w:start w:w="120" w:type="dxa"/>
              <w:bottom w:w="100" w:type="dxa"/>
              <w:end w:w="120" w:type="dxa"/>
            </w:tcMar>
            <w:vAlign w:val="center"/>
          </w:tcPr>
          <w:p>
            <w:r/>
            <w:r>
              <w:rPr>
                <w:rFonts w:ascii="Aptos" w:hAnsi="Aptos"/>
                <w:b w:val="0"/>
                <w:i w:val="0"/>
                <w:sz w:val="21"/>
              </w:rPr>
              <w:t>HSD-002</w:t>
            </w:r>
          </w:p>
        </w:tc>
      </w:tr>
      <w:tr>
        <w:tc>
          <w:tcPr>
            <w:tcW w:type="dxa" w:w="5083"/>
            <w:tcMar>
              <w:top w:w="100" w:type="dxa"/>
              <w:start w:w="120" w:type="dxa"/>
              <w:bottom w:w="100" w:type="dxa"/>
              <w:end w:w="120" w:type="dxa"/>
            </w:tcMar>
            <w:shd w:fill="DCE6F1"/>
            <w:vAlign w:val="center"/>
          </w:tcPr>
          <w:p>
            <w:r/>
            <w:r>
              <w:rPr>
                <w:rFonts w:ascii="Aptos" w:hAnsi="Aptos"/>
                <w:b/>
                <w:i w:val="0"/>
                <w:color w:val="15324B"/>
                <w:sz w:val="21"/>
              </w:rPr>
              <w:t>Branch</w:t>
            </w:r>
          </w:p>
        </w:tc>
        <w:tc>
          <w:tcPr>
            <w:tcW w:type="dxa" w:w="5083"/>
            <w:tcMar>
              <w:top w:w="100" w:type="dxa"/>
              <w:start w:w="120" w:type="dxa"/>
              <w:bottom w:w="100" w:type="dxa"/>
              <w:end w:w="120" w:type="dxa"/>
            </w:tcMar>
            <w:vAlign w:val="center"/>
          </w:tcPr>
          <w:p>
            <w:r/>
            <w:r>
              <w:rPr>
                <w:rFonts w:ascii="Aptos" w:hAnsi="Aptos"/>
                <w:b w:val="0"/>
                <w:i w:val="0"/>
                <w:sz w:val="21"/>
              </w:rPr>
              <w:t>feature/hsd-002-tooling-quality</w:t>
            </w:r>
          </w:p>
        </w:tc>
      </w:tr>
      <w:tr>
        <w:tc>
          <w:tcPr>
            <w:tcW w:type="dxa" w:w="5083"/>
            <w:tcMar>
              <w:top w:w="100" w:type="dxa"/>
              <w:start w:w="120" w:type="dxa"/>
              <w:bottom w:w="100" w:type="dxa"/>
              <w:end w:w="120" w:type="dxa"/>
            </w:tcMar>
            <w:shd w:fill="DCE6F1"/>
            <w:vAlign w:val="center"/>
          </w:tcPr>
          <w:p>
            <w:r/>
            <w:r>
              <w:rPr>
                <w:rFonts w:ascii="Aptos" w:hAnsi="Aptos"/>
                <w:b/>
                <w:i w:val="0"/>
                <w:color w:val="15324B"/>
                <w:sz w:val="21"/>
              </w:rPr>
              <w:t>Base branch</w:t>
            </w:r>
          </w:p>
        </w:tc>
        <w:tc>
          <w:tcPr>
            <w:tcW w:type="dxa" w:w="5083"/>
            <w:tcMar>
              <w:top w:w="100" w:type="dxa"/>
              <w:start w:w="120" w:type="dxa"/>
              <w:bottom w:w="100" w:type="dxa"/>
              <w:end w:w="120" w:type="dxa"/>
            </w:tcMar>
            <w:vAlign w:val="center"/>
          </w:tcPr>
          <w:p>
            <w:r/>
            <w:r>
              <w:rPr>
                <w:rFonts w:ascii="Aptos" w:hAnsi="Aptos"/>
                <w:b w:val="0"/>
                <w:i w:val="0"/>
                <w:sz w:val="21"/>
              </w:rPr>
              <w:t>main</w:t>
            </w:r>
          </w:p>
        </w:tc>
      </w:tr>
      <w:tr>
        <w:tc>
          <w:tcPr>
            <w:tcW w:type="dxa" w:w="5083"/>
            <w:tcMar>
              <w:top w:w="100" w:type="dxa"/>
              <w:start w:w="120" w:type="dxa"/>
              <w:bottom w:w="100" w:type="dxa"/>
              <w:end w:w="120" w:type="dxa"/>
            </w:tcMar>
            <w:shd w:fill="DCE6F1"/>
            <w:vAlign w:val="center"/>
          </w:tcPr>
          <w:p>
            <w:r/>
            <w:r>
              <w:rPr>
                <w:rFonts w:ascii="Aptos" w:hAnsi="Aptos"/>
                <w:b/>
                <w:i w:val="0"/>
                <w:color w:val="15324B"/>
                <w:sz w:val="21"/>
              </w:rPr>
              <w:t>Status</w:t>
            </w:r>
          </w:p>
        </w:tc>
        <w:tc>
          <w:tcPr>
            <w:tcW w:type="dxa" w:w="5083"/>
            <w:tcMar>
              <w:top w:w="100" w:type="dxa"/>
              <w:start w:w="120" w:type="dxa"/>
              <w:bottom w:w="100" w:type="dxa"/>
              <w:end w:w="120" w:type="dxa"/>
            </w:tcMar>
            <w:vAlign w:val="center"/>
          </w:tcPr>
          <w:p>
            <w:r/>
            <w:r>
              <w:rPr>
                <w:rFonts w:ascii="Aptos" w:hAnsi="Aptos"/>
                <w:b w:val="0"/>
                <w:i w:val="0"/>
                <w:sz w:val="21"/>
              </w:rPr>
              <w:t>Ready for Codex implementation</w:t>
            </w:r>
          </w:p>
        </w:tc>
      </w:tr>
      <w:tr>
        <w:tc>
          <w:tcPr>
            <w:tcW w:type="dxa" w:w="5083"/>
            <w:tcMar>
              <w:top w:w="100" w:type="dxa"/>
              <w:start w:w="120" w:type="dxa"/>
              <w:bottom w:w="100" w:type="dxa"/>
              <w:end w:w="120" w:type="dxa"/>
            </w:tcMar>
            <w:shd w:fill="DCE6F1"/>
            <w:vAlign w:val="center"/>
          </w:tcPr>
          <w:p>
            <w:r/>
            <w:r>
              <w:rPr>
                <w:rFonts w:ascii="Aptos" w:hAnsi="Aptos"/>
                <w:b/>
                <w:i w:val="0"/>
                <w:color w:val="15324B"/>
                <w:sz w:val="21"/>
              </w:rPr>
              <w:t>Required commit</w:t>
            </w:r>
          </w:p>
        </w:tc>
        <w:tc>
          <w:tcPr>
            <w:tcW w:type="dxa" w:w="5083"/>
            <w:tcMar>
              <w:top w:w="100" w:type="dxa"/>
              <w:start w:w="120" w:type="dxa"/>
              <w:bottom w:w="100" w:type="dxa"/>
              <w:end w:w="120" w:type="dxa"/>
            </w:tcMar>
            <w:vAlign w:val="center"/>
          </w:tcPr>
          <w:p>
            <w:r/>
            <w:r>
              <w:rPr>
                <w:rFonts w:ascii="Aptos" w:hAnsi="Aptos"/>
                <w:b w:val="0"/>
                <w:i w:val="0"/>
                <w:sz w:val="21"/>
              </w:rPr>
              <w:t>chore: configure tooling and quality gates</w:t>
            </w:r>
          </w:p>
        </w:tc>
      </w:tr>
      <w:tr>
        <w:tc>
          <w:tcPr>
            <w:tcW w:type="dxa" w:w="5083"/>
            <w:tcMar>
              <w:top w:w="100" w:type="dxa"/>
              <w:start w:w="120" w:type="dxa"/>
              <w:bottom w:w="100" w:type="dxa"/>
              <w:end w:w="120" w:type="dxa"/>
            </w:tcMar>
            <w:shd w:fill="DCE6F1"/>
            <w:vAlign w:val="center"/>
          </w:tcPr>
          <w:p>
            <w:r/>
            <w:r>
              <w:rPr>
                <w:rFonts w:ascii="Aptos" w:hAnsi="Aptos"/>
                <w:b/>
                <w:i w:val="0"/>
                <w:color w:val="15324B"/>
                <w:sz w:val="21"/>
              </w:rPr>
              <w:t>Review gate</w:t>
            </w:r>
          </w:p>
        </w:tc>
        <w:tc>
          <w:tcPr>
            <w:tcW w:type="dxa" w:w="5083"/>
            <w:tcMar>
              <w:top w:w="100" w:type="dxa"/>
              <w:start w:w="120" w:type="dxa"/>
              <w:bottom w:w="100" w:type="dxa"/>
              <w:end w:w="120" w:type="dxa"/>
            </w:tcMar>
            <w:vAlign w:val="center"/>
          </w:tcPr>
          <w:p>
            <w:r/>
            <w:r>
              <w:rPr>
                <w:rFonts w:ascii="Aptos" w:hAnsi="Aptos"/>
                <w:b w:val="0"/>
                <w:i w:val="0"/>
                <w:sz w:val="21"/>
              </w:rPr>
              <w:t>Push branch, then review before HSD-003</w:t>
            </w:r>
          </w:p>
        </w:tc>
      </w:tr>
    </w:tbl>
    <w:p>
      <w:pPr>
        <w:spacing w:before="280"/>
        <w:jc w:val="center"/>
      </w:pPr>
      <w:r>
        <w:rPr>
          <w:rFonts w:ascii="Aptos" w:hAnsi="Aptos"/>
          <w:b w:val="0"/>
          <w:i/>
          <w:color w:val="9C2F2F"/>
          <w:sz w:val="21"/>
        </w:rPr>
        <w:t>Scope rule: configure engineering quality only. Do not implement application features.</w:t>
      </w:r>
    </w:p>
    <w:p>
      <w:r>
        <w:br w:type="page"/>
      </w:r>
    </w:p>
    <w:p>
      <w:pPr>
        <w:pStyle w:val="Heading1"/>
      </w:pPr>
      <w:r>
        <w:t>1. Goal</w:t>
      </w:r>
    </w:p>
    <w:p>
      <w:r>
        <w:rPr>
          <w:rFonts w:ascii="Aptos" w:hAnsi="Aptos"/>
          <w:b w:val="0"/>
          <w:i w:val="0"/>
          <w:sz w:val="21"/>
        </w:rPr>
        <w:t>Strengthen the HSD-001 engineering foundation by configuring reproducible TypeScript, import boundaries, linting, formatting, and unit-test quality gates. The repository must remain feature-free after this task.</w:t>
      </w:r>
    </w:p>
    <w:p>
      <w:pPr>
        <w:pStyle w:val="Heading1"/>
      </w:pPr>
      <w:r>
        <w:t>2. Current Repository Baseline</w:t>
      </w:r>
    </w:p>
    <w:p>
      <w:pPr>
        <w:pStyle w:val="ListBullet"/>
        <w:spacing w:after="60"/>
      </w:pPr>
      <w:r>
        <w:rPr>
          <w:rFonts w:ascii="Aptos" w:hAnsi="Aptos"/>
          <w:b w:val="0"/>
          <w:i w:val="0"/>
          <w:sz w:val="21"/>
        </w:rPr>
        <w:t>HSD-001 is approved and merged into the project baseline.</w:t>
      </w:r>
    </w:p>
    <w:p>
      <w:pPr>
        <w:pStyle w:val="ListBullet"/>
        <w:spacing w:after="60"/>
      </w:pPr>
      <w:r>
        <w:rPr>
          <w:rFonts w:ascii="Aptos" w:hAnsi="Aptos"/>
          <w:b w:val="0"/>
          <w:i w:val="0"/>
          <w:sz w:val="21"/>
        </w:rPr>
        <w:t>Electron, React, TypeScript, electron-vite, pnpm, ESLint, and Prettier are already present.</w:t>
      </w:r>
    </w:p>
    <w:p>
      <w:pPr>
        <w:pStyle w:val="ListBullet"/>
        <w:spacing w:after="60"/>
      </w:pPr>
      <w:r>
        <w:rPr>
          <w:rFonts w:ascii="Aptos" w:hAnsi="Aptos"/>
          <w:b w:val="0"/>
          <w:i w:val="0"/>
          <w:sz w:val="21"/>
        </w:rPr>
        <w:t>The renderer receives only a narrow bootstrap-status preload API.</w:t>
      </w:r>
    </w:p>
    <w:p>
      <w:pPr>
        <w:pStyle w:val="ListBullet"/>
        <w:spacing w:after="60"/>
      </w:pPr>
      <w:r>
        <w:rPr>
          <w:rFonts w:ascii="Aptos" w:hAnsi="Aptos"/>
          <w:b w:val="0"/>
          <w:i w:val="0"/>
          <w:sz w:val="21"/>
        </w:rPr>
        <w:t>No database, authentication, routing, clinical workflow, or business IPC exists.</w:t>
      </w:r>
    </w:p>
    <w:p>
      <w:pPr>
        <w:pStyle w:val="ListBullet"/>
        <w:spacing w:after="60"/>
      </w:pPr>
      <w:r>
        <w:rPr>
          <w:rFonts w:ascii="Aptos" w:hAnsi="Aptos"/>
          <w:b w:val="0"/>
          <w:i w:val="0"/>
          <w:sz w:val="21"/>
        </w:rPr>
        <w:t>This task must refine the existing configuration rather than re-scaffold the repository.</w:t>
      </w:r>
    </w:p>
    <w:p>
      <w:pPr>
        <w:pStyle w:val="Heading1"/>
      </w:pPr>
      <w:r>
        <w:t>3. Codex Prompt</w:t>
      </w:r>
    </w:p>
    <w:p>
      <w:r>
        <w:rPr>
          <w:rFonts w:ascii="Aptos" w:hAnsi="Aptos"/>
          <w:b w:val="0"/>
          <w:i w:val="0"/>
          <w:sz w:val="21"/>
        </w:rPr>
        <w:t>Give Codex the complete task below. Codex must inspect the existing repository before editing and must not replace the established structure.</w:t>
      </w:r>
    </w:p>
    <w:p>
      <w:pPr>
        <w:pStyle w:val="Heading2"/>
      </w:pPr>
      <w:r>
        <w:t>3.1 Task Identity</w:t>
      </w:r>
    </w:p>
    <w:tbl>
      <w:tblPr>
        <w:tblStyle w:val="TableGrid"/>
        <w:tblW w:type="auto" w:w="0"/>
        <w:jc w:val="center"/>
        <w:tblLook w:firstColumn="1" w:firstRow="1" w:lastColumn="0" w:lastRow="0" w:noHBand="0" w:noVBand="1" w:val="04A0"/>
      </w:tblPr>
      <w:tblGrid>
        <w:gridCol w:w="5083"/>
        <w:gridCol w:w="5083"/>
      </w:tblGrid>
      <w:tr>
        <w:tc>
          <w:tcPr>
            <w:tcW w:type="dxa" w:w="5083"/>
            <w:shd w:fill="EAF0F6"/>
            <w:tcMar>
              <w:top w:w="100" w:type="dxa"/>
              <w:start w:w="120" w:type="dxa"/>
              <w:bottom w:w="100" w:type="dxa"/>
              <w:end w:w="120" w:type="dxa"/>
            </w:tcMar>
          </w:tcPr>
          <w:p>
            <w:r>
              <w:rPr>
                <w:rFonts w:ascii="Aptos" w:hAnsi="Aptos"/>
                <w:b/>
                <w:i w:val="0"/>
                <w:color w:val="15324B"/>
                <w:sz w:val="21"/>
              </w:rPr>
              <w:t>TASK ID</w:t>
            </w:r>
          </w:p>
        </w:tc>
        <w:tc>
          <w:tcPr>
            <w:tcW w:type="dxa" w:w="5083"/>
            <w:tcMar>
              <w:top w:w="100" w:type="dxa"/>
              <w:start w:w="120" w:type="dxa"/>
              <w:bottom w:w="100" w:type="dxa"/>
              <w:end w:w="120" w:type="dxa"/>
            </w:tcMar>
          </w:tcPr>
          <w:p>
            <w:r>
              <w:rPr>
                <w:rFonts w:ascii="Aptos" w:hAnsi="Aptos"/>
                <w:b w:val="0"/>
                <w:i w:val="0"/>
                <w:sz w:val="21"/>
              </w:rPr>
              <w:t>HSD-002</w:t>
            </w:r>
          </w:p>
        </w:tc>
      </w:tr>
      <w:tr>
        <w:tc>
          <w:tcPr>
            <w:tcW w:type="dxa" w:w="5083"/>
            <w:shd w:fill="EAF0F6"/>
            <w:tcMar>
              <w:top w:w="100" w:type="dxa"/>
              <w:start w:w="120" w:type="dxa"/>
              <w:bottom w:w="100" w:type="dxa"/>
              <w:end w:w="120" w:type="dxa"/>
            </w:tcMar>
          </w:tcPr>
          <w:p>
            <w:r>
              <w:rPr>
                <w:rFonts w:ascii="Aptos" w:hAnsi="Aptos"/>
                <w:b/>
                <w:i w:val="0"/>
                <w:color w:val="15324B"/>
                <w:sz w:val="21"/>
              </w:rPr>
              <w:t>TITLE</w:t>
            </w:r>
          </w:p>
        </w:tc>
        <w:tc>
          <w:tcPr>
            <w:tcW w:type="dxa" w:w="5083"/>
            <w:tcMar>
              <w:top w:w="100" w:type="dxa"/>
              <w:start w:w="120" w:type="dxa"/>
              <w:bottom w:w="100" w:type="dxa"/>
              <w:end w:w="120" w:type="dxa"/>
            </w:tcMar>
          </w:tcPr>
          <w:p>
            <w:r>
              <w:rPr>
                <w:rFonts w:ascii="Aptos" w:hAnsi="Aptos"/>
                <w:b w:val="0"/>
                <w:i w:val="0"/>
                <w:sz w:val="21"/>
              </w:rPr>
              <w:t>Configure TypeScript, aliases, linting, formatting, and Vitest quality gates</w:t>
            </w:r>
          </w:p>
        </w:tc>
      </w:tr>
      <w:tr>
        <w:tc>
          <w:tcPr>
            <w:tcW w:type="dxa" w:w="5083"/>
            <w:shd w:fill="EAF0F6"/>
            <w:tcMar>
              <w:top w:w="100" w:type="dxa"/>
              <w:start w:w="120" w:type="dxa"/>
              <w:bottom w:w="100" w:type="dxa"/>
              <w:end w:w="120" w:type="dxa"/>
            </w:tcMar>
          </w:tcPr>
          <w:p>
            <w:r>
              <w:rPr>
                <w:rFonts w:ascii="Aptos" w:hAnsi="Aptos"/>
                <w:b/>
                <w:i w:val="0"/>
                <w:color w:val="15324B"/>
                <w:sz w:val="21"/>
              </w:rPr>
              <w:t>BRANCH</w:t>
            </w:r>
          </w:p>
        </w:tc>
        <w:tc>
          <w:tcPr>
            <w:tcW w:type="dxa" w:w="5083"/>
            <w:tcMar>
              <w:top w:w="100" w:type="dxa"/>
              <w:start w:w="120" w:type="dxa"/>
              <w:bottom w:w="100" w:type="dxa"/>
              <w:end w:w="120" w:type="dxa"/>
            </w:tcMar>
          </w:tcPr>
          <w:p>
            <w:r>
              <w:rPr>
                <w:rFonts w:ascii="Consolas" w:hAnsi="Consolas"/>
                <w:b w:val="0"/>
                <w:i w:val="0"/>
                <w:sz w:val="19"/>
              </w:rPr>
              <w:t>feature/hsd-002-tooling-quality</w:t>
            </w:r>
          </w:p>
        </w:tc>
      </w:tr>
      <w:tr>
        <w:tc>
          <w:tcPr>
            <w:tcW w:type="dxa" w:w="5083"/>
            <w:shd w:fill="EAF0F6"/>
            <w:tcMar>
              <w:top w:w="100" w:type="dxa"/>
              <w:start w:w="120" w:type="dxa"/>
              <w:bottom w:w="100" w:type="dxa"/>
              <w:end w:w="120" w:type="dxa"/>
            </w:tcMar>
          </w:tcPr>
          <w:p>
            <w:r>
              <w:rPr>
                <w:rFonts w:ascii="Aptos" w:hAnsi="Aptos"/>
                <w:b/>
                <w:i w:val="0"/>
                <w:color w:val="15324B"/>
                <w:sz w:val="21"/>
              </w:rPr>
              <w:t>BASE</w:t>
            </w:r>
          </w:p>
        </w:tc>
        <w:tc>
          <w:tcPr>
            <w:tcW w:type="dxa" w:w="5083"/>
            <w:tcMar>
              <w:top w:w="100" w:type="dxa"/>
              <w:start w:w="120" w:type="dxa"/>
              <w:bottom w:w="100" w:type="dxa"/>
              <w:end w:w="120" w:type="dxa"/>
            </w:tcMar>
          </w:tcPr>
          <w:p>
            <w:r>
              <w:rPr>
                <w:rFonts w:ascii="Consolas" w:hAnsi="Consolas"/>
                <w:b w:val="0"/>
                <w:i w:val="0"/>
                <w:sz w:val="19"/>
              </w:rPr>
              <w:t>main</w:t>
            </w:r>
          </w:p>
        </w:tc>
      </w:tr>
      <w:tr>
        <w:tc>
          <w:tcPr>
            <w:tcW w:type="dxa" w:w="5083"/>
            <w:shd w:fill="EAF0F6"/>
            <w:tcMar>
              <w:top w:w="100" w:type="dxa"/>
              <w:start w:w="120" w:type="dxa"/>
              <w:bottom w:w="100" w:type="dxa"/>
              <w:end w:w="120" w:type="dxa"/>
            </w:tcMar>
          </w:tcPr>
          <w:p>
            <w:r>
              <w:rPr>
                <w:rFonts w:ascii="Aptos" w:hAnsi="Aptos"/>
                <w:b/>
                <w:i w:val="0"/>
                <w:color w:val="15324B"/>
                <w:sz w:val="21"/>
              </w:rPr>
              <w:t>COMMIT MESSAGE</w:t>
            </w:r>
          </w:p>
        </w:tc>
        <w:tc>
          <w:tcPr>
            <w:tcW w:type="dxa" w:w="5083"/>
            <w:tcMar>
              <w:top w:w="100" w:type="dxa"/>
              <w:start w:w="120" w:type="dxa"/>
              <w:bottom w:w="100" w:type="dxa"/>
              <w:end w:w="120" w:type="dxa"/>
            </w:tcMar>
          </w:tcPr>
          <w:p>
            <w:r>
              <w:rPr>
                <w:rFonts w:ascii="Consolas" w:hAnsi="Consolas"/>
                <w:b w:val="0"/>
                <w:i w:val="0"/>
                <w:sz w:val="19"/>
              </w:rPr>
              <w:t>chore: configure tooling and quality gates</w:t>
            </w:r>
          </w:p>
        </w:tc>
      </w:tr>
    </w:tbl>
    <w:p>
      <w:pPr>
        <w:pStyle w:val="Heading2"/>
      </w:pPr>
      <w:r>
        <w:t>3.2 Implementation Requirements</w:t>
      </w:r>
    </w:p>
    <w:p>
      <w:pPr>
        <w:pStyle w:val="ListNumber"/>
        <w:spacing w:after="60"/>
      </w:pPr>
      <w:r>
        <w:rPr>
          <w:rFonts w:ascii="Aptos" w:hAnsi="Aptos"/>
          <w:b w:val="0"/>
          <w:i w:val="0"/>
          <w:sz w:val="21"/>
        </w:rPr>
        <w:t>Inspect the current package.json, TypeScript configurations, electron-vite configuration, ESLint configuration, Prettier configuration, and directory structure before changing anything.</w:t>
      </w:r>
    </w:p>
    <w:p>
      <w:pPr>
        <w:pStyle w:val="ListNumber"/>
        <w:spacing w:after="60"/>
      </w:pPr>
      <w:r>
        <w:rPr>
          <w:rFonts w:ascii="Aptos" w:hAnsi="Aptos"/>
          <w:b w:val="0"/>
          <w:i w:val="0"/>
          <w:sz w:val="21"/>
        </w:rPr>
        <w:t>Preserve the existing Electron main, preload, renderer, and shared boundaries created in HSD-001.</w:t>
      </w:r>
    </w:p>
    <w:p>
      <w:pPr>
        <w:pStyle w:val="ListNumber"/>
        <w:spacing w:after="60"/>
      </w:pPr>
      <w:r>
        <w:rPr>
          <w:rFonts w:ascii="Aptos" w:hAnsi="Aptos"/>
          <w:b w:val="0"/>
          <w:i w:val="0"/>
          <w:sz w:val="21"/>
        </w:rPr>
        <w:t>Configure TypeScript strictness explicitly for both Node-side and renderer-side projects. At minimum, strict must be true. Add noUncheckedIndexedAccess, noFallthroughCasesInSwitch, noImplicitOverride, forceConsistentCasingInFileNames, and useUnknownInCatchVariables when compatible with the current scaffold.</w:t>
      </w:r>
    </w:p>
    <w:p>
      <w:pPr>
        <w:pStyle w:val="ListNumber"/>
        <w:spacing w:after="60"/>
      </w:pPr>
      <w:r>
        <w:rPr>
          <w:rFonts w:ascii="Aptos" w:hAnsi="Aptos"/>
          <w:b w:val="0"/>
          <w:i w:val="0"/>
          <w:sz w:val="21"/>
        </w:rPr>
        <w:t>Do not weaken type safety with skipLibCheck changes unless the existing framework requires it and the reason is documented.</w:t>
      </w:r>
    </w:p>
    <w:p>
      <w:pPr>
        <w:pStyle w:val="ListNumber"/>
        <w:spacing w:after="60"/>
      </w:pPr>
      <w:r>
        <w:rPr>
          <w:rFonts w:ascii="Aptos" w:hAnsi="Aptos"/>
          <w:b w:val="0"/>
          <w:i w:val="0"/>
          <w:sz w:val="21"/>
        </w:rPr>
        <w:t>Configure stable aliases for @main/*, @preload/*, @shared/*, and @renderer/* where each alias is valid. The renderer must not be able to import @main/* or @preload/*.</w:t>
      </w:r>
    </w:p>
    <w:p>
      <w:pPr>
        <w:pStyle w:val="ListNumber"/>
        <w:spacing w:after="60"/>
      </w:pPr>
      <w:r>
        <w:rPr>
          <w:rFonts w:ascii="Aptos" w:hAnsi="Aptos"/>
          <w:b w:val="0"/>
          <w:i w:val="0"/>
          <w:sz w:val="21"/>
        </w:rPr>
        <w:t>Update electron.vite.config.ts and relevant tsconfig files so alias resolution works in development, typechecking, unit tests, and production builds.</w:t>
      </w:r>
    </w:p>
    <w:p>
      <w:pPr>
        <w:pStyle w:val="ListNumber"/>
        <w:spacing w:after="60"/>
      </w:pPr>
      <w:r>
        <w:rPr>
          <w:rFonts w:ascii="Aptos" w:hAnsi="Aptos"/>
          <w:b w:val="0"/>
          <w:i w:val="0"/>
          <w:sz w:val="21"/>
        </w:rPr>
        <w:t>Use ESLint to enforce architectural boundaries. Renderer files must be prohibited from importing electron, Node built-ins, src/main, src/preload, @main/*, or @preload/*.</w:t>
      </w:r>
    </w:p>
    <w:p>
      <w:pPr>
        <w:pStyle w:val="ListNumber"/>
        <w:spacing w:after="60"/>
      </w:pPr>
      <w:r>
        <w:rPr>
          <w:rFonts w:ascii="Aptos" w:hAnsi="Aptos"/>
          <w:b w:val="0"/>
          <w:i w:val="0"/>
          <w:sz w:val="21"/>
        </w:rPr>
        <w:t>Add reasonable TypeScript and React rules without creating a large style-only refactor. Linting must fail on warnings by using --max-warnings=0.</w:t>
      </w:r>
    </w:p>
    <w:p>
      <w:pPr>
        <w:pStyle w:val="ListNumber"/>
        <w:spacing w:after="60"/>
      </w:pPr>
      <w:r>
        <w:rPr>
          <w:rFonts w:ascii="Aptos" w:hAnsi="Aptos"/>
          <w:b w:val="0"/>
          <w:i w:val="0"/>
          <w:sz w:val="21"/>
        </w:rPr>
        <w:t>Keep Prettier as the formatting authority. Add format and format:check scripts. format must write changes; format:check must verify without changing files.</w:t>
      </w:r>
    </w:p>
    <w:p>
      <w:pPr>
        <w:pStyle w:val="ListNumber"/>
        <w:spacing w:after="60"/>
      </w:pPr>
      <w:r>
        <w:rPr>
          <w:rFonts w:ascii="Aptos" w:hAnsi="Aptos"/>
          <w:b w:val="0"/>
          <w:i w:val="0"/>
          <w:sz w:val="21"/>
        </w:rPr>
        <w:t>Add Vitest as the unit-test runner. Configure a deterministic Node test environment for the current shared/bootstrap unit tests.</w:t>
      </w:r>
    </w:p>
    <w:p>
      <w:pPr>
        <w:pStyle w:val="ListNumber"/>
        <w:spacing w:after="60"/>
      </w:pPr>
      <w:r>
        <w:rPr>
          <w:rFonts w:ascii="Aptos" w:hAnsi="Aptos"/>
          <w:b w:val="0"/>
          <w:i w:val="0"/>
          <w:sz w:val="21"/>
        </w:rPr>
        <w:t>Create at least two meaningful unit tests under tests/unit. One test must import through @shared/* to prove alias resolution. Tests should verify the bootstrap status contract and return-copy behavior without introducing application features.</w:t>
      </w:r>
    </w:p>
    <w:p>
      <w:pPr>
        <w:pStyle w:val="ListNumber"/>
        <w:spacing w:after="60"/>
      </w:pPr>
      <w:r>
        <w:rPr>
          <w:rFonts w:ascii="Aptos" w:hAnsi="Aptos"/>
          <w:b w:val="0"/>
          <w:i w:val="0"/>
          <w:sz w:val="21"/>
        </w:rPr>
        <w:t>Add test, test:unit, and test:watch scripts. test and test:unit must run once and exit; test:watch may remain interactive.</w:t>
      </w:r>
    </w:p>
    <w:p>
      <w:pPr>
        <w:pStyle w:val="ListNumber"/>
        <w:spacing w:after="60"/>
      </w:pPr>
      <w:r>
        <w:rPr>
          <w:rFonts w:ascii="Aptos" w:hAnsi="Aptos"/>
          <w:b w:val="0"/>
          <w:i w:val="0"/>
          <w:sz w:val="21"/>
        </w:rPr>
        <w:t>Add a verify script that runs format:check, lint, typecheck, and test. Do not include pnpm build in verify unless it is clearly documented; build remains a separate acceptance command.</w:t>
      </w:r>
    </w:p>
    <w:p>
      <w:pPr>
        <w:pStyle w:val="ListNumber"/>
        <w:spacing w:after="60"/>
      </w:pPr>
      <w:r>
        <w:rPr>
          <w:rFonts w:ascii="Aptos" w:hAnsi="Aptos"/>
          <w:b w:val="0"/>
          <w:i w:val="0"/>
          <w:sz w:val="21"/>
        </w:rPr>
        <w:t>Update README.md with the quality commands and expected use.</w:t>
      </w:r>
    </w:p>
    <w:p>
      <w:pPr>
        <w:pStyle w:val="ListNumber"/>
        <w:spacing w:after="60"/>
      </w:pPr>
      <w:r>
        <w:rPr>
          <w:rFonts w:ascii="Aptos" w:hAnsi="Aptos"/>
          <w:b w:val="0"/>
          <w:i w:val="0"/>
          <w:sz w:val="21"/>
        </w:rPr>
        <w:t>Create docs/engineering-standards.md documenting strict TypeScript, import boundaries, formatting, linting, test location, file naming, and the rule that renderer code cannot access trusted processes directly.</w:t>
      </w:r>
    </w:p>
    <w:p>
      <w:pPr>
        <w:pStyle w:val="ListNumber"/>
        <w:spacing w:after="60"/>
      </w:pPr>
      <w:r>
        <w:rPr>
          <w:rFonts w:ascii="Aptos" w:hAnsi="Aptos"/>
          <w:b w:val="0"/>
          <w:i w:val="0"/>
          <w:sz w:val="21"/>
        </w:rPr>
        <w:t>Keep dependency additions limited to Vitest and any minimal package strictly required for configuration. Do not add React Testing Library, jsdom, happy-dom, coverage tools, Tailwind, Zod, Zustand, Router, or form libraries in this task.</w:t>
      </w:r>
    </w:p>
    <w:p>
      <w:pPr>
        <w:pStyle w:val="ListNumber"/>
        <w:spacing w:after="60"/>
      </w:pPr>
      <w:r>
        <w:rPr>
          <w:rFonts w:ascii="Aptos" w:hAnsi="Aptos"/>
          <w:b w:val="0"/>
          <w:i w:val="0"/>
          <w:sz w:val="21"/>
        </w:rPr>
        <w:t>Keep the existing placeholder interface and bootstrap API behavior unchanged except for import-path updates required by aliases.</w:t>
      </w:r>
    </w:p>
    <w:p>
      <w:pPr>
        <w:pStyle w:val="ListNumber"/>
        <w:spacing w:after="60"/>
      </w:pPr>
      <w:r>
        <w:rPr>
          <w:rFonts w:ascii="Aptos" w:hAnsi="Aptos"/>
          <w:b w:val="0"/>
          <w:i w:val="0"/>
          <w:sz w:val="21"/>
        </w:rPr>
        <w:t>Do not add GitHub Actions in this task; CI is HSD-008.</w:t>
      </w:r>
    </w:p>
    <w:p>
      <w:pPr>
        <w:pStyle w:val="Heading2"/>
      </w:pPr>
      <w:r>
        <w:t>3.3 Required Configuration Outcomes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tcMar>
              <w:top w:w="100" w:type="dxa"/>
              <w:start w:w="120" w:type="dxa"/>
              <w:bottom w:w="100" w:type="dxa"/>
              <w:end w:w="120" w:type="dxa"/>
            </w:tcMar>
          </w:tcPr>
          <w:p>
            <w:r>
              <w:rPr>
                <w:rFonts w:ascii="Aptos" w:hAnsi="Aptos"/>
                <w:b/>
                <w:i w:val="0"/>
                <w:color w:val="FFFFFF"/>
                <w:sz w:val="21"/>
              </w:rPr>
              <w:t>Area</w:t>
            </w:r>
          </w:p>
        </w:tc>
        <w:tc>
          <w:tcPr>
            <w:tcW w:type="dxa" w:w="3389"/>
            <w:shd w:fill="1F4E78"/>
            <w:tcMar>
              <w:top w:w="100" w:type="dxa"/>
              <w:start w:w="120" w:type="dxa"/>
              <w:bottom w:w="100" w:type="dxa"/>
              <w:end w:w="120" w:type="dxa"/>
            </w:tcMar>
          </w:tcPr>
          <w:p>
            <w:r>
              <w:rPr>
                <w:rFonts w:ascii="Aptos" w:hAnsi="Aptos"/>
                <w:b/>
                <w:i w:val="0"/>
                <w:color w:val="FFFFFF"/>
                <w:sz w:val="21"/>
              </w:rPr>
              <w:t>Required outcome</w:t>
            </w:r>
          </w:p>
        </w:tc>
        <w:tc>
          <w:tcPr>
            <w:tcW w:type="dxa" w:w="3389"/>
            <w:shd w:fill="1F4E78"/>
            <w:tcMar>
              <w:top w:w="100" w:type="dxa"/>
              <w:start w:w="120" w:type="dxa"/>
              <w:bottom w:w="100" w:type="dxa"/>
              <w:end w:w="120" w:type="dxa"/>
            </w:tcMar>
          </w:tcPr>
          <w:p>
            <w:r>
              <w:rPr>
                <w:rFonts w:ascii="Aptos" w:hAnsi="Aptos"/>
                <w:b/>
                <w:i w:val="0"/>
                <w:color w:val="FFFFFF"/>
                <w:sz w:val="21"/>
              </w:rPr>
              <w:t>Evidence</w:t>
            </w:r>
          </w:p>
        </w:tc>
      </w:tr>
      <w:tr>
        <w:tc>
          <w:tcPr>
            <w:tcW w:type="dxa" w:w="3389"/>
            <w:tcMar>
              <w:top w:w="100" w:type="dxa"/>
              <w:start w:w="120" w:type="dxa"/>
              <w:bottom w:w="100" w:type="dxa"/>
              <w:end w:w="120" w:type="dxa"/>
            </w:tcMar>
          </w:tcPr>
          <w:p>
            <w:r>
              <w:rPr>
                <w:rFonts w:ascii="Aptos" w:hAnsi="Aptos"/>
                <w:b/>
                <w:i w:val="0"/>
                <w:color w:val="15324B"/>
                <w:sz w:val="21"/>
              </w:rPr>
              <w:t>TypeScript</w:t>
            </w:r>
          </w:p>
        </w:tc>
        <w:tc>
          <w:tcPr>
            <w:tcW w:type="dxa" w:w="3389"/>
            <w:tcMar>
              <w:top w:w="100" w:type="dxa"/>
              <w:start w:w="120" w:type="dxa"/>
              <w:bottom w:w="100" w:type="dxa"/>
              <w:end w:w="120" w:type="dxa"/>
            </w:tcMar>
          </w:tcPr>
          <w:p>
            <w:r>
              <w:rPr>
                <w:rFonts w:ascii="Aptos" w:hAnsi="Aptos"/>
                <w:b w:val="0"/>
                <w:i w:val="0"/>
                <w:sz w:val="21"/>
              </w:rPr>
              <w:t>Strict settings are explicit and compatible across Node and renderer projects.</w:t>
            </w:r>
          </w:p>
        </w:tc>
        <w:tc>
          <w:tcPr>
            <w:tcW w:type="dxa" w:w="3389"/>
            <w:tcMar>
              <w:top w:w="100" w:type="dxa"/>
              <w:start w:w="120" w:type="dxa"/>
              <w:bottom w:w="100" w:type="dxa"/>
              <w:end w:w="120" w:type="dxa"/>
            </w:tcMar>
          </w:tcPr>
          <w:p>
            <w:r>
              <w:rPr>
                <w:rFonts w:ascii="Aptos" w:hAnsi="Aptos"/>
                <w:b w:val="0"/>
                <w:i w:val="0"/>
                <w:sz w:val="21"/>
              </w:rPr>
              <w:t>pnpm typecheck passes.</w:t>
            </w:r>
          </w:p>
        </w:tc>
      </w:tr>
      <w:tr>
        <w:tc>
          <w:tcPr>
            <w:tcW w:type="dxa" w:w="3389"/>
            <w:tcMar>
              <w:top w:w="100" w:type="dxa"/>
              <w:start w:w="120" w:type="dxa"/>
              <w:bottom w:w="100" w:type="dxa"/>
              <w:end w:w="120" w:type="dxa"/>
            </w:tcMar>
          </w:tcPr>
          <w:p>
            <w:r>
              <w:rPr>
                <w:rFonts w:ascii="Aptos" w:hAnsi="Aptos"/>
                <w:b/>
                <w:i w:val="0"/>
                <w:color w:val="15324B"/>
                <w:sz w:val="21"/>
              </w:rPr>
              <w:t>Aliases</w:t>
            </w:r>
          </w:p>
        </w:tc>
        <w:tc>
          <w:tcPr>
            <w:tcW w:type="dxa" w:w="3389"/>
            <w:tcMar>
              <w:top w:w="100" w:type="dxa"/>
              <w:start w:w="120" w:type="dxa"/>
              <w:bottom w:w="100" w:type="dxa"/>
              <w:end w:w="120" w:type="dxa"/>
            </w:tcMar>
          </w:tcPr>
          <w:p>
            <w:r>
              <w:rPr>
                <w:rFonts w:ascii="Aptos" w:hAnsi="Aptos"/>
                <w:b w:val="0"/>
                <w:i w:val="0"/>
                <w:sz w:val="21"/>
              </w:rPr>
              <w:t>Shared and process-specific aliases resolve where allowed.</w:t>
            </w:r>
          </w:p>
        </w:tc>
        <w:tc>
          <w:tcPr>
            <w:tcW w:type="dxa" w:w="3389"/>
            <w:tcMar>
              <w:top w:w="100" w:type="dxa"/>
              <w:start w:w="120" w:type="dxa"/>
              <w:bottom w:w="100" w:type="dxa"/>
              <w:end w:w="120" w:type="dxa"/>
            </w:tcMar>
          </w:tcPr>
          <w:p>
            <w:r>
              <w:rPr>
                <w:rFonts w:ascii="Aptos" w:hAnsi="Aptos"/>
                <w:b w:val="0"/>
                <w:i w:val="0"/>
                <w:sz w:val="21"/>
              </w:rPr>
              <w:t>Unit test imports @shared/*; build succeeds.</w:t>
            </w:r>
          </w:p>
        </w:tc>
      </w:tr>
      <w:tr>
        <w:tc>
          <w:tcPr>
            <w:tcW w:type="dxa" w:w="3389"/>
            <w:tcMar>
              <w:top w:w="100" w:type="dxa"/>
              <w:start w:w="120" w:type="dxa"/>
              <w:bottom w:w="100" w:type="dxa"/>
              <w:end w:w="120" w:type="dxa"/>
            </w:tcMar>
          </w:tcPr>
          <w:p>
            <w:r>
              <w:rPr>
                <w:rFonts w:ascii="Aptos" w:hAnsi="Aptos"/>
                <w:b/>
                <w:i w:val="0"/>
                <w:color w:val="15324B"/>
                <w:sz w:val="21"/>
              </w:rPr>
              <w:t>Boundaries</w:t>
            </w:r>
          </w:p>
        </w:tc>
        <w:tc>
          <w:tcPr>
            <w:tcW w:type="dxa" w:w="3389"/>
            <w:tcMar>
              <w:top w:w="100" w:type="dxa"/>
              <w:start w:w="120" w:type="dxa"/>
              <w:bottom w:w="100" w:type="dxa"/>
              <w:end w:w="120" w:type="dxa"/>
            </w:tcMar>
          </w:tcPr>
          <w:p>
            <w:r>
              <w:rPr>
                <w:rFonts w:ascii="Aptos" w:hAnsi="Aptos"/>
                <w:b w:val="0"/>
                <w:i w:val="0"/>
                <w:sz w:val="21"/>
              </w:rPr>
              <w:t>Renderer imports from Electron, Node, main, or preload are lint errors.</w:t>
            </w:r>
          </w:p>
        </w:tc>
        <w:tc>
          <w:tcPr>
            <w:tcW w:type="dxa" w:w="3389"/>
            <w:tcMar>
              <w:top w:w="100" w:type="dxa"/>
              <w:start w:w="120" w:type="dxa"/>
              <w:bottom w:w="100" w:type="dxa"/>
              <w:end w:w="120" w:type="dxa"/>
            </w:tcMar>
          </w:tcPr>
          <w:p>
            <w:r>
              <w:rPr>
                <w:rFonts w:ascii="Aptos" w:hAnsi="Aptos"/>
                <w:b w:val="0"/>
                <w:i w:val="0"/>
                <w:sz w:val="21"/>
              </w:rPr>
              <w:t>A focused lint-rule test or documented manual negative check.</w:t>
            </w:r>
          </w:p>
        </w:tc>
      </w:tr>
      <w:tr>
        <w:tc>
          <w:tcPr>
            <w:tcW w:type="dxa" w:w="3389"/>
            <w:tcMar>
              <w:top w:w="100" w:type="dxa"/>
              <w:start w:w="120" w:type="dxa"/>
              <w:bottom w:w="100" w:type="dxa"/>
              <w:end w:w="120" w:type="dxa"/>
            </w:tcMar>
          </w:tcPr>
          <w:p>
            <w:r>
              <w:rPr>
                <w:rFonts w:ascii="Aptos" w:hAnsi="Aptos"/>
                <w:b/>
                <w:i w:val="0"/>
                <w:color w:val="15324B"/>
                <w:sz w:val="21"/>
              </w:rPr>
              <w:t>Formatting</w:t>
            </w:r>
          </w:p>
        </w:tc>
        <w:tc>
          <w:tcPr>
            <w:tcW w:type="dxa" w:w="3389"/>
            <w:tcMar>
              <w:top w:w="100" w:type="dxa"/>
              <w:start w:w="120" w:type="dxa"/>
              <w:bottom w:w="100" w:type="dxa"/>
              <w:end w:w="120" w:type="dxa"/>
            </w:tcMar>
          </w:tcPr>
          <w:p>
            <w:r>
              <w:rPr>
                <w:rFonts w:ascii="Aptos" w:hAnsi="Aptos"/>
                <w:b w:val="0"/>
                <w:i w:val="0"/>
                <w:sz w:val="21"/>
              </w:rPr>
              <w:t>Prettier can write and verify formatting.</w:t>
            </w:r>
          </w:p>
        </w:tc>
        <w:tc>
          <w:tcPr>
            <w:tcW w:type="dxa" w:w="3389"/>
            <w:tcMar>
              <w:top w:w="100" w:type="dxa"/>
              <w:start w:w="120" w:type="dxa"/>
              <w:bottom w:w="100" w:type="dxa"/>
              <w:end w:w="120" w:type="dxa"/>
            </w:tcMar>
          </w:tcPr>
          <w:p>
            <w:r>
              <w:rPr>
                <w:rFonts w:ascii="Aptos" w:hAnsi="Aptos"/>
                <w:b w:val="0"/>
                <w:i w:val="0"/>
                <w:sz w:val="21"/>
              </w:rPr>
              <w:t>pnpm format:check passes.</w:t>
            </w:r>
          </w:p>
        </w:tc>
      </w:tr>
      <w:tr>
        <w:tc>
          <w:tcPr>
            <w:tcW w:type="dxa" w:w="3389"/>
            <w:tcMar>
              <w:top w:w="100" w:type="dxa"/>
              <w:start w:w="120" w:type="dxa"/>
              <w:bottom w:w="100" w:type="dxa"/>
              <w:end w:w="120" w:type="dxa"/>
            </w:tcMar>
          </w:tcPr>
          <w:p>
            <w:r>
              <w:rPr>
                <w:rFonts w:ascii="Aptos" w:hAnsi="Aptos"/>
                <w:b/>
                <w:i w:val="0"/>
                <w:color w:val="15324B"/>
                <w:sz w:val="21"/>
              </w:rPr>
              <w:t>Linting</w:t>
            </w:r>
          </w:p>
        </w:tc>
        <w:tc>
          <w:tcPr>
            <w:tcW w:type="dxa" w:w="3389"/>
            <w:tcMar>
              <w:top w:w="100" w:type="dxa"/>
              <w:start w:w="120" w:type="dxa"/>
              <w:bottom w:w="100" w:type="dxa"/>
              <w:end w:w="120" w:type="dxa"/>
            </w:tcMar>
          </w:tcPr>
          <w:p>
            <w:r>
              <w:rPr>
                <w:rFonts w:ascii="Aptos" w:hAnsi="Aptos"/>
                <w:b w:val="0"/>
                <w:i w:val="0"/>
                <w:sz w:val="21"/>
              </w:rPr>
              <w:t>ESLint runs with zero warnings allowed.</w:t>
            </w:r>
          </w:p>
        </w:tc>
        <w:tc>
          <w:tcPr>
            <w:tcW w:type="dxa" w:w="3389"/>
            <w:tcMar>
              <w:top w:w="100" w:type="dxa"/>
              <w:start w:w="120" w:type="dxa"/>
              <w:bottom w:w="100" w:type="dxa"/>
              <w:end w:w="120" w:type="dxa"/>
            </w:tcMar>
          </w:tcPr>
          <w:p>
            <w:r>
              <w:rPr>
                <w:rFonts w:ascii="Aptos" w:hAnsi="Aptos"/>
                <w:b w:val="0"/>
                <w:i w:val="0"/>
                <w:sz w:val="21"/>
              </w:rPr>
              <w:t>pnpm lint passes.</w:t>
            </w:r>
          </w:p>
        </w:tc>
      </w:tr>
      <w:tr>
        <w:tc>
          <w:tcPr>
            <w:tcW w:type="dxa" w:w="3389"/>
            <w:tcMar>
              <w:top w:w="100" w:type="dxa"/>
              <w:start w:w="120" w:type="dxa"/>
              <w:bottom w:w="100" w:type="dxa"/>
              <w:end w:w="120" w:type="dxa"/>
            </w:tcMar>
          </w:tcPr>
          <w:p>
            <w:r>
              <w:rPr>
                <w:rFonts w:ascii="Aptos" w:hAnsi="Aptos"/>
                <w:b/>
                <w:i w:val="0"/>
                <w:color w:val="15324B"/>
                <w:sz w:val="21"/>
              </w:rPr>
              <w:t>Testing</w:t>
            </w:r>
          </w:p>
        </w:tc>
        <w:tc>
          <w:tcPr>
            <w:tcW w:type="dxa" w:w="3389"/>
            <w:tcMar>
              <w:top w:w="100" w:type="dxa"/>
              <w:start w:w="120" w:type="dxa"/>
              <w:bottom w:w="100" w:type="dxa"/>
              <w:end w:w="120" w:type="dxa"/>
            </w:tcMar>
          </w:tcPr>
          <w:p>
            <w:r>
              <w:rPr>
                <w:rFonts w:ascii="Aptos" w:hAnsi="Aptos"/>
                <w:b w:val="0"/>
                <w:i w:val="0"/>
                <w:sz w:val="21"/>
              </w:rPr>
              <w:t>Vitest runs deterministic unit tests.</w:t>
            </w:r>
          </w:p>
        </w:tc>
        <w:tc>
          <w:tcPr>
            <w:tcW w:type="dxa" w:w="3389"/>
            <w:tcMar>
              <w:top w:w="100" w:type="dxa"/>
              <w:start w:w="120" w:type="dxa"/>
              <w:bottom w:w="100" w:type="dxa"/>
              <w:end w:w="120" w:type="dxa"/>
            </w:tcMar>
          </w:tcPr>
          <w:p>
            <w:r>
              <w:rPr>
                <w:rFonts w:ascii="Aptos" w:hAnsi="Aptos"/>
                <w:b w:val="0"/>
                <w:i w:val="0"/>
                <w:sz w:val="21"/>
              </w:rPr>
              <w:t>pnpm test passes.</w:t>
            </w:r>
          </w:p>
        </w:tc>
      </w:tr>
      <w:tr>
        <w:tc>
          <w:tcPr>
            <w:tcW w:type="dxa" w:w="3389"/>
            <w:tcMar>
              <w:top w:w="100" w:type="dxa"/>
              <w:start w:w="120" w:type="dxa"/>
              <w:bottom w:w="100" w:type="dxa"/>
              <w:end w:w="120" w:type="dxa"/>
            </w:tcMar>
          </w:tcPr>
          <w:p>
            <w:r>
              <w:rPr>
                <w:rFonts w:ascii="Aptos" w:hAnsi="Aptos"/>
                <w:b/>
                <w:i w:val="0"/>
                <w:color w:val="15324B"/>
                <w:sz w:val="21"/>
              </w:rPr>
              <w:t>Documentation</w:t>
            </w:r>
          </w:p>
        </w:tc>
        <w:tc>
          <w:tcPr>
            <w:tcW w:type="dxa" w:w="3389"/>
            <w:tcMar>
              <w:top w:w="100" w:type="dxa"/>
              <w:start w:w="120" w:type="dxa"/>
              <w:bottom w:w="100" w:type="dxa"/>
              <w:end w:w="120" w:type="dxa"/>
            </w:tcMar>
          </w:tcPr>
          <w:p>
            <w:r>
              <w:rPr>
                <w:rFonts w:ascii="Aptos" w:hAnsi="Aptos"/>
                <w:b w:val="0"/>
                <w:i w:val="0"/>
                <w:sz w:val="21"/>
              </w:rPr>
              <w:t>Engineering standards and README commands are current.</w:t>
            </w:r>
          </w:p>
        </w:tc>
        <w:tc>
          <w:tcPr>
            <w:tcW w:type="dxa" w:w="3389"/>
            <w:tcMar>
              <w:top w:w="100" w:type="dxa"/>
              <w:start w:w="120" w:type="dxa"/>
              <w:bottom w:w="100" w:type="dxa"/>
              <w:end w:w="120" w:type="dxa"/>
            </w:tcMar>
          </w:tcPr>
          <w:p>
            <w:r>
              <w:rPr>
                <w:rFonts w:ascii="Aptos" w:hAnsi="Aptos"/>
                <w:b w:val="0"/>
                <w:i w:val="0"/>
                <w:sz w:val="21"/>
              </w:rPr>
              <w:t>Files reviewed and committed.</w:t>
            </w:r>
          </w:p>
        </w:tc>
      </w:tr>
    </w:tbl>
    <w:p>
      <w:pPr>
        <w:pStyle w:val="Heading2"/>
      </w:pPr>
      <w:r>
        <w:t>3.4 Files Expected to Change</w:t>
      </w:r>
    </w:p>
    <w:p>
      <w:pPr>
        <w:pStyle w:val="ListBullet"/>
        <w:spacing w:after="60"/>
      </w:pPr>
      <w:r>
        <w:rPr>
          <w:rFonts w:ascii="Aptos" w:hAnsi="Aptos"/>
          <w:b w:val="0"/>
          <w:i w:val="0"/>
          <w:sz w:val="21"/>
        </w:rPr>
        <w:t>package.json and pnpm-lock.yaml</w:t>
      </w:r>
    </w:p>
    <w:p>
      <w:pPr>
        <w:pStyle w:val="ListBullet"/>
        <w:spacing w:after="60"/>
      </w:pPr>
      <w:r>
        <w:rPr>
          <w:rFonts w:ascii="Aptos" w:hAnsi="Aptos"/>
          <w:b w:val="0"/>
          <w:i w:val="0"/>
          <w:sz w:val="21"/>
        </w:rPr>
        <w:t>electron.vite.config.ts</w:t>
      </w:r>
    </w:p>
    <w:p>
      <w:pPr>
        <w:pStyle w:val="ListBullet"/>
        <w:spacing w:after="60"/>
      </w:pPr>
      <w:r>
        <w:rPr>
          <w:rFonts w:ascii="Aptos" w:hAnsi="Aptos"/>
          <w:b w:val="0"/>
          <w:i w:val="0"/>
          <w:sz w:val="21"/>
        </w:rPr>
        <w:t>tsconfig.json, tsconfig.node.json, and tsconfig.web.json</w:t>
      </w:r>
    </w:p>
    <w:p>
      <w:pPr>
        <w:pStyle w:val="ListBullet"/>
        <w:spacing w:after="60"/>
      </w:pPr>
      <w:r>
        <w:rPr>
          <w:rFonts w:ascii="Aptos" w:hAnsi="Aptos"/>
          <w:b w:val="0"/>
          <w:i w:val="0"/>
          <w:sz w:val="21"/>
        </w:rPr>
        <w:t>eslint.config.mjs</w:t>
      </w:r>
    </w:p>
    <w:p>
      <w:pPr>
        <w:pStyle w:val="ListBullet"/>
        <w:spacing w:after="60"/>
      </w:pPr>
      <w:r>
        <w:rPr>
          <w:rFonts w:ascii="Aptos" w:hAnsi="Aptos"/>
          <w:b w:val="0"/>
          <w:i w:val="0"/>
          <w:sz w:val="21"/>
        </w:rPr>
        <w:t>.prettierrc.yaml and/or .prettierignore only when needed</w:t>
      </w:r>
    </w:p>
    <w:p>
      <w:pPr>
        <w:pStyle w:val="ListBullet"/>
        <w:spacing w:after="60"/>
      </w:pPr>
      <w:r>
        <w:rPr>
          <w:rFonts w:ascii="Aptos" w:hAnsi="Aptos"/>
          <w:b w:val="0"/>
          <w:i w:val="0"/>
          <w:sz w:val="21"/>
        </w:rPr>
        <w:t>vitest.config.ts</w:t>
      </w:r>
    </w:p>
    <w:p>
      <w:pPr>
        <w:pStyle w:val="ListBullet"/>
        <w:spacing w:after="60"/>
      </w:pPr>
      <w:r>
        <w:rPr>
          <w:rFonts w:ascii="Aptos" w:hAnsi="Aptos"/>
          <w:b w:val="0"/>
          <w:i w:val="0"/>
          <w:sz w:val="21"/>
        </w:rPr>
        <w:t>tests/unit/bootstrap.test.ts or equivalent focused unit-test files</w:t>
      </w:r>
    </w:p>
    <w:p>
      <w:pPr>
        <w:pStyle w:val="ListBullet"/>
        <w:spacing w:after="60"/>
      </w:pPr>
      <w:r>
        <w:rPr>
          <w:rFonts w:ascii="Aptos" w:hAnsi="Aptos"/>
          <w:b w:val="0"/>
          <w:i w:val="0"/>
          <w:sz w:val="21"/>
        </w:rPr>
        <w:t>README.md</w:t>
      </w:r>
    </w:p>
    <w:p>
      <w:pPr>
        <w:pStyle w:val="ListBullet"/>
        <w:spacing w:after="60"/>
      </w:pPr>
      <w:r>
        <w:rPr>
          <w:rFonts w:ascii="Aptos" w:hAnsi="Aptos"/>
          <w:b w:val="0"/>
          <w:i w:val="0"/>
          <w:sz w:val="21"/>
        </w:rPr>
        <w:t>docs/engineering-standards.md</w:t>
      </w:r>
    </w:p>
    <w:p>
      <w:pPr>
        <w:pStyle w:val="ListBullet"/>
        <w:spacing w:after="60"/>
      </w:pPr>
      <w:r>
        <w:rPr>
          <w:rFonts w:ascii="Aptos" w:hAnsi="Aptos"/>
          <w:b w:val="0"/>
          <w:i w:val="0"/>
          <w:sz w:val="21"/>
        </w:rPr>
        <w:t>import statements affected by alias adoption</w:t>
      </w:r>
    </w:p>
    <w:p>
      <w:r>
        <w:rPr>
          <w:rFonts w:ascii="Aptos" w:hAnsi="Aptos"/>
          <w:b w:val="0"/>
          <w:i/>
          <w:color w:val="4B5563"/>
          <w:sz w:val="21"/>
        </w:rPr>
        <w:t>Codex may modify another configuration file only when it is required to make the stated commands pass. Every additional file must be listed in the completion report.</w:t>
      </w:r>
    </w:p>
    <w:p>
      <w:pPr>
        <w:pStyle w:val="Heading2"/>
      </w:pPr>
      <w:r>
        <w:t>3.5 Package Scripts</w:t>
      </w:r>
    </w:p>
    <w:p>
      <w:r>
        <w:rPr>
          <w:rFonts w:ascii="Aptos" w:hAnsi="Aptos"/>
          <w:b w:val="0"/>
          <w:i w:val="0"/>
          <w:sz w:val="21"/>
        </w:rPr>
        <w:t>The final package.json must provide equivalent scripts for:</w:t>
      </w:r>
    </w:p>
    <w:p>
      <w:pPr>
        <w:pStyle w:val="CodeBlock"/>
        <w:keepLines/>
      </w:pPr>
      <w:r>
        <w:rPr>
          <w:rFonts w:ascii="Consolas" w:hAnsi="Consolas"/>
          <w:b w:val="0"/>
          <w:i w:val="0"/>
          <w:sz w:val="18"/>
        </w:rPr>
        <w:t>pnpm format</w:t>
      </w:r>
      <w:r>
        <w:br/>
      </w:r>
      <w:r>
        <w:rPr>
          <w:rFonts w:ascii="Consolas" w:hAnsi="Consolas"/>
          <w:b w:val="0"/>
          <w:i w:val="0"/>
          <w:sz w:val="18"/>
        </w:rPr>
        <w:t>pnpm format:check</w:t>
      </w:r>
      <w:r>
        <w:br/>
      </w:r>
      <w:r>
        <w:rPr>
          <w:rFonts w:ascii="Consolas" w:hAnsi="Consolas"/>
          <w:b w:val="0"/>
          <w:i w:val="0"/>
          <w:sz w:val="18"/>
        </w:rPr>
        <w:t>pnpm lint</w:t>
      </w:r>
      <w:r>
        <w:br/>
      </w:r>
      <w:r>
        <w:rPr>
          <w:rFonts w:ascii="Consolas" w:hAnsi="Consolas"/>
          <w:b w:val="0"/>
          <w:i w:val="0"/>
          <w:sz w:val="18"/>
        </w:rPr>
        <w:t>pnpm typecheck</w:t>
      </w:r>
      <w:r>
        <w:br/>
      </w:r>
      <w:r>
        <w:rPr>
          <w:rFonts w:ascii="Consolas" w:hAnsi="Consolas"/>
          <w:b w:val="0"/>
          <w:i w:val="0"/>
          <w:sz w:val="18"/>
        </w:rPr>
        <w:t>pnpm test</w:t>
      </w:r>
      <w:r>
        <w:br/>
      </w:r>
      <w:r>
        <w:rPr>
          <w:rFonts w:ascii="Consolas" w:hAnsi="Consolas"/>
          <w:b w:val="0"/>
          <w:i w:val="0"/>
          <w:sz w:val="18"/>
        </w:rPr>
        <w:t>pnpm test:unit</w:t>
      </w:r>
      <w:r>
        <w:br/>
      </w:r>
      <w:r>
        <w:rPr>
          <w:rFonts w:ascii="Consolas" w:hAnsi="Consolas"/>
          <w:b w:val="0"/>
          <w:i w:val="0"/>
          <w:sz w:val="18"/>
        </w:rPr>
        <w:t>pnpm test:watch</w:t>
      </w:r>
      <w:r>
        <w:br/>
      </w:r>
      <w:r>
        <w:rPr>
          <w:rFonts w:ascii="Consolas" w:hAnsi="Consolas"/>
          <w:b w:val="0"/>
          <w:i w:val="0"/>
          <w:sz w:val="18"/>
        </w:rPr>
        <w:t>pnpm verify</w:t>
      </w:r>
      <w:r>
        <w:br/>
      </w:r>
      <w:r>
        <w:rPr>
          <w:rFonts w:ascii="Consolas" w:hAnsi="Consolas"/>
          <w:b w:val="0"/>
          <w:i w:val="0"/>
          <w:sz w:val="18"/>
        </w:rPr>
        <w:t>pnpm build</w:t>
      </w:r>
      <w:r>
        <w:br/>
      </w:r>
      <w:r>
        <w:rPr>
          <w:rFonts w:ascii="Consolas" w:hAnsi="Consolas"/>
          <w:b w:val="0"/>
          <w:i w:val="0"/>
          <w:sz w:val="18"/>
        </w:rPr>
        <w:t>pnpm dev</w:t>
      </w:r>
    </w:p>
    <w:p>
      <w:r>
        <w:rPr>
          <w:rFonts w:ascii="Aptos" w:hAnsi="Aptos"/>
          <w:b/>
          <w:i w:val="0"/>
          <w:sz w:val="21"/>
        </w:rPr>
        <w:t>Recommended behavior:</w:t>
      </w:r>
    </w:p>
    <w:p>
      <w:pPr>
        <w:pStyle w:val="ListBullet2"/>
        <w:spacing w:after="60"/>
      </w:pPr>
      <w:r>
        <w:rPr>
          <w:rFonts w:ascii="Aptos" w:hAnsi="Aptos"/>
          <w:b w:val="0"/>
          <w:i w:val="0"/>
          <w:sz w:val="21"/>
        </w:rPr>
        <w:t>format: Prettier write mode.</w:t>
      </w:r>
    </w:p>
    <w:p>
      <w:pPr>
        <w:pStyle w:val="ListBullet2"/>
        <w:spacing w:after="60"/>
      </w:pPr>
      <w:r>
        <w:rPr>
          <w:rFonts w:ascii="Aptos" w:hAnsi="Aptos"/>
          <w:b w:val="0"/>
          <w:i w:val="0"/>
          <w:sz w:val="21"/>
        </w:rPr>
        <w:t>format:check: Prettier check mode.</w:t>
      </w:r>
    </w:p>
    <w:p>
      <w:pPr>
        <w:pStyle w:val="ListBullet2"/>
        <w:spacing w:after="60"/>
      </w:pPr>
      <w:r>
        <w:rPr>
          <w:rFonts w:ascii="Aptos" w:hAnsi="Aptos"/>
          <w:b w:val="0"/>
          <w:i w:val="0"/>
          <w:sz w:val="21"/>
        </w:rPr>
        <w:t>lint: ESLint with --max-warnings=0.</w:t>
      </w:r>
    </w:p>
    <w:p>
      <w:pPr>
        <w:pStyle w:val="ListBullet2"/>
        <w:spacing w:after="60"/>
      </w:pPr>
      <w:r>
        <w:rPr>
          <w:rFonts w:ascii="Aptos" w:hAnsi="Aptos"/>
          <w:b w:val="0"/>
          <w:i w:val="0"/>
          <w:sz w:val="21"/>
        </w:rPr>
        <w:t>test and test:unit: Vitest run mode.</w:t>
      </w:r>
    </w:p>
    <w:p>
      <w:pPr>
        <w:pStyle w:val="ListBullet2"/>
        <w:spacing w:after="60"/>
      </w:pPr>
      <w:r>
        <w:rPr>
          <w:rFonts w:ascii="Aptos" w:hAnsi="Aptos"/>
          <w:b w:val="0"/>
          <w:i w:val="0"/>
          <w:sz w:val="21"/>
        </w:rPr>
        <w:t>test:watch: Vitest watch mode.</w:t>
      </w:r>
    </w:p>
    <w:p>
      <w:pPr>
        <w:pStyle w:val="ListBullet2"/>
        <w:spacing w:after="60"/>
      </w:pPr>
      <w:r>
        <w:rPr>
          <w:rFonts w:ascii="Aptos" w:hAnsi="Aptos"/>
          <w:b w:val="0"/>
          <w:i w:val="0"/>
          <w:sz w:val="21"/>
        </w:rPr>
        <w:t>verify: format:check, lint, typecheck, and test.</w:t>
      </w:r>
    </w:p>
    <w:p>
      <w:pPr>
        <w:pStyle w:val="Heading2"/>
      </w:pPr>
      <w:r>
        <w:t>3.6 Tests</w:t>
      </w:r>
    </w:p>
    <w:p>
      <w:pPr>
        <w:pStyle w:val="ListNumber"/>
        <w:spacing w:after="60"/>
      </w:pPr>
      <w:r>
        <w:rPr>
          <w:rFonts w:ascii="Aptos" w:hAnsi="Aptos"/>
          <w:b w:val="0"/>
          <w:i w:val="0"/>
          <w:sz w:val="21"/>
        </w:rPr>
        <w:t>Create a unit test that imports applicationStatus through the @shared alias and verifies the expected application name, engineering-foundation status, and false implementation flags.</w:t>
      </w:r>
    </w:p>
    <w:p>
      <w:pPr>
        <w:pStyle w:val="ListNumber"/>
        <w:spacing w:after="60"/>
      </w:pPr>
      <w:r>
        <w:rPr>
          <w:rFonts w:ascii="Aptos" w:hAnsi="Aptos"/>
          <w:b w:val="0"/>
          <w:i w:val="0"/>
          <w:sz w:val="21"/>
        </w:rPr>
        <w:t>Create a unit test that calls getApplicationStatus through an extracted pure helper or the existing bootstrap object design and verifies callers cannot mutate the shared source object through the returned copy. Do not import Electron into the test.</w:t>
      </w:r>
    </w:p>
    <w:p>
      <w:pPr>
        <w:pStyle w:val="ListNumber"/>
        <w:spacing w:after="60"/>
      </w:pPr>
      <w:r>
        <w:rPr>
          <w:rFonts w:ascii="Aptos" w:hAnsi="Aptos"/>
          <w:b w:val="0"/>
          <w:i w:val="0"/>
          <w:sz w:val="21"/>
        </w:rPr>
        <w:t>Keep tests independent from the Electron runtime and filesystem.</w:t>
      </w:r>
    </w:p>
    <w:p>
      <w:pPr>
        <w:pStyle w:val="ListNumber"/>
        <w:spacing w:after="60"/>
      </w:pPr>
      <w:r>
        <w:rPr>
          <w:rFonts w:ascii="Aptos" w:hAnsi="Aptos"/>
          <w:b w:val="0"/>
          <w:i w:val="0"/>
          <w:sz w:val="21"/>
        </w:rPr>
        <w:t>Ensure test filenames and locations follow the documented engineering standards.</w:t>
      </w:r>
    </w:p>
    <w:p>
      <w:pPr>
        <w:pStyle w:val="ListNumber"/>
        <w:spacing w:after="60"/>
      </w:pPr>
      <w:r>
        <w:rPr>
          <w:rFonts w:ascii="Aptos" w:hAnsi="Aptos"/>
          <w:b w:val="0"/>
          <w:i w:val="0"/>
          <w:sz w:val="21"/>
        </w:rPr>
        <w:t>Do not add placeholder tests that only assert true equals true.</w:t>
      </w:r>
    </w:p>
    <w:p>
      <w:pPr>
        <w:pStyle w:val="Heading2"/>
      </w:pPr>
      <w:r>
        <w:t>3.7 Boundary Verification</w:t>
      </w:r>
    </w:p>
    <w:p>
      <w:r>
        <w:rPr>
          <w:rFonts w:ascii="Aptos" w:hAnsi="Aptos"/>
          <w:b w:val="0"/>
          <w:i w:val="0"/>
          <w:sz w:val="21"/>
        </w:rPr>
        <w:t>The renderer boundary must be enforced by configuration, not only documentation. Codex must verify the rule by one of these methods:</w:t>
      </w:r>
    </w:p>
    <w:p>
      <w:pPr>
        <w:pStyle w:val="ListBullet"/>
        <w:spacing w:after="60"/>
      </w:pPr>
      <w:r>
        <w:rPr>
          <w:rFonts w:ascii="Aptos" w:hAnsi="Aptos"/>
          <w:b w:val="0"/>
          <w:i w:val="0"/>
          <w:sz w:val="21"/>
        </w:rPr>
        <w:t>Add a small ESLint rule test fixture outside compiled source and run ESLint against it; or</w:t>
      </w:r>
    </w:p>
    <w:p>
      <w:pPr>
        <w:pStyle w:val="ListBullet"/>
        <w:spacing w:after="60"/>
      </w:pPr>
      <w:r>
        <w:rPr>
          <w:rFonts w:ascii="Aptos" w:hAnsi="Aptos"/>
          <w:b w:val="0"/>
          <w:i w:val="0"/>
          <w:sz w:val="21"/>
        </w:rPr>
        <w:t>Temporarily introduce a prohibited renderer import, show that pnpm lint fails, remove it, and document the negative-test result in the completion report.</w:t>
      </w:r>
    </w:p>
    <w:p>
      <w:r>
        <w:rPr>
          <w:rFonts w:ascii="Aptos" w:hAnsi="Aptos"/>
          <w:b w:val="0"/>
          <w:i/>
          <w:color w:val="9C2F2F"/>
          <w:sz w:val="21"/>
        </w:rPr>
        <w:t>Do not leave intentionally failing fixture files in the ordinary lint path.</w:t>
      </w:r>
    </w:p>
    <w:p>
      <w:pPr>
        <w:pStyle w:val="Heading2"/>
      </w:pPr>
      <w:r>
        <w:t>3.8 Commands to Run</w:t>
      </w:r>
    </w:p>
    <w:p>
      <w:pPr>
        <w:pStyle w:val="CodeBlock"/>
        <w:keepLines/>
      </w:pPr>
      <w:r>
        <w:rPr>
          <w:rFonts w:ascii="Consolas" w:hAnsi="Consolas"/>
          <w:b w:val="0"/>
          <w:i w:val="0"/>
          <w:sz w:val="18"/>
        </w:rPr>
        <w:t>pnpm install</w:t>
      </w:r>
      <w:r>
        <w:br/>
      </w:r>
      <w:r>
        <w:rPr>
          <w:rFonts w:ascii="Consolas" w:hAnsi="Consolas"/>
          <w:b w:val="0"/>
          <w:i w:val="0"/>
          <w:sz w:val="18"/>
        </w:rPr>
        <w:t>pnpm format:check</w:t>
      </w:r>
      <w:r>
        <w:br/>
      </w:r>
      <w:r>
        <w:rPr>
          <w:rFonts w:ascii="Consolas" w:hAnsi="Consolas"/>
          <w:b w:val="0"/>
          <w:i w:val="0"/>
          <w:sz w:val="18"/>
        </w:rPr>
        <w:t>pnpm lint</w:t>
      </w:r>
      <w:r>
        <w:br/>
      </w:r>
      <w:r>
        <w:rPr>
          <w:rFonts w:ascii="Consolas" w:hAnsi="Consolas"/>
          <w:b w:val="0"/>
          <w:i w:val="0"/>
          <w:sz w:val="18"/>
        </w:rPr>
        <w:t>pnpm typecheck</w:t>
      </w:r>
      <w:r>
        <w:br/>
      </w:r>
      <w:r>
        <w:rPr>
          <w:rFonts w:ascii="Consolas" w:hAnsi="Consolas"/>
          <w:b w:val="0"/>
          <w:i w:val="0"/>
          <w:sz w:val="18"/>
        </w:rPr>
        <w:t>pnpm test</w:t>
      </w:r>
      <w:r>
        <w:br/>
      </w:r>
      <w:r>
        <w:rPr>
          <w:rFonts w:ascii="Consolas" w:hAnsi="Consolas"/>
          <w:b w:val="0"/>
          <w:i w:val="0"/>
          <w:sz w:val="18"/>
        </w:rPr>
        <w:t>pnpm verify</w:t>
      </w:r>
      <w:r>
        <w:br/>
      </w:r>
      <w:r>
        <w:rPr>
          <w:rFonts w:ascii="Consolas" w:hAnsi="Consolas"/>
          <w:b w:val="0"/>
          <w:i w:val="0"/>
          <w:sz w:val="18"/>
        </w:rPr>
        <w:t>pnpm build</w:t>
      </w:r>
      <w:r>
        <w:br/>
      </w:r>
      <w:r>
        <w:rPr>
          <w:rFonts w:ascii="Consolas" w:hAnsi="Consolas"/>
          <w:b w:val="0"/>
          <w:i w:val="0"/>
          <w:sz w:val="18"/>
        </w:rPr>
        <w:t>pnpm dev</w:t>
      </w:r>
    </w:p>
    <w:p>
      <w:r>
        <w:rPr>
          <w:rFonts w:ascii="Aptos" w:hAnsi="Aptos"/>
          <w:b w:val="0"/>
          <w:i w:val="0"/>
          <w:sz w:val="21"/>
        </w:rPr>
        <w:t>pnpm dev is a visual smoke test. Confirm that the HSD-001 placeholder still opens and that no console or terminal error appears.</w:t>
      </w:r>
    </w:p>
    <w:p>
      <w:pPr>
        <w:pStyle w:val="Heading2"/>
      </w:pPr>
      <w:r>
        <w:t>3.9 Acceptance Criteria</w:t>
      </w:r>
    </w:p>
    <w:p>
      <w:pPr>
        <w:pStyle w:val="ListBullet"/>
        <w:spacing w:after="60"/>
      </w:pPr>
      <w:r>
        <w:rPr>
          <w:rFonts w:ascii="Aptos" w:hAnsi="Aptos"/>
          <w:b w:val="0"/>
          <w:i w:val="0"/>
          <w:sz w:val="21"/>
        </w:rPr>
        <w:t>All required commands complete successfully.</w:t>
      </w:r>
    </w:p>
    <w:p>
      <w:pPr>
        <w:pStyle w:val="ListBullet"/>
        <w:spacing w:after="60"/>
      </w:pPr>
      <w:r>
        <w:rPr>
          <w:rFonts w:ascii="Aptos" w:hAnsi="Aptos"/>
          <w:b w:val="0"/>
          <w:i w:val="0"/>
          <w:sz w:val="21"/>
        </w:rPr>
        <w:t>TypeScript strictness is explicit in the project configuration.</w:t>
      </w:r>
    </w:p>
    <w:p>
      <w:pPr>
        <w:pStyle w:val="ListBullet"/>
        <w:spacing w:after="60"/>
      </w:pPr>
      <w:r>
        <w:rPr>
          <w:rFonts w:ascii="Aptos" w:hAnsi="Aptos"/>
          <w:b w:val="0"/>
          <w:i w:val="0"/>
          <w:sz w:val="21"/>
        </w:rPr>
        <w:t>@shared alias works in production code and unit tests.</w:t>
      </w:r>
    </w:p>
    <w:p>
      <w:pPr>
        <w:pStyle w:val="ListBullet"/>
        <w:spacing w:after="60"/>
      </w:pPr>
      <w:r>
        <w:rPr>
          <w:rFonts w:ascii="Aptos" w:hAnsi="Aptos"/>
          <w:b w:val="0"/>
          <w:i w:val="0"/>
          <w:sz w:val="21"/>
        </w:rPr>
        <w:t>Renderer imports from trusted process code, Electron, and Node built-ins are prohibited by ESLint.</w:t>
      </w:r>
    </w:p>
    <w:p>
      <w:pPr>
        <w:pStyle w:val="ListBullet"/>
        <w:spacing w:after="60"/>
      </w:pPr>
      <w:r>
        <w:rPr>
          <w:rFonts w:ascii="Aptos" w:hAnsi="Aptos"/>
          <w:b w:val="0"/>
          <w:i w:val="0"/>
          <w:sz w:val="21"/>
        </w:rPr>
        <w:t>ESLint exits nonzero on warnings or errors.</w:t>
      </w:r>
    </w:p>
    <w:p>
      <w:pPr>
        <w:pStyle w:val="ListBullet"/>
        <w:spacing w:after="60"/>
      </w:pPr>
      <w:r>
        <w:rPr>
          <w:rFonts w:ascii="Aptos" w:hAnsi="Aptos"/>
          <w:b w:val="0"/>
          <w:i w:val="0"/>
          <w:sz w:val="21"/>
        </w:rPr>
        <w:t>Prettier check mode passes without modifying files.</w:t>
      </w:r>
    </w:p>
    <w:p>
      <w:pPr>
        <w:pStyle w:val="ListBullet"/>
        <w:spacing w:after="60"/>
      </w:pPr>
      <w:r>
        <w:rPr>
          <w:rFonts w:ascii="Aptos" w:hAnsi="Aptos"/>
          <w:b w:val="0"/>
          <w:i w:val="0"/>
          <w:sz w:val="21"/>
        </w:rPr>
        <w:t>At least two meaningful Vitest unit tests pass.</w:t>
      </w:r>
    </w:p>
    <w:p>
      <w:pPr>
        <w:pStyle w:val="ListBullet"/>
        <w:spacing w:after="60"/>
      </w:pPr>
      <w:r>
        <w:rPr>
          <w:rFonts w:ascii="Aptos" w:hAnsi="Aptos"/>
          <w:b w:val="0"/>
          <w:i w:val="0"/>
          <w:sz w:val="21"/>
        </w:rPr>
        <w:t>The existing Electron placeholder window still launches.</w:t>
      </w:r>
    </w:p>
    <w:p>
      <w:pPr>
        <w:pStyle w:val="ListBullet"/>
        <w:spacing w:after="60"/>
      </w:pPr>
      <w:r>
        <w:rPr>
          <w:rFonts w:ascii="Aptos" w:hAnsi="Aptos"/>
          <w:b w:val="0"/>
          <w:i w:val="0"/>
          <w:sz w:val="21"/>
        </w:rPr>
        <w:t>No clinical, database, authentication, routing, navigation, styling-system, or sync behavior is added.</w:t>
      </w:r>
    </w:p>
    <w:p>
      <w:pPr>
        <w:pStyle w:val="ListBullet"/>
        <w:spacing w:after="60"/>
      </w:pPr>
      <w:r>
        <w:rPr>
          <w:rFonts w:ascii="Aptos" w:hAnsi="Aptos"/>
          <w:b w:val="0"/>
          <w:i w:val="0"/>
          <w:sz w:val="21"/>
        </w:rPr>
        <w:t>README.md and docs/engineering-standards.md accurately describe the quality workflow.</w:t>
      </w:r>
    </w:p>
    <w:p>
      <w:pPr>
        <w:pStyle w:val="ListBullet"/>
        <w:spacing w:after="60"/>
      </w:pPr>
      <w:r>
        <w:rPr>
          <w:rFonts w:ascii="Aptos" w:hAnsi="Aptos"/>
          <w:b w:val="0"/>
          <w:i w:val="0"/>
          <w:sz w:val="21"/>
        </w:rPr>
        <w:t>Working tree is clean after the final commit.</w:t>
      </w:r>
    </w:p>
    <w:p>
      <w:pPr>
        <w:pStyle w:val="Heading2"/>
      </w:pPr>
      <w:r>
        <w:t>3.10 Out of Scope</w:t>
      </w:r>
    </w:p>
    <w:p>
      <w:pPr>
        <w:pStyle w:val="ListBullet"/>
        <w:spacing w:after="60"/>
      </w:pPr>
      <w:r>
        <w:rPr>
          <w:rFonts w:ascii="Aptos" w:hAnsi="Aptos"/>
          <w:b w:val="0"/>
          <w:i w:val="0"/>
          <w:sz w:val="21"/>
        </w:rPr>
        <w:t>GitHub Actions or any CI workflow</w:t>
      </w:r>
    </w:p>
    <w:p>
      <w:pPr>
        <w:pStyle w:val="ListBullet"/>
        <w:spacing w:after="60"/>
      </w:pPr>
      <w:r>
        <w:rPr>
          <w:rFonts w:ascii="Aptos" w:hAnsi="Aptos"/>
          <w:b w:val="0"/>
          <w:i w:val="0"/>
          <w:sz w:val="21"/>
        </w:rPr>
        <w:t>BrowserWindow hardening beyond changes strictly needed for tooling</w:t>
      </w:r>
    </w:p>
    <w:p>
      <w:pPr>
        <w:pStyle w:val="ListBullet"/>
        <w:spacing w:after="60"/>
      </w:pPr>
      <w:r>
        <w:rPr>
          <w:rFonts w:ascii="Aptos" w:hAnsi="Aptos"/>
          <w:b w:val="0"/>
          <w:i w:val="0"/>
          <w:sz w:val="21"/>
        </w:rPr>
        <w:t>New preload or business IPC methods</w:t>
      </w:r>
    </w:p>
    <w:p>
      <w:pPr>
        <w:pStyle w:val="ListBullet"/>
        <w:spacing w:after="60"/>
      </w:pPr>
      <w:r>
        <w:rPr>
          <w:rFonts w:ascii="Aptos" w:hAnsi="Aptos"/>
          <w:b w:val="0"/>
          <w:i w:val="0"/>
          <w:sz w:val="21"/>
        </w:rPr>
        <w:t>Tailwind CSS or the final clinical design system</w:t>
      </w:r>
    </w:p>
    <w:p>
      <w:pPr>
        <w:pStyle w:val="ListBullet"/>
        <w:spacing w:after="60"/>
      </w:pPr>
      <w:r>
        <w:rPr>
          <w:rFonts w:ascii="Aptos" w:hAnsi="Aptos"/>
          <w:b w:val="0"/>
          <w:i w:val="0"/>
          <w:sz w:val="21"/>
        </w:rPr>
        <w:t>React Router, protected routes, or screen placeholders</w:t>
      </w:r>
    </w:p>
    <w:p>
      <w:pPr>
        <w:pStyle w:val="ListBullet"/>
        <w:spacing w:after="60"/>
      </w:pPr>
      <w:r>
        <w:rPr>
          <w:rFonts w:ascii="Aptos" w:hAnsi="Aptos"/>
          <w:b w:val="0"/>
          <w:i w:val="0"/>
          <w:sz w:val="21"/>
        </w:rPr>
        <w:t>React Testing Library, Playwright, jsdom, or happy-dom</w:t>
      </w:r>
    </w:p>
    <w:p>
      <w:pPr>
        <w:pStyle w:val="ListBullet"/>
        <w:spacing w:after="60"/>
      </w:pPr>
      <w:r>
        <w:rPr>
          <w:rFonts w:ascii="Aptos" w:hAnsi="Aptos"/>
          <w:b w:val="0"/>
          <w:i w:val="0"/>
          <w:sz w:val="21"/>
        </w:rPr>
        <w:t>Zod, React Hook Form, Zustand, Recharts, or date-fns</w:t>
      </w:r>
    </w:p>
    <w:p>
      <w:pPr>
        <w:pStyle w:val="ListBullet"/>
        <w:spacing w:after="60"/>
      </w:pPr>
      <w:r>
        <w:rPr>
          <w:rFonts w:ascii="Aptos" w:hAnsi="Aptos"/>
          <w:b w:val="0"/>
          <w:i w:val="0"/>
          <w:sz w:val="21"/>
        </w:rPr>
        <w:t>SQLite, migrations, repositories, authentication, users, locations, or clinical data</w:t>
      </w:r>
    </w:p>
    <w:p>
      <w:pPr>
        <w:pStyle w:val="ListBullet"/>
        <w:spacing w:after="60"/>
      </w:pPr>
      <w:r>
        <w:rPr>
          <w:rFonts w:ascii="Aptos" w:hAnsi="Aptos"/>
          <w:b w:val="0"/>
          <w:i w:val="0"/>
          <w:sz w:val="21"/>
        </w:rPr>
        <w:t>Packaging or installer changes</w:t>
      </w:r>
    </w:p>
    <w:p>
      <w:pPr>
        <w:pStyle w:val="ListBullet"/>
        <w:spacing w:after="60"/>
      </w:pPr>
      <w:r>
        <w:rPr>
          <w:rFonts w:ascii="Aptos" w:hAnsi="Aptos"/>
          <w:b w:val="0"/>
          <w:i w:val="0"/>
          <w:sz w:val="21"/>
        </w:rPr>
        <w:t>Remote APIs, synchronization, FHIR, or web application code</w:t>
      </w:r>
    </w:p>
    <w:p>
      <w:pPr>
        <w:pStyle w:val="Heading2"/>
      </w:pPr>
      <w:r>
        <w:t>3.11 Completion Evidence Required from Codex</w:t>
      </w:r>
    </w:p>
    <w:p>
      <w:pPr>
        <w:pStyle w:val="ListNumber"/>
        <w:spacing w:after="60"/>
      </w:pPr>
      <w:r>
        <w:rPr>
          <w:rFonts w:ascii="Aptos" w:hAnsi="Aptos"/>
          <w:b w:val="0"/>
          <w:i w:val="0"/>
          <w:sz w:val="21"/>
        </w:rPr>
        <w:t>Concise summary of configuration changes.</w:t>
      </w:r>
    </w:p>
    <w:p>
      <w:pPr>
        <w:pStyle w:val="ListNumber"/>
        <w:spacing w:after="60"/>
      </w:pPr>
      <w:r>
        <w:rPr>
          <w:rFonts w:ascii="Aptos" w:hAnsi="Aptos"/>
          <w:b w:val="0"/>
          <w:i w:val="0"/>
          <w:sz w:val="21"/>
        </w:rPr>
        <w:t>Complete list of created and modified files.</w:t>
      </w:r>
    </w:p>
    <w:p>
      <w:pPr>
        <w:pStyle w:val="ListNumber"/>
        <w:spacing w:after="60"/>
      </w:pPr>
      <w:r>
        <w:rPr>
          <w:rFonts w:ascii="Aptos" w:hAnsi="Aptos"/>
          <w:b w:val="0"/>
          <w:i w:val="0"/>
          <w:sz w:val="21"/>
        </w:rPr>
        <w:t>Final package scripts.</w:t>
      </w:r>
    </w:p>
    <w:p>
      <w:pPr>
        <w:pStyle w:val="ListNumber"/>
        <w:spacing w:after="60"/>
      </w:pPr>
      <w:r>
        <w:rPr>
          <w:rFonts w:ascii="Aptos" w:hAnsi="Aptos"/>
          <w:b w:val="0"/>
          <w:i w:val="0"/>
          <w:sz w:val="21"/>
        </w:rPr>
        <w:t>Exact TypeScript strict settings added or confirmed.</w:t>
      </w:r>
    </w:p>
    <w:p>
      <w:pPr>
        <w:pStyle w:val="ListNumber"/>
        <w:spacing w:after="60"/>
      </w:pPr>
      <w:r>
        <w:rPr>
          <w:rFonts w:ascii="Aptos" w:hAnsi="Aptos"/>
          <w:b w:val="0"/>
          <w:i w:val="0"/>
          <w:sz w:val="21"/>
        </w:rPr>
        <w:t>Alias map and allowed import directions.</w:t>
      </w:r>
    </w:p>
    <w:p>
      <w:pPr>
        <w:pStyle w:val="ListNumber"/>
        <w:spacing w:after="60"/>
      </w:pPr>
      <w:r>
        <w:rPr>
          <w:rFonts w:ascii="Aptos" w:hAnsi="Aptos"/>
          <w:b w:val="0"/>
          <w:i w:val="0"/>
          <w:sz w:val="21"/>
        </w:rPr>
        <w:t>Explanation of the ESLint renderer-boundary enforcement.</w:t>
      </w:r>
    </w:p>
    <w:p>
      <w:pPr>
        <w:pStyle w:val="ListNumber"/>
        <w:spacing w:after="60"/>
      </w:pPr>
      <w:r>
        <w:rPr>
          <w:rFonts w:ascii="Aptos" w:hAnsi="Aptos"/>
          <w:b w:val="0"/>
          <w:i w:val="0"/>
          <w:sz w:val="21"/>
        </w:rPr>
        <w:t>Unit-test names and what each verifies.</w:t>
      </w:r>
    </w:p>
    <w:p>
      <w:pPr>
        <w:pStyle w:val="ListNumber"/>
        <w:spacing w:after="60"/>
      </w:pPr>
      <w:r>
        <w:rPr>
          <w:rFonts w:ascii="Aptos" w:hAnsi="Aptos"/>
          <w:b w:val="0"/>
          <w:i w:val="0"/>
          <w:sz w:val="21"/>
        </w:rPr>
        <w:t>Command results for format:check, lint, typecheck, test, verify, and build.</w:t>
      </w:r>
    </w:p>
    <w:p>
      <w:pPr>
        <w:pStyle w:val="ListNumber"/>
        <w:spacing w:after="60"/>
      </w:pPr>
      <w:r>
        <w:rPr>
          <w:rFonts w:ascii="Aptos" w:hAnsi="Aptos"/>
          <w:b w:val="0"/>
          <w:i w:val="0"/>
          <w:sz w:val="21"/>
        </w:rPr>
        <w:t>Description of the pnpm dev smoke test.</w:t>
      </w:r>
    </w:p>
    <w:p>
      <w:pPr>
        <w:pStyle w:val="ListNumber"/>
        <w:spacing w:after="60"/>
      </w:pPr>
      <w:r>
        <w:rPr>
          <w:rFonts w:ascii="Aptos" w:hAnsi="Aptos"/>
          <w:b w:val="0"/>
          <w:i w:val="0"/>
          <w:sz w:val="21"/>
        </w:rPr>
        <w:t>Result of the negative renderer-import lint check.</w:t>
      </w:r>
    </w:p>
    <w:p>
      <w:pPr>
        <w:pStyle w:val="ListNumber"/>
        <w:spacing w:after="60"/>
      </w:pPr>
      <w:r>
        <w:rPr>
          <w:rFonts w:ascii="Aptos" w:hAnsi="Aptos"/>
          <w:b w:val="0"/>
          <w:i w:val="0"/>
          <w:sz w:val="21"/>
        </w:rPr>
        <w:t>Confirmation that no out-of-scope feature was implemented.</w:t>
      </w:r>
    </w:p>
    <w:p>
      <w:pPr>
        <w:pStyle w:val="ListNumber"/>
        <w:spacing w:after="60"/>
      </w:pPr>
      <w:r>
        <w:rPr>
          <w:rFonts w:ascii="Aptos" w:hAnsi="Aptos"/>
          <w:b w:val="0"/>
          <w:i w:val="0"/>
          <w:sz w:val="21"/>
        </w:rPr>
        <w:t>Final git status and commit SHA.</w:t>
      </w:r>
    </w:p>
    <w:p>
      <w:pPr>
        <w:pStyle w:val="Heading1"/>
      </w:pPr>
      <w:r>
        <w:t>4. Developer Execution Procedure</w:t>
      </w:r>
    </w:p>
    <w:p>
      <w:r>
        <w:rPr>
          <w:rFonts w:ascii="Aptos" w:hAnsi="Aptos"/>
          <w:b w:val="0"/>
          <w:i w:val="0"/>
          <w:sz w:val="21"/>
        </w:rPr>
        <w:t>You are already on the correct feature branch. Before starting Codex, run:</w:t>
      </w:r>
    </w:p>
    <w:p>
      <w:pPr>
        <w:pStyle w:val="CodeBlock"/>
        <w:keepLines/>
      </w:pPr>
      <w:r>
        <w:rPr>
          <w:rFonts w:ascii="Consolas" w:hAnsi="Consolas"/>
          <w:b w:val="0"/>
          <w:i w:val="0"/>
          <w:sz w:val="18"/>
        </w:rPr>
        <w:t>git branch --show-current</w:t>
      </w:r>
      <w:r>
        <w:br/>
      </w:r>
      <w:r>
        <w:rPr>
          <w:rFonts w:ascii="Consolas" w:hAnsi="Consolas"/>
          <w:b w:val="0"/>
          <w:i w:val="0"/>
          <w:sz w:val="18"/>
        </w:rPr>
        <w:t>git status</w:t>
      </w:r>
      <w:r>
        <w:br/>
      </w:r>
      <w:r>
        <w:rPr>
          <w:rFonts w:ascii="Consolas" w:hAnsi="Consolas"/>
          <w:b w:val="0"/>
          <w:i w:val="0"/>
          <w:sz w:val="18"/>
        </w:rPr>
        <w:t>git log -1 --oneline</w:t>
      </w:r>
    </w:p>
    <w:p>
      <w:r>
        <w:rPr>
          <w:rFonts w:ascii="Aptos" w:hAnsi="Aptos"/>
          <w:b/>
          <w:i w:val="0"/>
          <w:sz w:val="21"/>
        </w:rPr>
        <w:t xml:space="preserve">Expected branch: </w:t>
      </w:r>
      <w:r>
        <w:rPr>
          <w:rFonts w:ascii="Consolas" w:hAnsi="Consolas"/>
          <w:b w:val="0"/>
          <w:i w:val="0"/>
          <w:sz w:val="19"/>
        </w:rPr>
        <w:t>feature/hsd-002-tooling-quality</w:t>
      </w:r>
    </w:p>
    <w:p>
      <w:r>
        <w:rPr>
          <w:rFonts w:ascii="Aptos" w:hAnsi="Aptos"/>
          <w:b/>
          <w:i w:val="0"/>
          <w:sz w:val="21"/>
        </w:rPr>
        <w:t xml:space="preserve">Expected working tree: </w:t>
      </w:r>
      <w:r>
        <w:rPr>
          <w:rFonts w:ascii="Consolas" w:hAnsi="Consolas"/>
          <w:b w:val="0"/>
          <w:i w:val="0"/>
          <w:sz w:val="19"/>
        </w:rPr>
        <w:t>clean</w:t>
      </w:r>
    </w:p>
    <w:p>
      <w:r>
        <w:rPr>
          <w:rFonts w:ascii="Aptos" w:hAnsi="Aptos"/>
          <w:b w:val="0"/>
          <w:i w:val="0"/>
          <w:sz w:val="21"/>
        </w:rPr>
        <w:t>After Codex finishes:</w:t>
      </w:r>
    </w:p>
    <w:p>
      <w:pPr>
        <w:pStyle w:val="CodeBlock"/>
        <w:keepLines/>
      </w:pPr>
      <w:r>
        <w:rPr>
          <w:rFonts w:ascii="Consolas" w:hAnsi="Consolas"/>
          <w:b w:val="0"/>
          <w:i w:val="0"/>
          <w:sz w:val="18"/>
        </w:rPr>
        <w:t>pnpm format:check</w:t>
      </w:r>
      <w:r>
        <w:br/>
      </w:r>
      <w:r>
        <w:rPr>
          <w:rFonts w:ascii="Consolas" w:hAnsi="Consolas"/>
          <w:b w:val="0"/>
          <w:i w:val="0"/>
          <w:sz w:val="18"/>
        </w:rPr>
        <w:t>pnpm lint</w:t>
      </w:r>
      <w:r>
        <w:br/>
      </w:r>
      <w:r>
        <w:rPr>
          <w:rFonts w:ascii="Consolas" w:hAnsi="Consolas"/>
          <w:b w:val="0"/>
          <w:i w:val="0"/>
          <w:sz w:val="18"/>
        </w:rPr>
        <w:t>pnpm typecheck</w:t>
      </w:r>
      <w:r>
        <w:br/>
      </w:r>
      <w:r>
        <w:rPr>
          <w:rFonts w:ascii="Consolas" w:hAnsi="Consolas"/>
          <w:b w:val="0"/>
          <w:i w:val="0"/>
          <w:sz w:val="18"/>
        </w:rPr>
        <w:t>pnpm test</w:t>
      </w:r>
      <w:r>
        <w:br/>
      </w:r>
      <w:r>
        <w:rPr>
          <w:rFonts w:ascii="Consolas" w:hAnsi="Consolas"/>
          <w:b w:val="0"/>
          <w:i w:val="0"/>
          <w:sz w:val="18"/>
        </w:rPr>
        <w:t>pnpm verify</w:t>
      </w:r>
      <w:r>
        <w:br/>
      </w:r>
      <w:r>
        <w:rPr>
          <w:rFonts w:ascii="Consolas" w:hAnsi="Consolas"/>
          <w:b w:val="0"/>
          <w:i w:val="0"/>
          <w:sz w:val="18"/>
        </w:rPr>
        <w:t>pnpm build</w:t>
      </w:r>
      <w:r>
        <w:br/>
      </w:r>
      <w:r>
        <w:rPr>
          <w:rFonts w:ascii="Consolas" w:hAnsi="Consolas"/>
          <w:b w:val="0"/>
          <w:i w:val="0"/>
          <w:sz w:val="18"/>
        </w:rPr>
        <w:t>pnpm dev</w:t>
      </w:r>
    </w:p>
    <w:p>
      <w:r>
        <w:rPr>
          <w:rFonts w:ascii="Aptos" w:hAnsi="Aptos"/>
          <w:b w:val="0"/>
          <w:i w:val="0"/>
          <w:sz w:val="21"/>
        </w:rPr>
        <w:t>Then commit and push only after all checks pass:</w:t>
      </w:r>
    </w:p>
    <w:p>
      <w:pPr>
        <w:pStyle w:val="CodeBlock"/>
        <w:keepLines/>
      </w:pPr>
      <w:r>
        <w:rPr>
          <w:rFonts w:ascii="Consolas" w:hAnsi="Consolas"/>
          <w:b w:val="0"/>
          <w:i w:val="0"/>
          <w:sz w:val="18"/>
        </w:rPr>
        <w:t>git status</w:t>
      </w:r>
      <w:r>
        <w:br/>
      </w:r>
      <w:r>
        <w:rPr>
          <w:rFonts w:ascii="Consolas" w:hAnsi="Consolas"/>
          <w:b w:val="0"/>
          <w:i w:val="0"/>
          <w:sz w:val="18"/>
        </w:rPr>
        <w:t>git add .</w:t>
      </w:r>
      <w:r>
        <w:br/>
      </w:r>
      <w:r>
        <w:rPr>
          <w:rFonts w:ascii="Consolas" w:hAnsi="Consolas"/>
          <w:b w:val="0"/>
          <w:i w:val="0"/>
          <w:sz w:val="18"/>
        </w:rPr>
        <w:t>git commit -m "chore: configure tooling and quality gates"</w:t>
      </w:r>
      <w:r>
        <w:br/>
      </w:r>
      <w:r>
        <w:rPr>
          <w:rFonts w:ascii="Consolas" w:hAnsi="Consolas"/>
          <w:b w:val="0"/>
          <w:i w:val="0"/>
          <w:sz w:val="18"/>
        </w:rPr>
        <w:t>git push -u origin feature/hsd-002-tooling-quality</w:t>
      </w:r>
    </w:p>
    <w:p>
      <w:pPr>
        <w:pStyle w:val="Heading1"/>
      </w:pPr>
      <w:r>
        <w:t>5. Review Gate</w:t>
      </w:r>
    </w:p>
    <w:p>
      <w:r>
        <w:rPr>
          <w:rFonts w:ascii="Aptos" w:hAnsi="Aptos"/>
          <w:b/>
          <w:i w:val="0"/>
          <w:color w:val="9C2F2F"/>
          <w:sz w:val="21"/>
        </w:rPr>
        <w:t>Do not begin HSD-003 after pushing. Provide the repository URL, branch name, commit SHA, command output, and any Codex deviations. The repository will be reviewed for configuration correctness, security boundaries, dependency scope, and test quality before the next task is issued.</w:t>
      </w:r>
    </w:p>
    <w:p>
      <w:pPr>
        <w:spacing w:before="200"/>
      </w:pPr>
      <w:r>
        <w:rPr>
          <w:rFonts w:ascii="Aptos" w:hAnsi="Aptos"/>
          <w:b/>
          <w:i w:val="0"/>
          <w:color w:val="15324B"/>
          <w:sz w:val="26"/>
        </w:rPr>
        <w:t>HSD-002 approval checklist</w:t>
      </w:r>
    </w:p>
    <w:tbl>
      <w:tblPr>
        <w:tblStyle w:val="TableGrid"/>
        <w:tblW w:type="auto" w:w="0"/>
        <w:jc w:val="center"/>
        <w:tblLook w:firstColumn="1" w:firstRow="1" w:lastColumn="0" w:lastRow="0" w:noHBand="0" w:noVBand="1" w:val="04A0"/>
      </w:tblPr>
      <w:tblGrid>
        <w:gridCol w:w="5083"/>
        <w:gridCol w:w="5083"/>
      </w:tblGrid>
      <w:tr>
        <w:tc>
          <w:tcPr>
            <w:tcW w:type="dxa" w:w="5083"/>
            <w:shd w:fill="1F4E78"/>
            <w:tcMar>
              <w:top w:w="100" w:type="dxa"/>
              <w:start w:w="120" w:type="dxa"/>
              <w:bottom w:w="100" w:type="dxa"/>
              <w:end w:w="120" w:type="dxa"/>
            </w:tcMar>
          </w:tcPr>
          <w:p>
            <w:r>
              <w:rPr>
                <w:rFonts w:ascii="Aptos" w:hAnsi="Aptos"/>
                <w:b/>
                <w:i w:val="0"/>
                <w:color w:val="FFFFFF"/>
                <w:sz w:val="21"/>
              </w:rPr>
              <w:t>Check</w:t>
            </w:r>
          </w:p>
        </w:tc>
        <w:tc>
          <w:tcPr>
            <w:tcW w:type="dxa" w:w="5083"/>
            <w:shd w:fill="1F4E78"/>
            <w:tcMar>
              <w:top w:w="100" w:type="dxa"/>
              <w:start w:w="120" w:type="dxa"/>
              <w:bottom w:w="100" w:type="dxa"/>
              <w:end w:w="120" w:type="dxa"/>
            </w:tcMar>
          </w:tcPr>
          <w:p>
            <w:r>
              <w:rPr>
                <w:rFonts w:ascii="Aptos" w:hAnsi="Aptos"/>
                <w:b/>
                <w:i w:val="0"/>
                <w:color w:val="FFFFFF"/>
                <w:sz w:val="21"/>
              </w:rPr>
              <w:t>Reviewer result</w:t>
            </w:r>
          </w:p>
        </w:tc>
      </w:tr>
      <w:tr>
        <w:tc>
          <w:tcPr>
            <w:tcW w:type="dxa" w:w="5083"/>
            <w:tcMar>
              <w:top w:w="100" w:type="dxa"/>
              <w:start w:w="120" w:type="dxa"/>
              <w:bottom w:w="100" w:type="dxa"/>
              <w:end w:w="120" w:type="dxa"/>
            </w:tcMar>
          </w:tcPr>
          <w:p>
            <w:r>
              <w:rPr>
                <w:rFonts w:ascii="Aptos" w:hAnsi="Aptos"/>
                <w:b w:val="0"/>
                <w:i w:val="0"/>
                <w:sz w:val="21"/>
              </w:rPr>
              <w:t>Scope compliance</w:t>
            </w:r>
          </w:p>
        </w:tc>
        <w:tc>
          <w:tcPr>
            <w:tcW w:type="dxa" w:w="5083"/>
            <w:tcMar>
              <w:top w:w="100" w:type="dxa"/>
              <w:start w:w="120" w:type="dxa"/>
              <w:bottom w:w="100" w:type="dxa"/>
              <w:end w:w="120" w:type="dxa"/>
            </w:tcMar>
          </w:tcPr>
          <w:p>
            <w:r>
              <w:rPr>
                <w:rFonts w:ascii="Aptos" w:hAnsi="Aptos"/>
                <w:b w:val="0"/>
                <w:i/>
                <w:color w:val="6B7280"/>
                <w:sz w:val="21"/>
              </w:rPr>
              <w:t>Pending review</w:t>
            </w:r>
          </w:p>
        </w:tc>
      </w:tr>
      <w:tr>
        <w:tc>
          <w:tcPr>
            <w:tcW w:type="dxa" w:w="5083"/>
            <w:tcMar>
              <w:top w:w="100" w:type="dxa"/>
              <w:start w:w="120" w:type="dxa"/>
              <w:bottom w:w="100" w:type="dxa"/>
              <w:end w:w="120" w:type="dxa"/>
            </w:tcMar>
          </w:tcPr>
          <w:p>
            <w:r>
              <w:rPr>
                <w:rFonts w:ascii="Aptos" w:hAnsi="Aptos"/>
                <w:b w:val="0"/>
                <w:i w:val="0"/>
                <w:sz w:val="21"/>
              </w:rPr>
              <w:t>TypeScript strictness</w:t>
            </w:r>
          </w:p>
        </w:tc>
        <w:tc>
          <w:tcPr>
            <w:tcW w:type="dxa" w:w="5083"/>
            <w:tcMar>
              <w:top w:w="100" w:type="dxa"/>
              <w:start w:w="120" w:type="dxa"/>
              <w:bottom w:w="100" w:type="dxa"/>
              <w:end w:w="120" w:type="dxa"/>
            </w:tcMar>
          </w:tcPr>
          <w:p>
            <w:r>
              <w:rPr>
                <w:rFonts w:ascii="Aptos" w:hAnsi="Aptos"/>
                <w:b w:val="0"/>
                <w:i/>
                <w:color w:val="6B7280"/>
                <w:sz w:val="21"/>
              </w:rPr>
              <w:t>Pending review</w:t>
            </w:r>
          </w:p>
        </w:tc>
      </w:tr>
      <w:tr>
        <w:tc>
          <w:tcPr>
            <w:tcW w:type="dxa" w:w="5083"/>
            <w:tcMar>
              <w:top w:w="100" w:type="dxa"/>
              <w:start w:w="120" w:type="dxa"/>
              <w:bottom w:w="100" w:type="dxa"/>
              <w:end w:w="120" w:type="dxa"/>
            </w:tcMar>
          </w:tcPr>
          <w:p>
            <w:r>
              <w:rPr>
                <w:rFonts w:ascii="Aptos" w:hAnsi="Aptos"/>
                <w:b w:val="0"/>
                <w:i w:val="0"/>
                <w:sz w:val="21"/>
              </w:rPr>
              <w:t>Alias resolution</w:t>
            </w:r>
          </w:p>
        </w:tc>
        <w:tc>
          <w:tcPr>
            <w:tcW w:type="dxa" w:w="5083"/>
            <w:tcMar>
              <w:top w:w="100" w:type="dxa"/>
              <w:start w:w="120" w:type="dxa"/>
              <w:bottom w:w="100" w:type="dxa"/>
              <w:end w:w="120" w:type="dxa"/>
            </w:tcMar>
          </w:tcPr>
          <w:p>
            <w:r>
              <w:rPr>
                <w:rFonts w:ascii="Aptos" w:hAnsi="Aptos"/>
                <w:b w:val="0"/>
                <w:i/>
                <w:color w:val="6B7280"/>
                <w:sz w:val="21"/>
              </w:rPr>
              <w:t>Pending review</w:t>
            </w:r>
          </w:p>
        </w:tc>
      </w:tr>
      <w:tr>
        <w:tc>
          <w:tcPr>
            <w:tcW w:type="dxa" w:w="5083"/>
            <w:tcMar>
              <w:top w:w="100" w:type="dxa"/>
              <w:start w:w="120" w:type="dxa"/>
              <w:bottom w:w="100" w:type="dxa"/>
              <w:end w:w="120" w:type="dxa"/>
            </w:tcMar>
          </w:tcPr>
          <w:p>
            <w:r>
              <w:rPr>
                <w:rFonts w:ascii="Aptos" w:hAnsi="Aptos"/>
                <w:b w:val="0"/>
                <w:i w:val="0"/>
                <w:sz w:val="21"/>
              </w:rPr>
              <w:t>Renderer boundary enforcement</w:t>
            </w:r>
          </w:p>
        </w:tc>
        <w:tc>
          <w:tcPr>
            <w:tcW w:type="dxa" w:w="5083"/>
            <w:tcMar>
              <w:top w:w="100" w:type="dxa"/>
              <w:start w:w="120" w:type="dxa"/>
              <w:bottom w:w="100" w:type="dxa"/>
              <w:end w:w="120" w:type="dxa"/>
            </w:tcMar>
          </w:tcPr>
          <w:p>
            <w:r>
              <w:rPr>
                <w:rFonts w:ascii="Aptos" w:hAnsi="Aptos"/>
                <w:b w:val="0"/>
                <w:i/>
                <w:color w:val="6B7280"/>
                <w:sz w:val="21"/>
              </w:rPr>
              <w:t>Pending review</w:t>
            </w:r>
          </w:p>
        </w:tc>
      </w:tr>
      <w:tr>
        <w:tc>
          <w:tcPr>
            <w:tcW w:type="dxa" w:w="5083"/>
            <w:tcMar>
              <w:top w:w="100" w:type="dxa"/>
              <w:start w:w="120" w:type="dxa"/>
              <w:bottom w:w="100" w:type="dxa"/>
              <w:end w:w="120" w:type="dxa"/>
            </w:tcMar>
          </w:tcPr>
          <w:p>
            <w:r>
              <w:rPr>
                <w:rFonts w:ascii="Aptos" w:hAnsi="Aptos"/>
                <w:b w:val="0"/>
                <w:i w:val="0"/>
                <w:sz w:val="21"/>
              </w:rPr>
              <w:t>Formatting gate</w:t>
            </w:r>
          </w:p>
        </w:tc>
        <w:tc>
          <w:tcPr>
            <w:tcW w:type="dxa" w:w="5083"/>
            <w:tcMar>
              <w:top w:w="100" w:type="dxa"/>
              <w:start w:w="120" w:type="dxa"/>
              <w:bottom w:w="100" w:type="dxa"/>
              <w:end w:w="120" w:type="dxa"/>
            </w:tcMar>
          </w:tcPr>
          <w:p>
            <w:r>
              <w:rPr>
                <w:rFonts w:ascii="Aptos" w:hAnsi="Aptos"/>
                <w:b w:val="0"/>
                <w:i/>
                <w:color w:val="6B7280"/>
                <w:sz w:val="21"/>
              </w:rPr>
              <w:t>Pending review</w:t>
            </w:r>
          </w:p>
        </w:tc>
      </w:tr>
      <w:tr>
        <w:tc>
          <w:tcPr>
            <w:tcW w:type="dxa" w:w="5083"/>
            <w:tcMar>
              <w:top w:w="100" w:type="dxa"/>
              <w:start w:w="120" w:type="dxa"/>
              <w:bottom w:w="100" w:type="dxa"/>
              <w:end w:w="120" w:type="dxa"/>
            </w:tcMar>
          </w:tcPr>
          <w:p>
            <w:r>
              <w:rPr>
                <w:rFonts w:ascii="Aptos" w:hAnsi="Aptos"/>
                <w:b w:val="0"/>
                <w:i w:val="0"/>
                <w:sz w:val="21"/>
              </w:rPr>
              <w:t>Lint gate</w:t>
            </w:r>
          </w:p>
        </w:tc>
        <w:tc>
          <w:tcPr>
            <w:tcW w:type="dxa" w:w="5083"/>
            <w:tcMar>
              <w:top w:w="100" w:type="dxa"/>
              <w:start w:w="120" w:type="dxa"/>
              <w:bottom w:w="100" w:type="dxa"/>
              <w:end w:w="120" w:type="dxa"/>
            </w:tcMar>
          </w:tcPr>
          <w:p>
            <w:r>
              <w:rPr>
                <w:rFonts w:ascii="Aptos" w:hAnsi="Aptos"/>
                <w:b w:val="0"/>
                <w:i/>
                <w:color w:val="6B7280"/>
                <w:sz w:val="21"/>
              </w:rPr>
              <w:t>Pending review</w:t>
            </w:r>
          </w:p>
        </w:tc>
      </w:tr>
      <w:tr>
        <w:tc>
          <w:tcPr>
            <w:tcW w:type="dxa" w:w="5083"/>
            <w:tcMar>
              <w:top w:w="100" w:type="dxa"/>
              <w:start w:w="120" w:type="dxa"/>
              <w:bottom w:w="100" w:type="dxa"/>
              <w:end w:w="120" w:type="dxa"/>
            </w:tcMar>
          </w:tcPr>
          <w:p>
            <w:r>
              <w:rPr>
                <w:rFonts w:ascii="Aptos" w:hAnsi="Aptos"/>
                <w:b w:val="0"/>
                <w:i w:val="0"/>
                <w:sz w:val="21"/>
              </w:rPr>
              <w:t>Unit tests</w:t>
            </w:r>
          </w:p>
        </w:tc>
        <w:tc>
          <w:tcPr>
            <w:tcW w:type="dxa" w:w="5083"/>
            <w:tcMar>
              <w:top w:w="100" w:type="dxa"/>
              <w:start w:w="120" w:type="dxa"/>
              <w:bottom w:w="100" w:type="dxa"/>
              <w:end w:w="120" w:type="dxa"/>
            </w:tcMar>
          </w:tcPr>
          <w:p>
            <w:r>
              <w:rPr>
                <w:rFonts w:ascii="Aptos" w:hAnsi="Aptos"/>
                <w:b w:val="0"/>
                <w:i/>
                <w:color w:val="6B7280"/>
                <w:sz w:val="21"/>
              </w:rPr>
              <w:t>Pending review</w:t>
            </w:r>
          </w:p>
        </w:tc>
      </w:tr>
      <w:tr>
        <w:tc>
          <w:tcPr>
            <w:tcW w:type="dxa" w:w="5083"/>
            <w:tcMar>
              <w:top w:w="100" w:type="dxa"/>
              <w:start w:w="120" w:type="dxa"/>
              <w:bottom w:w="100" w:type="dxa"/>
              <w:end w:w="120" w:type="dxa"/>
            </w:tcMar>
          </w:tcPr>
          <w:p>
            <w:r>
              <w:rPr>
                <w:rFonts w:ascii="Aptos" w:hAnsi="Aptos"/>
                <w:b w:val="0"/>
                <w:i w:val="0"/>
                <w:sz w:val="21"/>
              </w:rPr>
              <w:t>Build and launch</w:t>
            </w:r>
          </w:p>
        </w:tc>
        <w:tc>
          <w:tcPr>
            <w:tcW w:type="dxa" w:w="5083"/>
            <w:tcMar>
              <w:top w:w="100" w:type="dxa"/>
              <w:start w:w="120" w:type="dxa"/>
              <w:bottom w:w="100" w:type="dxa"/>
              <w:end w:w="120" w:type="dxa"/>
            </w:tcMar>
          </w:tcPr>
          <w:p>
            <w:r>
              <w:rPr>
                <w:rFonts w:ascii="Aptos" w:hAnsi="Aptos"/>
                <w:b w:val="0"/>
                <w:i/>
                <w:color w:val="6B7280"/>
                <w:sz w:val="21"/>
              </w:rPr>
              <w:t>Pending review</w:t>
            </w:r>
          </w:p>
        </w:tc>
      </w:tr>
      <w:tr>
        <w:tc>
          <w:tcPr>
            <w:tcW w:type="dxa" w:w="5083"/>
            <w:tcMar>
              <w:top w:w="100" w:type="dxa"/>
              <w:start w:w="120" w:type="dxa"/>
              <w:bottom w:w="100" w:type="dxa"/>
              <w:end w:w="120" w:type="dxa"/>
            </w:tcMar>
          </w:tcPr>
          <w:p>
            <w:r>
              <w:rPr>
                <w:rFonts w:ascii="Aptos" w:hAnsi="Aptos"/>
                <w:b w:val="0"/>
                <w:i w:val="0"/>
                <w:sz w:val="21"/>
              </w:rPr>
              <w:t>Documentation</w:t>
            </w:r>
          </w:p>
        </w:tc>
        <w:tc>
          <w:tcPr>
            <w:tcW w:type="dxa" w:w="5083"/>
            <w:tcMar>
              <w:top w:w="100" w:type="dxa"/>
              <w:start w:w="120" w:type="dxa"/>
              <w:bottom w:w="100" w:type="dxa"/>
              <w:end w:w="120" w:type="dxa"/>
            </w:tcMar>
          </w:tcPr>
          <w:p>
            <w:r>
              <w:rPr>
                <w:rFonts w:ascii="Aptos" w:hAnsi="Aptos"/>
                <w:b w:val="0"/>
                <w:i/>
                <w:color w:val="6B7280"/>
                <w:sz w:val="21"/>
              </w:rPr>
              <w:t>Pending review</w:t>
            </w:r>
          </w:p>
        </w:tc>
      </w:tr>
      <w:tr>
        <w:tc>
          <w:tcPr>
            <w:tcW w:type="dxa" w:w="5083"/>
            <w:tcMar>
              <w:top w:w="100" w:type="dxa"/>
              <w:start w:w="120" w:type="dxa"/>
              <w:bottom w:w="100" w:type="dxa"/>
              <w:end w:w="120" w:type="dxa"/>
            </w:tcMar>
          </w:tcPr>
          <w:p>
            <w:r>
              <w:rPr>
                <w:rFonts w:ascii="Aptos" w:hAnsi="Aptos"/>
                <w:b w:val="0"/>
                <w:i w:val="0"/>
                <w:sz w:val="21"/>
              </w:rPr>
              <w:t>Clean working tree</w:t>
            </w:r>
          </w:p>
        </w:tc>
        <w:tc>
          <w:tcPr>
            <w:tcW w:type="dxa" w:w="5083"/>
            <w:tcMar>
              <w:top w:w="100" w:type="dxa"/>
              <w:start w:w="120" w:type="dxa"/>
              <w:bottom w:w="100" w:type="dxa"/>
              <w:end w:w="120" w:type="dxa"/>
            </w:tcMar>
          </w:tcPr>
          <w:p>
            <w:r>
              <w:rPr>
                <w:rFonts w:ascii="Aptos" w:hAnsi="Aptos"/>
                <w:b w:val="0"/>
                <w:i/>
                <w:color w:val="6B7280"/>
                <w:sz w:val="21"/>
              </w:rPr>
              <w:t>Pending review</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280"/>
        <w:sz w:val="16"/>
      </w:rPr>
      <w:t>HSD-002 | Tooling and Quality Gates | Codex Implementation Task</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1F4E78"/>
        <w:sz w:val="17"/>
      </w:rPr>
      <w:t>HEALTH SCREENING OFFLINE DESKTOP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shd w:fill="F4F6F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