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4472C4"/>
          <w:sz w:val="28"/>
        </w:rPr>
        <w:t>HSD-006</w:t>
      </w:r>
    </w:p>
    <w:p>
      <w:pPr>
        <w:pStyle w:val="Title"/>
        <w:jc w:val="center"/>
      </w:pPr>
      <w:r>
        <w:t>Local SQLite Runtime, Native Dependency,</w:t>
        <w:br/>
        <w:t>and Database Health Foundation</w:t>
      </w:r>
    </w:p>
    <w:p>
      <w:pPr>
        <w:pStyle w:val="Subtitle"/>
        <w:jc w:val="center"/>
      </w:pPr>
      <w:r>
        <w:t>Bounded Codex Implementation Task</w:t>
      </w:r>
    </w:p>
    <w:p>
      <w:pPr>
        <w:spacing w:after="80"/>
        <w:jc w:val="center"/>
      </w:pPr>
      <w:r>
        <w:rPr>
          <w:b/>
          <w:color w:val="163A5F"/>
          <w:sz w:val="24"/>
        </w:rPr>
        <w:t>Health Screening Offline Desktop Application</w:t>
      </w:r>
    </w:p>
    <w:p>
      <w:pPr>
        <w:spacing w:after="80"/>
        <w:jc w:val="center"/>
      </w:pPr>
      <w:r>
        <w:t>Implementation must preserve the approved HSD-001 through HSD-005 baseline.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163A5F"/>
          </w:tcPr>
          <w:p>
            <w:pPr>
              <w:spacing w:after="30"/>
            </w:pPr>
            <w:r>
              <w:rPr>
                <w:rFonts w:ascii="Aptos" w:hAnsi="Aptos"/>
                <w:b/>
                <w:color w:val="FFFFFF"/>
                <w:sz w:val="18"/>
              </w:rPr>
              <w:t>Field</w:t>
            </w:r>
          </w:p>
        </w:tc>
        <w:tc>
          <w:tcPr>
            <w:tcW w:type="dxa" w:w="8064"/>
            <w:vAlign w:val="center"/>
            <w:shd w:fill="163A5F"/>
          </w:tcPr>
          <w:p>
            <w:pPr>
              <w:spacing w:after="30"/>
            </w:pPr>
            <w:r>
              <w:rPr>
                <w:rFonts w:ascii="Aptos" w:hAnsi="Aptos"/>
                <w:b/>
                <w:color w:val="FFFFFF"/>
                <w:sz w:val="18"/>
              </w:rPr>
              <w:t>Required value</w:t>
            </w:r>
          </w:p>
        </w:tc>
      </w:tr>
      <w:tr>
        <w:tc>
          <w:tcPr>
            <w:tcW w:type="dxa" w:w="2232"/>
            <w:vAlign w:val="top"/>
          </w:tcPr>
          <w:p>
            <w:pPr>
              <w:spacing w:after="30"/>
            </w:pPr>
            <w:r>
              <w:rPr>
                <w:rFonts w:ascii="Aptos" w:hAnsi="Aptos"/>
                <w:sz w:val="18"/>
              </w:rPr>
              <w:t>Task ID</w:t>
            </w:r>
          </w:p>
        </w:tc>
        <w:tc>
          <w:tcPr>
            <w:tcW w:type="dxa" w:w="8064"/>
            <w:vAlign w:val="top"/>
          </w:tcPr>
          <w:p>
            <w:pPr>
              <w:spacing w:after="30"/>
            </w:pPr>
            <w:r>
              <w:rPr>
                <w:rFonts w:ascii="Aptos" w:hAnsi="Aptos"/>
                <w:sz w:val="18"/>
              </w:rPr>
              <w:t>HSD-006</w:t>
            </w:r>
          </w:p>
        </w:tc>
      </w:tr>
      <w:tr>
        <w:tc>
          <w:tcPr>
            <w:tcW w:type="dxa" w:w="2232"/>
            <w:vAlign w:val="top"/>
            <w:shd w:fill="F3F6FA"/>
          </w:tcPr>
          <w:p>
            <w:pPr>
              <w:spacing w:after="30"/>
            </w:pPr>
            <w:r>
              <w:rPr>
                <w:rFonts w:ascii="Aptos" w:hAnsi="Aptos"/>
                <w:sz w:val="18"/>
              </w:rPr>
              <w:t>Status</w:t>
            </w:r>
          </w:p>
        </w:tc>
        <w:tc>
          <w:tcPr>
            <w:tcW w:type="dxa" w:w="8064"/>
            <w:vAlign w:val="top"/>
            <w:shd w:fill="F3F6FA"/>
          </w:tcPr>
          <w:p>
            <w:pPr>
              <w:spacing w:after="30"/>
            </w:pPr>
            <w:r>
              <w:rPr>
                <w:rFonts w:ascii="Aptos" w:hAnsi="Aptos"/>
                <w:sz w:val="18"/>
              </w:rPr>
              <w:t>Ready for implementation after HSD-005 is merged into main</w:t>
            </w:r>
          </w:p>
        </w:tc>
      </w:tr>
      <w:tr>
        <w:tc>
          <w:tcPr>
            <w:tcW w:type="dxa" w:w="2232"/>
            <w:vAlign w:val="top"/>
          </w:tcPr>
          <w:p>
            <w:pPr>
              <w:spacing w:after="30"/>
            </w:pPr>
            <w:r>
              <w:rPr>
                <w:rFonts w:ascii="Aptos" w:hAnsi="Aptos"/>
                <w:sz w:val="18"/>
              </w:rPr>
              <w:t>Branch</w:t>
            </w:r>
          </w:p>
        </w:tc>
        <w:tc>
          <w:tcPr>
            <w:tcW w:type="dxa" w:w="8064"/>
            <w:vAlign w:val="top"/>
          </w:tcPr>
          <w:p>
            <w:pPr>
              <w:spacing w:after="30"/>
            </w:pPr>
            <w:r>
              <w:rPr>
                <w:rFonts w:ascii="Aptos" w:hAnsi="Aptos"/>
                <w:sz w:val="18"/>
              </w:rPr>
              <w:t>feature/hsd-006-sqlite-runtime</w:t>
            </w:r>
          </w:p>
        </w:tc>
      </w:tr>
      <w:tr>
        <w:tc>
          <w:tcPr>
            <w:tcW w:type="dxa" w:w="2232"/>
            <w:vAlign w:val="top"/>
            <w:shd w:fill="F3F6FA"/>
          </w:tcPr>
          <w:p>
            <w:pPr>
              <w:spacing w:after="30"/>
            </w:pPr>
            <w:r>
              <w:rPr>
                <w:rFonts w:ascii="Aptos" w:hAnsi="Aptos"/>
                <w:sz w:val="18"/>
              </w:rPr>
              <w:t>Primary commit</w:t>
            </w:r>
          </w:p>
        </w:tc>
        <w:tc>
          <w:tcPr>
            <w:tcW w:type="dxa" w:w="8064"/>
            <w:vAlign w:val="top"/>
            <w:shd w:fill="F3F6FA"/>
          </w:tcPr>
          <w:p>
            <w:pPr>
              <w:spacing w:after="30"/>
            </w:pPr>
            <w:r>
              <w:rPr>
                <w:rFonts w:ascii="Aptos" w:hAnsi="Aptos"/>
                <w:sz w:val="18"/>
              </w:rPr>
              <w:t>feat: establish local sqlite runtime</w:t>
            </w:r>
          </w:p>
        </w:tc>
      </w:tr>
      <w:tr>
        <w:tc>
          <w:tcPr>
            <w:tcW w:type="dxa" w:w="2232"/>
            <w:vAlign w:val="top"/>
          </w:tcPr>
          <w:p>
            <w:pPr>
              <w:spacing w:after="30"/>
            </w:pPr>
            <w:r>
              <w:rPr>
                <w:rFonts w:ascii="Aptos" w:hAnsi="Aptos"/>
                <w:sz w:val="18"/>
              </w:rPr>
              <w:t>Work package</w:t>
            </w:r>
          </w:p>
        </w:tc>
        <w:tc>
          <w:tcPr>
            <w:tcW w:type="dxa" w:w="8064"/>
            <w:vAlign w:val="top"/>
          </w:tcPr>
          <w:p>
            <w:pPr>
              <w:spacing w:after="30"/>
            </w:pPr>
            <w:r>
              <w:rPr>
                <w:rFonts w:ascii="Aptos" w:hAnsi="Aptos"/>
                <w:sz w:val="18"/>
              </w:rPr>
              <w:t>WP2 - Local data foundation</w:t>
            </w:r>
          </w:p>
        </w:tc>
      </w:tr>
      <w:tr>
        <w:tc>
          <w:tcPr>
            <w:tcW w:type="dxa" w:w="2232"/>
            <w:vAlign w:val="top"/>
            <w:shd w:fill="F3F6FA"/>
          </w:tcPr>
          <w:p>
            <w:pPr>
              <w:spacing w:after="30"/>
            </w:pPr>
            <w:r>
              <w:rPr>
                <w:rFonts w:ascii="Aptos" w:hAnsi="Aptos"/>
                <w:sz w:val="18"/>
              </w:rPr>
              <w:t>Primary architecture decisions</w:t>
            </w:r>
          </w:p>
        </w:tc>
        <w:tc>
          <w:tcPr>
            <w:tcW w:type="dxa" w:w="8064"/>
            <w:vAlign w:val="top"/>
            <w:shd w:fill="F3F6FA"/>
          </w:tcPr>
          <w:p>
            <w:pPr>
              <w:spacing w:after="30"/>
            </w:pPr>
            <w:r>
              <w:rPr>
                <w:rFonts w:ascii="Aptos" w:hAnsi="Aptos"/>
                <w:sz w:val="18"/>
              </w:rPr>
              <w:t>ADR-002 main-process-only SQLite; ADR-003 native dependency packaging</w:t>
            </w:r>
          </w:p>
        </w:tc>
      </w:tr>
      <w:tr>
        <w:tc>
          <w:tcPr>
            <w:tcW w:type="dxa" w:w="2232"/>
            <w:vAlign w:val="top"/>
          </w:tcPr>
          <w:p>
            <w:pPr>
              <w:spacing w:after="30"/>
            </w:pPr>
            <w:r>
              <w:rPr>
                <w:rFonts w:ascii="Aptos" w:hAnsi="Aptos"/>
                <w:sz w:val="18"/>
              </w:rPr>
              <w:t>Database scope</w:t>
            </w:r>
          </w:p>
        </w:tc>
        <w:tc>
          <w:tcPr>
            <w:tcW w:type="dxa" w:w="8064"/>
            <w:vAlign w:val="top"/>
          </w:tcPr>
          <w:p>
            <w:pPr>
              <w:spacing w:after="30"/>
            </w:pPr>
            <w:r>
              <w:rPr>
                <w:rFonts w:ascii="Aptos" w:hAnsi="Aptos"/>
                <w:sz w:val="18"/>
              </w:rPr>
              <w:t>One empty local SQLite database, secure runtime configuration, lifecycle ownership, and health only</w:t>
            </w:r>
          </w:p>
        </w:tc>
      </w:tr>
      <w:tr>
        <w:tc>
          <w:tcPr>
            <w:tcW w:type="dxa" w:w="2232"/>
            <w:vAlign w:val="top"/>
            <w:shd w:fill="F3F6FA"/>
          </w:tcPr>
          <w:p>
            <w:pPr>
              <w:spacing w:after="30"/>
            </w:pPr>
            <w:r>
              <w:rPr>
                <w:rFonts w:ascii="Aptos" w:hAnsi="Aptos"/>
                <w:sz w:val="18"/>
              </w:rPr>
              <w:t>Clinical scope</w:t>
            </w:r>
          </w:p>
        </w:tc>
        <w:tc>
          <w:tcPr>
            <w:tcW w:type="dxa" w:w="8064"/>
            <w:vAlign w:val="top"/>
            <w:shd w:fill="F3F6FA"/>
          </w:tcPr>
          <w:p>
            <w:pPr>
              <w:spacing w:after="30"/>
            </w:pPr>
            <w:r>
              <w:rPr>
                <w:rFonts w:ascii="Aptos" w:hAnsi="Aptos"/>
                <w:sz w:val="18"/>
              </w:rPr>
              <w:t>None</w:t>
            </w:r>
          </w:p>
        </w:tc>
      </w:tr>
    </w:tbl>
    <w:p>
      <w:pPr>
        <w:spacing w:after="80"/>
      </w:pP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30"/>
            </w:pPr>
            <w:r>
              <w:rPr>
                <w:rFonts w:ascii="Aptos" w:hAnsi="Aptos"/>
                <w:b/>
                <w:color w:val="163A5F"/>
                <w:sz w:val="18"/>
              </w:rPr>
              <w:t xml:space="preserve">Release discipline: </w:t>
            </w:r>
            <w:r>
              <w:rPr>
                <w:rFonts w:ascii="Aptos" w:hAnsi="Aptos"/>
                <w:sz w:val="18"/>
              </w:rPr>
              <w:t>Do not begin HSD-007 until the remote HSD-006 branch has been reviewed and approved. HSD-006 intentionally creates no domain tables and no migration framework.</w:t>
            </w:r>
          </w:p>
        </w:tc>
      </w:tr>
    </w:tbl>
    <w:p>
      <w:pPr>
        <w:spacing w:after="80"/>
      </w:pPr>
    </w:p>
    <w:p>
      <w:pPr>
        <w:spacing w:after="80"/>
      </w:pPr>
      <w:r>
        <w:br w:type="page"/>
      </w:r>
    </w:p>
    <w:p>
      <w:pPr>
        <w:pStyle w:val="Heading1"/>
        <w:keepNext/>
        <w:spacing w:before="200" w:after="80"/>
      </w:pPr>
      <w:r>
        <w:t>1. Task Brief</w:t>
      </w:r>
    </w:p>
    <w:p>
      <w:pPr>
        <w:spacing w:after="80"/>
      </w:pPr>
      <w:r>
        <w:t>HSD-006 establishes the first production-shaped local database runtime for the offline desktop application. The task adds one pinned better-sqlite3 native dependency, creates a deterministic database path under Electron userData, opens and configures the database only in the main process, provides safe lifecycle ownership and database-health reporting, and proves that the native module works in Node-based tests, Electron development mode, and the unpacked Windows package. It must not add migrations, application tables, repositories, patient data, authentication, audit records, outbox records, backup/restore, generic database IPC, or renderer SQL access.</w:t>
      </w:r>
    </w:p>
    <w:p>
      <w:pPr>
        <w:pStyle w:val="Heading1"/>
        <w:keepNext/>
        <w:spacing w:before="200" w:after="80"/>
      </w:pPr>
      <w:r>
        <w:t>2. Prerequisite and Branch Setup</w:t>
      </w:r>
    </w:p>
    <w:p>
      <w:pPr>
        <w:spacing w:after="80"/>
      </w:pPr>
      <w:r>
        <w:t>HSD-005 must be fully approved and merged before this task begins.</w:t>
      </w:r>
    </w:p>
    <w:p>
      <w:pPr>
        <w:pStyle w:val="CodeBlock"/>
      </w:pPr>
      <w:r>
        <w:t>git switch main</w:t>
        <w:br/>
        <w:t>git pull origin main</w:t>
        <w:br/>
        <w:t>git merge --no-ff feature/hsd-005-typed-ipc-foundation -m "merge: complete HSD-005 typed IPC foundation"</w:t>
        <w:br/>
        <w:t>git push origin main</w:t>
        <w:br/>
        <w:t>git switch -c feature/hsd-006-sqlite-runtime</w:t>
      </w:r>
    </w:p>
    <w:p>
      <w:pPr>
        <w:spacing w:after="80"/>
      </w:pPr>
      <w:r>
        <w:t>Before implementation, record the baseline:</w:t>
      </w:r>
    </w:p>
    <w:p>
      <w:pPr>
        <w:pStyle w:val="CodeBlock"/>
      </w:pPr>
      <w:r>
        <w:t>git status</w:t>
        <w:br/>
        <w:t>git log -5 --oneline</w:t>
      </w:r>
    </w:p>
    <w:p>
      <w:pPr>
        <w:pStyle w:val="ListBullet"/>
        <w:spacing w:after="40"/>
      </w:pPr>
      <w:r>
        <w:t>The working tree must be clean.</w:t>
      </w:r>
    </w:p>
    <w:p>
      <w:pPr>
        <w:pStyle w:val="ListBullet"/>
        <w:spacing w:after="40"/>
      </w:pPr>
      <w:r>
        <w:t>The branch must start from the HSD-005 merge commit on main.</w:t>
      </w:r>
    </w:p>
    <w:p>
      <w:pPr>
        <w:pStyle w:val="ListBullet"/>
        <w:spacing w:after="40"/>
      </w:pPr>
      <w:r>
        <w:t>Do not branch from feature/hsd-005-typed-ipc-foundation.</w:t>
      </w:r>
    </w:p>
    <w:p>
      <w:pPr>
        <w:pStyle w:val="ListBullet"/>
        <w:spacing w:after="40"/>
      </w:pPr>
      <w:r>
        <w:t>Copy this task document into doc/ without changing its requirements.</w:t>
      </w:r>
    </w:p>
    <w:p>
      <w:pPr>
        <w:pStyle w:val="ListBullet"/>
        <w:spacing w:after="40"/>
      </w:pPr>
      <w:r>
        <w:t>Do not rewrite or force-push previously reviewed HSD history.</w:t>
      </w:r>
    </w:p>
    <w:p>
      <w:pPr>
        <w:pStyle w:val="Heading1"/>
        <w:keepNext/>
        <w:spacing w:before="200" w:after="80"/>
      </w:pPr>
      <w:r>
        <w:t>3. Goal</w:t>
      </w:r>
    </w:p>
    <w:p>
      <w:pPr>
        <w:spacing w:after="80"/>
      </w:pPr>
      <w:r>
        <w:t>Create the smallest reliable SQLite runtime needed before numbered migrations and repositories are introduced. At completion, the primary Electron instance owns exactly one local SQLite connection, the connection uses approved safety pragmas, the application health contract reports database readiness without exposing implementation details, and both development and packaged Windows execution load the native module successfully.</w:t>
      </w:r>
    </w:p>
    <w:p>
      <w:pPr>
        <w:pStyle w:val="Heading1"/>
        <w:keepNext/>
        <w:spacing w:before="200" w:after="80"/>
      </w:pPr>
      <w:r>
        <w:t>4. Required Outcomes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163A5F"/>
          </w:tcPr>
          <w:p>
            <w:pPr>
              <w:spacing w:after="30"/>
            </w:pPr>
            <w:r>
              <w:rPr>
                <w:rFonts w:ascii="Aptos" w:hAnsi="Aptos"/>
                <w:b/>
                <w:color w:val="FFFFFF"/>
                <w:sz w:val="18"/>
              </w:rPr>
              <w:t>Area</w:t>
            </w:r>
          </w:p>
        </w:tc>
        <w:tc>
          <w:tcPr>
            <w:tcW w:type="dxa" w:w="8064"/>
            <w:vAlign w:val="center"/>
            <w:shd w:fill="163A5F"/>
          </w:tcPr>
          <w:p>
            <w:pPr>
              <w:spacing w:after="30"/>
            </w:pPr>
            <w:r>
              <w:rPr>
                <w:rFonts w:ascii="Aptos" w:hAnsi="Aptos"/>
                <w:b/>
                <w:color w:val="FFFFFF"/>
                <w:sz w:val="18"/>
              </w:rPr>
              <w:t>Required outcome</w:t>
            </w:r>
          </w:p>
        </w:tc>
      </w:tr>
      <w:tr>
        <w:tc>
          <w:tcPr>
            <w:tcW w:type="dxa" w:w="2232"/>
            <w:vAlign w:val="top"/>
          </w:tcPr>
          <w:p>
            <w:pPr>
              <w:spacing w:after="30"/>
            </w:pPr>
            <w:r>
              <w:rPr>
                <w:rFonts w:ascii="Aptos" w:hAnsi="Aptos"/>
                <w:sz w:val="18"/>
              </w:rPr>
              <w:t>Dependency</w:t>
            </w:r>
          </w:p>
        </w:tc>
        <w:tc>
          <w:tcPr>
            <w:tcW w:type="dxa" w:w="8064"/>
            <w:vAlign w:val="top"/>
          </w:tcPr>
          <w:p>
            <w:pPr>
              <w:spacing w:after="30"/>
            </w:pPr>
            <w:r>
              <w:rPr>
                <w:rFonts w:ascii="Aptos" w:hAnsi="Aptos"/>
                <w:sz w:val="18"/>
              </w:rPr>
              <w:t>better-sqlite3 is pinned as a production dependency and its native binary is compatible with the project Electron runtime.</w:t>
            </w:r>
          </w:p>
        </w:tc>
      </w:tr>
      <w:tr>
        <w:tc>
          <w:tcPr>
            <w:tcW w:type="dxa" w:w="2232"/>
            <w:vAlign w:val="top"/>
            <w:shd w:fill="F3F6FA"/>
          </w:tcPr>
          <w:p>
            <w:pPr>
              <w:spacing w:after="30"/>
            </w:pPr>
            <w:r>
              <w:rPr>
                <w:rFonts w:ascii="Aptos" w:hAnsi="Aptos"/>
                <w:sz w:val="18"/>
              </w:rPr>
              <w:t>Main-process boundary</w:t>
            </w:r>
          </w:p>
        </w:tc>
        <w:tc>
          <w:tcPr>
            <w:tcW w:type="dxa" w:w="8064"/>
            <w:vAlign w:val="top"/>
            <w:shd w:fill="F3F6FA"/>
          </w:tcPr>
          <w:p>
            <w:pPr>
              <w:spacing w:after="30"/>
            </w:pPr>
            <w:r>
              <w:rPr>
                <w:rFonts w:ascii="Aptos" w:hAnsi="Aptos"/>
                <w:sz w:val="18"/>
              </w:rPr>
              <w:t>Only main-process database modules import or hold better-sqlite3. Preload, shared contracts, and renderer code cannot import it.</w:t>
            </w:r>
          </w:p>
        </w:tc>
      </w:tr>
      <w:tr>
        <w:tc>
          <w:tcPr>
            <w:tcW w:type="dxa" w:w="2232"/>
            <w:vAlign w:val="top"/>
          </w:tcPr>
          <w:p>
            <w:pPr>
              <w:spacing w:after="30"/>
            </w:pPr>
            <w:r>
              <w:rPr>
                <w:rFonts w:ascii="Aptos" w:hAnsi="Aptos"/>
                <w:sz w:val="18"/>
              </w:rPr>
              <w:t>Database location</w:t>
            </w:r>
          </w:p>
        </w:tc>
        <w:tc>
          <w:tcPr>
            <w:tcW w:type="dxa" w:w="8064"/>
            <w:vAlign w:val="top"/>
          </w:tcPr>
          <w:p>
            <w:pPr>
              <w:spacing w:after="30"/>
            </w:pPr>
            <w:r>
              <w:rPr>
                <w:rFonts w:ascii="Aptos" w:hAnsi="Aptos"/>
                <w:sz w:val="18"/>
              </w:rPr>
              <w:t>The production database is created at &lt;app.getPath("userData")&gt;/data/health-screening.sqlite3, never in the repository or installation directory.</w:t>
            </w:r>
          </w:p>
        </w:tc>
      </w:tr>
      <w:tr>
        <w:tc>
          <w:tcPr>
            <w:tcW w:type="dxa" w:w="2232"/>
            <w:vAlign w:val="top"/>
            <w:shd w:fill="F3F6FA"/>
          </w:tcPr>
          <w:p>
            <w:pPr>
              <w:spacing w:after="30"/>
            </w:pPr>
            <w:r>
              <w:rPr>
                <w:rFonts w:ascii="Aptos" w:hAnsi="Aptos"/>
                <w:sz w:val="18"/>
              </w:rPr>
              <w:t>Connection configuration</w:t>
            </w:r>
          </w:p>
        </w:tc>
        <w:tc>
          <w:tcPr>
            <w:tcW w:type="dxa" w:w="8064"/>
            <w:vAlign w:val="top"/>
            <w:shd w:fill="F3F6FA"/>
          </w:tcPr>
          <w:p>
            <w:pPr>
              <w:spacing w:after="30"/>
            </w:pPr>
            <w:r>
              <w:rPr>
                <w:rFonts w:ascii="Aptos" w:hAnsi="Aptos"/>
                <w:sz w:val="18"/>
              </w:rPr>
              <w:t>Foreign keys, WAL, NORMAL synchronous mode, busy timeout, and trusted-schema hardening are applied and verified.</w:t>
            </w:r>
          </w:p>
        </w:tc>
      </w:tr>
      <w:tr>
        <w:tc>
          <w:tcPr>
            <w:tcW w:type="dxa" w:w="2232"/>
            <w:vAlign w:val="top"/>
          </w:tcPr>
          <w:p>
            <w:pPr>
              <w:spacing w:after="30"/>
            </w:pPr>
            <w:r>
              <w:rPr>
                <w:rFonts w:ascii="Aptos" w:hAnsi="Aptos"/>
                <w:sz w:val="18"/>
              </w:rPr>
              <w:t>Lifecycle</w:t>
            </w:r>
          </w:p>
        </w:tc>
        <w:tc>
          <w:tcPr>
            <w:tcW w:type="dxa" w:w="8064"/>
            <w:vAlign w:val="top"/>
          </w:tcPr>
          <w:p>
            <w:pPr>
              <w:spacing w:after="30"/>
            </w:pPr>
            <w:r>
              <w:rPr>
                <w:rFonts w:ascii="Aptos" w:hAnsi="Aptos"/>
                <w:sz w:val="18"/>
              </w:rPr>
              <w:t>The primary instance opens one connection before IPC/window startup and closes it exactly once during orderly shutdown.</w:t>
            </w:r>
          </w:p>
        </w:tc>
      </w:tr>
      <w:tr>
        <w:tc>
          <w:tcPr>
            <w:tcW w:type="dxa" w:w="2232"/>
            <w:vAlign w:val="top"/>
            <w:shd w:fill="F3F6FA"/>
          </w:tcPr>
          <w:p>
            <w:pPr>
              <w:spacing w:after="30"/>
            </w:pPr>
            <w:r>
              <w:rPr>
                <w:rFonts w:ascii="Aptos" w:hAnsi="Aptos"/>
                <w:sz w:val="18"/>
              </w:rPr>
              <w:t>Health</w:t>
            </w:r>
          </w:p>
        </w:tc>
        <w:tc>
          <w:tcPr>
            <w:tcW w:type="dxa" w:w="8064"/>
            <w:vAlign w:val="top"/>
            <w:shd w:fill="F3F6FA"/>
          </w:tcPr>
          <w:p>
            <w:pPr>
              <w:spacing w:after="30"/>
            </w:pPr>
            <w:r>
              <w:rPr>
                <w:rFonts w:ascii="Aptos" w:hAnsi="Aptos"/>
                <w:sz w:val="18"/>
              </w:rPr>
              <w:t>app.getHealth reports database: ready only from a live validated database runtime; renderer displays Ready.</w:t>
            </w:r>
          </w:p>
        </w:tc>
      </w:tr>
      <w:tr>
        <w:tc>
          <w:tcPr>
            <w:tcW w:type="dxa" w:w="2232"/>
            <w:vAlign w:val="top"/>
          </w:tcPr>
          <w:p>
            <w:pPr>
              <w:spacing w:after="30"/>
            </w:pPr>
            <w:r>
              <w:rPr>
                <w:rFonts w:ascii="Aptos" w:hAnsi="Aptos"/>
                <w:sz w:val="18"/>
              </w:rPr>
              <w:t>Failure handling</w:t>
            </w:r>
          </w:p>
        </w:tc>
        <w:tc>
          <w:tcPr>
            <w:tcW w:type="dxa" w:w="8064"/>
            <w:vAlign w:val="top"/>
          </w:tcPr>
          <w:p>
            <w:pPr>
              <w:spacing w:after="30"/>
            </w:pPr>
            <w:r>
              <w:rPr>
                <w:rFonts w:ascii="Aptos" w:hAnsi="Aptos"/>
                <w:sz w:val="18"/>
              </w:rPr>
              <w:t>Initialization failure is fatal before renderer load and logs only safe operational context.</w:t>
            </w:r>
          </w:p>
        </w:tc>
      </w:tr>
      <w:tr>
        <w:tc>
          <w:tcPr>
            <w:tcW w:type="dxa" w:w="2232"/>
            <w:vAlign w:val="top"/>
            <w:shd w:fill="F3F6FA"/>
          </w:tcPr>
          <w:p>
            <w:pPr>
              <w:spacing w:after="30"/>
            </w:pPr>
            <w:r>
              <w:rPr>
                <w:rFonts w:ascii="Aptos" w:hAnsi="Aptos"/>
                <w:sz w:val="18"/>
              </w:rPr>
              <w:t>Packaging</w:t>
            </w:r>
          </w:p>
        </w:tc>
        <w:tc>
          <w:tcPr>
            <w:tcW w:type="dxa" w:w="8064"/>
            <w:vAlign w:val="top"/>
            <w:shd w:fill="F3F6FA"/>
          </w:tcPr>
          <w:p>
            <w:pPr>
              <w:spacing w:after="30"/>
            </w:pPr>
            <w:r>
              <w:rPr>
                <w:rFonts w:ascii="Aptos" w:hAnsi="Aptos"/>
                <w:sz w:val="18"/>
              </w:rPr>
              <w:t>The native .node binary is outside ASAR as required and the unpacked Windows executable opens the database successfully.</w:t>
            </w:r>
          </w:p>
        </w:tc>
      </w:tr>
      <w:tr>
        <w:tc>
          <w:tcPr>
            <w:tcW w:type="dxa" w:w="2232"/>
            <w:vAlign w:val="top"/>
          </w:tcPr>
          <w:p>
            <w:pPr>
              <w:spacing w:after="30"/>
            </w:pPr>
            <w:r>
              <w:rPr>
                <w:rFonts w:ascii="Aptos" w:hAnsi="Aptos"/>
                <w:sz w:val="18"/>
              </w:rPr>
              <w:t>Tests</w:t>
            </w:r>
          </w:p>
        </w:tc>
        <w:tc>
          <w:tcPr>
            <w:tcW w:type="dxa" w:w="8064"/>
            <w:vAlign w:val="top"/>
          </w:tcPr>
          <w:p>
            <w:pPr>
              <w:spacing w:after="30"/>
            </w:pPr>
            <w:r>
              <w:rPr>
                <w:rFonts w:ascii="Aptos" w:hAnsi="Aptos"/>
                <w:sz w:val="18"/>
              </w:rPr>
              <w:t>Temporary-database integration tests prove file creation, pragmas, health, close behavior, and safe failure logging.</w:t>
            </w:r>
          </w:p>
        </w:tc>
      </w:tr>
    </w:tbl>
    <w:p>
      <w:pPr>
        <w:spacing w:after="80"/>
      </w:pPr>
    </w:p>
    <w:p>
      <w:pPr>
        <w:pStyle w:val="Heading1"/>
        <w:keepNext/>
        <w:spacing w:before="200" w:after="80"/>
      </w:pPr>
      <w:r>
        <w:t>5.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12"/>
            <w:vAlign w:val="center"/>
            <w:shd w:fill="163A5F"/>
          </w:tcPr>
          <w:p>
            <w:pPr>
              <w:spacing w:after="30"/>
            </w:pPr>
            <w:r>
              <w:rPr>
                <w:rFonts w:ascii="Aptos" w:hAnsi="Aptos"/>
                <w:b/>
                <w:color w:val="FFFFFF"/>
                <w:sz w:val="18"/>
              </w:rPr>
              <w:t>In scope</w:t>
            </w:r>
          </w:p>
        </w:tc>
        <w:tc>
          <w:tcPr>
            <w:tcW w:type="dxa" w:w="5112"/>
            <w:vAlign w:val="center"/>
            <w:shd w:fill="163A5F"/>
          </w:tcPr>
          <w:p>
            <w:pPr>
              <w:spacing w:after="30"/>
            </w:pPr>
            <w:r>
              <w:rPr>
                <w:rFonts w:ascii="Aptos" w:hAnsi="Aptos"/>
                <w:b/>
                <w:color w:val="FFFFFF"/>
                <w:sz w:val="18"/>
              </w:rPr>
              <w:t>Out of scope</w:t>
            </w:r>
          </w:p>
        </w:tc>
      </w:tr>
      <w:tr>
        <w:tc>
          <w:tcPr>
            <w:tcW w:type="dxa" w:w="5112"/>
            <w:vAlign w:val="top"/>
          </w:tcPr>
          <w:p>
            <w:pPr>
              <w:spacing w:after="30"/>
            </w:pPr>
            <w:r>
              <w:rPr>
                <w:rFonts w:ascii="Aptos" w:hAnsi="Aptos"/>
                <w:sz w:val="18"/>
              </w:rPr>
              <w:t>Pinned better-sqlite3 runtime dependency and type definitions</w:t>
            </w:r>
          </w:p>
        </w:tc>
        <w:tc>
          <w:tcPr>
            <w:tcW w:type="dxa" w:w="5112"/>
            <w:vAlign w:val="top"/>
          </w:tcPr>
          <w:p>
            <w:pPr>
              <w:spacing w:after="30"/>
            </w:pPr>
            <w:r>
              <w:rPr>
                <w:rFonts w:ascii="Aptos" w:hAnsi="Aptos"/>
                <w:sz w:val="18"/>
              </w:rPr>
              <w:t>Numbered SQL migrations or migration metadata tables</w:t>
            </w:r>
          </w:p>
        </w:tc>
      </w:tr>
      <w:tr>
        <w:tc>
          <w:tcPr>
            <w:tcW w:type="dxa" w:w="5112"/>
            <w:vAlign w:val="top"/>
            <w:shd w:fill="F3F6FA"/>
          </w:tcPr>
          <w:p>
            <w:pPr>
              <w:spacing w:after="30"/>
            </w:pPr>
            <w:r>
              <w:rPr>
                <w:rFonts w:ascii="Aptos" w:hAnsi="Aptos"/>
                <w:sz w:val="18"/>
              </w:rPr>
              <w:t>Electron-compatible native dependency installation and packaging</w:t>
            </w:r>
          </w:p>
        </w:tc>
        <w:tc>
          <w:tcPr>
            <w:tcW w:type="dxa" w:w="5112"/>
            <w:vAlign w:val="top"/>
            <w:shd w:fill="F3F6FA"/>
          </w:tcPr>
          <w:p>
            <w:pPr>
              <w:spacing w:after="30"/>
            </w:pPr>
            <w:r>
              <w:rPr>
                <w:rFonts w:ascii="Aptos" w:hAnsi="Aptos"/>
                <w:sz w:val="18"/>
              </w:rPr>
              <w:t>Patient, screening, referral, follow-up, user, location, protocol, audit, or outbox tables</w:t>
            </w:r>
          </w:p>
        </w:tc>
      </w:tr>
      <w:tr>
        <w:tc>
          <w:tcPr>
            <w:tcW w:type="dxa" w:w="5112"/>
            <w:vAlign w:val="top"/>
          </w:tcPr>
          <w:p>
            <w:pPr>
              <w:spacing w:after="30"/>
            </w:pPr>
            <w:r>
              <w:rPr>
                <w:rFonts w:ascii="Aptos" w:hAnsi="Aptos"/>
                <w:sz w:val="18"/>
              </w:rPr>
              <w:t>Main-process database path provider and data-directory creation</w:t>
            </w:r>
          </w:p>
        </w:tc>
        <w:tc>
          <w:tcPr>
            <w:tcW w:type="dxa" w:w="5112"/>
            <w:vAlign w:val="top"/>
          </w:tcPr>
          <w:p>
            <w:pPr>
              <w:spacing w:after="30"/>
            </w:pPr>
            <w:r>
              <w:rPr>
                <w:rFonts w:ascii="Aptos" w:hAnsi="Aptos"/>
                <w:sz w:val="18"/>
              </w:rPr>
              <w:t>Repositories, services, domain models, CRUD operations, search, or transactions for application records</w:t>
            </w:r>
          </w:p>
        </w:tc>
      </w:tr>
      <w:tr>
        <w:tc>
          <w:tcPr>
            <w:tcW w:type="dxa" w:w="5112"/>
            <w:vAlign w:val="top"/>
            <w:shd w:fill="F3F6FA"/>
          </w:tcPr>
          <w:p>
            <w:pPr>
              <w:spacing w:after="30"/>
            </w:pPr>
            <w:r>
              <w:rPr>
                <w:rFonts w:ascii="Aptos" w:hAnsi="Aptos"/>
                <w:sz w:val="18"/>
              </w:rPr>
              <w:t>Single owned SQLite connection and idempotent close behavior</w:t>
            </w:r>
          </w:p>
        </w:tc>
        <w:tc>
          <w:tcPr>
            <w:tcW w:type="dxa" w:w="5112"/>
            <w:vAlign w:val="top"/>
            <w:shd w:fill="F3F6FA"/>
          </w:tcPr>
          <w:p>
            <w:pPr>
              <w:spacing w:after="30"/>
            </w:pPr>
            <w:r>
              <w:rPr>
                <w:rFonts w:ascii="Aptos" w:hAnsi="Aptos"/>
                <w:sz w:val="18"/>
              </w:rPr>
              <w:t>Authentication, roles, permissions, first-run setup, or credential storage</w:t>
            </w:r>
          </w:p>
        </w:tc>
      </w:tr>
      <w:tr>
        <w:tc>
          <w:tcPr>
            <w:tcW w:type="dxa" w:w="5112"/>
            <w:vAlign w:val="top"/>
          </w:tcPr>
          <w:p>
            <w:pPr>
              <w:spacing w:after="30"/>
            </w:pPr>
            <w:r>
              <w:rPr>
                <w:rFonts w:ascii="Aptos" w:hAnsi="Aptos"/>
                <w:sz w:val="18"/>
              </w:rPr>
              <w:t>Approved SQLite pragmas and startup verification</w:t>
            </w:r>
          </w:p>
        </w:tc>
        <w:tc>
          <w:tcPr>
            <w:tcW w:type="dxa" w:w="5112"/>
            <w:vAlign w:val="top"/>
          </w:tcPr>
          <w:p>
            <w:pPr>
              <w:spacing w:after="30"/>
            </w:pPr>
            <w:r>
              <w:rPr>
                <w:rFonts w:ascii="Aptos" w:hAnsi="Aptos"/>
                <w:sz w:val="18"/>
              </w:rPr>
              <w:t>SQLCipher, field encryption, key management, or secrets storage</w:t>
            </w:r>
          </w:p>
        </w:tc>
      </w:tr>
      <w:tr>
        <w:tc>
          <w:tcPr>
            <w:tcW w:type="dxa" w:w="5112"/>
            <w:vAlign w:val="top"/>
            <w:shd w:fill="F3F6FA"/>
          </w:tcPr>
          <w:p>
            <w:pPr>
              <w:spacing w:after="30"/>
            </w:pPr>
            <w:r>
              <w:rPr>
                <w:rFonts w:ascii="Aptos" w:hAnsi="Aptos"/>
                <w:sz w:val="18"/>
              </w:rPr>
              <w:t>Database health provider integrated with app.getHealth</w:t>
            </w:r>
          </w:p>
        </w:tc>
        <w:tc>
          <w:tcPr>
            <w:tcW w:type="dxa" w:w="5112"/>
            <w:vAlign w:val="top"/>
            <w:shd w:fill="F3F6FA"/>
          </w:tcPr>
          <w:p>
            <w:pPr>
              <w:spacing w:after="30"/>
            </w:pPr>
            <w:r>
              <w:rPr>
                <w:rFonts w:ascii="Aptos" w:hAnsi="Aptos"/>
                <w:sz w:val="18"/>
              </w:rPr>
              <w:t>Generic query/execute IPC, SQL strings from renderer, or database inspector UI</w:t>
            </w:r>
          </w:p>
        </w:tc>
      </w:tr>
      <w:tr>
        <w:tc>
          <w:tcPr>
            <w:tcW w:type="dxa" w:w="5112"/>
            <w:vAlign w:val="top"/>
          </w:tcPr>
          <w:p>
            <w:pPr>
              <w:spacing w:after="30"/>
            </w:pPr>
            <w:r>
              <w:rPr>
                <w:rFonts w:ascii="Aptos" w:hAnsi="Aptos"/>
                <w:sz w:val="18"/>
              </w:rPr>
              <w:t>Safe operational logging for database startup/shutdown failures</w:t>
            </w:r>
          </w:p>
        </w:tc>
        <w:tc>
          <w:tcPr>
            <w:tcW w:type="dxa" w:w="5112"/>
            <w:vAlign w:val="top"/>
          </w:tcPr>
          <w:p>
            <w:pPr>
              <w:spacing w:after="30"/>
            </w:pPr>
            <w:r>
              <w:rPr>
                <w:rFonts w:ascii="Aptos" w:hAnsi="Aptos"/>
                <w:sz w:val="18"/>
              </w:rPr>
              <w:t>Backup, restore, vacuum scheduling, integrity-repair workflow, or synchronization</w:t>
            </w:r>
          </w:p>
        </w:tc>
      </w:tr>
      <w:tr>
        <w:tc>
          <w:tcPr>
            <w:tcW w:type="dxa" w:w="5112"/>
            <w:vAlign w:val="top"/>
            <w:shd w:fill="F3F6FA"/>
          </w:tcPr>
          <w:p>
            <w:pPr>
              <w:spacing w:after="30"/>
            </w:pPr>
            <w:r>
              <w:rPr>
                <w:rFonts w:ascii="Aptos" w:hAnsi="Aptos"/>
                <w:sz w:val="18"/>
              </w:rPr>
              <w:t>Node integration tests, Electron development smoke test, and unpacked package test</w:t>
            </w:r>
          </w:p>
        </w:tc>
        <w:tc>
          <w:tcPr>
            <w:tcW w:type="dxa" w:w="5112"/>
            <w:vAlign w:val="top"/>
            <w:shd w:fill="F3F6FA"/>
          </w:tcPr>
          <w:p>
            <w:pPr>
              <w:spacing w:after="30"/>
            </w:pPr>
            <w:r>
              <w:rPr>
                <w:rFonts w:ascii="Aptos" w:hAnsi="Aptos"/>
                <w:sz w:val="18"/>
              </w:rPr>
              <w:t>CI workflows, installer signing, auto-update, telemetry, cloud API, PostgreSQL, FHIR, portal, or AI</w:t>
            </w:r>
          </w:p>
        </w:tc>
      </w:tr>
      <w:tr>
        <w:tc>
          <w:tcPr>
            <w:tcW w:type="dxa" w:w="5112"/>
            <w:vAlign w:val="top"/>
          </w:tcPr>
          <w:p>
            <w:pPr>
              <w:spacing w:after="30"/>
            </w:pPr>
            <w:r>
              <w:rPr>
                <w:rFonts w:ascii="Aptos" w:hAnsi="Aptos"/>
                <w:sz w:val="18"/>
              </w:rPr>
              <w:t>ADR-002 and ADR-003 plus SQLite runtime documentation</w:t>
            </w:r>
          </w:p>
        </w:tc>
        <w:tc>
          <w:tcPr>
            <w:tcW w:type="dxa" w:w="5112"/>
            <w:vAlign w:val="top"/>
          </w:tcPr>
          <w:p>
            <w:pPr>
              <w:spacing w:after="30"/>
            </w:pPr>
            <w:r>
              <w:rPr>
                <w:rFonts w:ascii="Aptos" w:hAnsi="Aptos"/>
                <w:sz w:val="18"/>
              </w:rPr>
              <w:t>Visual redesign, routing, navigation, dashboard expansion, or clinical wording</w:t>
            </w:r>
          </w:p>
        </w:tc>
      </w:tr>
    </w:tbl>
    <w:p>
      <w:pPr>
        <w:spacing w:after="80"/>
      </w:pPr>
    </w:p>
    <w:p>
      <w:pPr>
        <w:pStyle w:val="Heading1"/>
        <w:keepNext/>
        <w:spacing w:before="200" w:after="80"/>
      </w:pPr>
      <w:r>
        <w:t>6. Required Files</w:t>
      </w:r>
    </w:p>
    <w:p>
      <w:pPr>
        <w:spacing w:after="80"/>
      </w:pPr>
      <w:r>
        <w:t>Equivalent names are acceptable only when the same responsibility boundaries remain explicit. Do not collapse database lifecycle, path resolution, health, IPC contracts, and renderer code into one file.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72"/>
            <w:vAlign w:val="center"/>
            <w:shd w:fill="163A5F"/>
          </w:tcPr>
          <w:p>
            <w:pPr>
              <w:spacing w:after="30"/>
            </w:pPr>
            <w:r>
              <w:rPr>
                <w:rFonts w:ascii="Aptos" w:hAnsi="Aptos"/>
                <w:b/>
                <w:color w:val="FFFFFF"/>
                <w:sz w:val="18"/>
              </w:rPr>
              <w:t>Path</w:t>
            </w:r>
          </w:p>
        </w:tc>
        <w:tc>
          <w:tcPr>
            <w:tcW w:type="dxa" w:w="1512"/>
            <w:vAlign w:val="center"/>
            <w:shd w:fill="163A5F"/>
          </w:tcPr>
          <w:p>
            <w:pPr>
              <w:spacing w:after="30"/>
            </w:pPr>
            <w:r>
              <w:rPr>
                <w:rFonts w:ascii="Aptos" w:hAnsi="Aptos"/>
                <w:b/>
                <w:color w:val="FFFFFF"/>
                <w:sz w:val="18"/>
              </w:rPr>
              <w:t>Action</w:t>
            </w:r>
          </w:p>
        </w:tc>
        <w:tc>
          <w:tcPr>
            <w:tcW w:type="dxa" w:w="5112"/>
            <w:vAlign w:val="center"/>
            <w:shd w:fill="163A5F"/>
          </w:tcPr>
          <w:p>
            <w:pPr>
              <w:spacing w:after="30"/>
            </w:pPr>
            <w:r>
              <w:rPr>
                <w:rFonts w:ascii="Aptos" w:hAnsi="Aptos"/>
                <w:b/>
                <w:color w:val="FFFFFF"/>
                <w:sz w:val="18"/>
              </w:rPr>
              <w:t>Responsibility</w:t>
            </w:r>
          </w:p>
        </w:tc>
      </w:tr>
      <w:tr>
        <w:tc>
          <w:tcPr>
            <w:tcW w:type="dxa" w:w="3672"/>
            <w:vAlign w:val="top"/>
          </w:tcPr>
          <w:p>
            <w:pPr>
              <w:spacing w:after="30"/>
            </w:pPr>
            <w:r>
              <w:rPr>
                <w:rFonts w:ascii="Aptos" w:hAnsi="Aptos"/>
                <w:sz w:val="18"/>
              </w:rPr>
              <w:t>package.json and pnpm-lock.yaml</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Add exact production native dependency and type definitions; preserve existing scripts and package manager.</w:t>
            </w:r>
          </w:p>
        </w:tc>
      </w:tr>
      <w:tr>
        <w:tc>
          <w:tcPr>
            <w:tcW w:type="dxa" w:w="3672"/>
            <w:vAlign w:val="top"/>
            <w:shd w:fill="F3F6FA"/>
          </w:tcPr>
          <w:p>
            <w:pPr>
              <w:spacing w:after="30"/>
            </w:pPr>
            <w:r>
              <w:rPr>
                <w:rFonts w:ascii="Aptos" w:hAnsi="Aptos"/>
                <w:sz w:val="18"/>
              </w:rPr>
              <w:t>electron-builder.yml</w:t>
            </w:r>
          </w:p>
        </w:tc>
        <w:tc>
          <w:tcPr>
            <w:tcW w:type="dxa" w:w="1512"/>
            <w:vAlign w:val="top"/>
            <w:shd w:fill="F3F6FA"/>
          </w:tcPr>
          <w:p>
            <w:pPr>
              <w:spacing w:after="30"/>
            </w:pPr>
            <w:r>
              <w:rPr>
                <w:rFonts w:ascii="Aptos" w:hAnsi="Aptos"/>
                <w:sz w:val="18"/>
              </w:rPr>
              <w:t>Modify</w:t>
            </w:r>
          </w:p>
        </w:tc>
        <w:tc>
          <w:tcPr>
            <w:tcW w:type="dxa" w:w="5112"/>
            <w:vAlign w:val="top"/>
            <w:shd w:fill="F3F6FA"/>
          </w:tcPr>
          <w:p>
            <w:pPr>
              <w:spacing w:after="30"/>
            </w:pPr>
            <w:r>
              <w:rPr>
                <w:rFonts w:ascii="Aptos" w:hAnsi="Aptos"/>
                <w:sz w:val="18"/>
              </w:rPr>
              <w:t>Ensure the better-sqlite3 native binary is unpacked from ASAR and preserve existing packaging settings.</w:t>
            </w:r>
          </w:p>
        </w:tc>
      </w:tr>
      <w:tr>
        <w:tc>
          <w:tcPr>
            <w:tcW w:type="dxa" w:w="3672"/>
            <w:vAlign w:val="top"/>
          </w:tcPr>
          <w:p>
            <w:pPr>
              <w:spacing w:after="30"/>
            </w:pPr>
            <w:r>
              <w:rPr>
                <w:rFonts w:ascii="Aptos" w:hAnsi="Aptos"/>
                <w:sz w:val="18"/>
              </w:rPr>
              <w:t>electron.vite.config.ts</w:t>
            </w:r>
          </w:p>
        </w:tc>
        <w:tc>
          <w:tcPr>
            <w:tcW w:type="dxa" w:w="1512"/>
            <w:vAlign w:val="top"/>
          </w:tcPr>
          <w:p>
            <w:pPr>
              <w:spacing w:after="30"/>
            </w:pPr>
            <w:r>
              <w:rPr>
                <w:rFonts w:ascii="Aptos" w:hAnsi="Aptos"/>
                <w:sz w:val="18"/>
              </w:rPr>
              <w:t>Review / narrowly modify</w:t>
            </w:r>
          </w:p>
        </w:tc>
        <w:tc>
          <w:tcPr>
            <w:tcW w:type="dxa" w:w="5112"/>
            <w:vAlign w:val="top"/>
          </w:tcPr>
          <w:p>
            <w:pPr>
              <w:spacing w:after="30"/>
            </w:pPr>
            <w:r>
              <w:rPr>
                <w:rFonts w:ascii="Aptos" w:hAnsi="Aptos"/>
                <w:sz w:val="18"/>
              </w:rPr>
              <w:t>Keep better-sqlite3 external to the main bundle; do not import or bundle it into preload or renderer.</w:t>
            </w:r>
          </w:p>
        </w:tc>
      </w:tr>
      <w:tr>
        <w:tc>
          <w:tcPr>
            <w:tcW w:type="dxa" w:w="3672"/>
            <w:vAlign w:val="top"/>
            <w:shd w:fill="F3F6FA"/>
          </w:tcPr>
          <w:p>
            <w:pPr>
              <w:spacing w:after="30"/>
            </w:pPr>
            <w:r>
              <w:rPr>
                <w:rFonts w:ascii="Aptos" w:hAnsi="Aptos"/>
                <w:sz w:val="18"/>
              </w:rPr>
              <w:t>.gitignore</w:t>
            </w:r>
          </w:p>
        </w:tc>
        <w:tc>
          <w:tcPr>
            <w:tcW w:type="dxa" w:w="1512"/>
            <w:vAlign w:val="top"/>
            <w:shd w:fill="F3F6FA"/>
          </w:tcPr>
          <w:p>
            <w:pPr>
              <w:spacing w:after="30"/>
            </w:pPr>
            <w:r>
              <w:rPr>
                <w:rFonts w:ascii="Aptos" w:hAnsi="Aptos"/>
                <w:sz w:val="18"/>
              </w:rPr>
              <w:t>Modify if needed</w:t>
            </w:r>
          </w:p>
        </w:tc>
        <w:tc>
          <w:tcPr>
            <w:tcW w:type="dxa" w:w="5112"/>
            <w:vAlign w:val="top"/>
            <w:shd w:fill="F3F6FA"/>
          </w:tcPr>
          <w:p>
            <w:pPr>
              <w:spacing w:after="30"/>
            </w:pPr>
            <w:r>
              <w:rPr>
                <w:rFonts w:ascii="Aptos" w:hAnsi="Aptos"/>
                <w:sz w:val="18"/>
              </w:rPr>
              <w:t>Prevent accidental repository commits of SQLite database, WAL, and SHM files.</w:t>
            </w:r>
          </w:p>
        </w:tc>
      </w:tr>
      <w:tr>
        <w:tc>
          <w:tcPr>
            <w:tcW w:type="dxa" w:w="3672"/>
            <w:vAlign w:val="top"/>
          </w:tcPr>
          <w:p>
            <w:pPr>
              <w:spacing w:after="30"/>
            </w:pPr>
            <w:r>
              <w:rPr>
                <w:rFonts w:ascii="Aptos" w:hAnsi="Aptos"/>
                <w:sz w:val="18"/>
              </w:rPr>
              <w:t>src/main/database/database-path.ts</w:t>
            </w:r>
          </w:p>
        </w:tc>
        <w:tc>
          <w:tcPr>
            <w:tcW w:type="dxa" w:w="1512"/>
            <w:vAlign w:val="top"/>
          </w:tcPr>
          <w:p>
            <w:pPr>
              <w:spacing w:after="30"/>
            </w:pPr>
            <w:r>
              <w:rPr>
                <w:rFonts w:ascii="Aptos" w:hAnsi="Aptos"/>
                <w:sz w:val="18"/>
              </w:rPr>
              <w:t>Create</w:t>
            </w:r>
          </w:p>
        </w:tc>
        <w:tc>
          <w:tcPr>
            <w:tcW w:type="dxa" w:w="5112"/>
            <w:vAlign w:val="top"/>
          </w:tcPr>
          <w:p>
            <w:pPr>
              <w:spacing w:after="30"/>
            </w:pPr>
            <w:r>
              <w:rPr>
                <w:rFonts w:ascii="Aptos" w:hAnsi="Aptos"/>
                <w:sz w:val="18"/>
              </w:rPr>
              <w:t>Resolve the production data directory and database filename from an injected userData directory.</w:t>
            </w:r>
          </w:p>
        </w:tc>
      </w:tr>
      <w:tr>
        <w:tc>
          <w:tcPr>
            <w:tcW w:type="dxa" w:w="3672"/>
            <w:vAlign w:val="top"/>
            <w:shd w:fill="F3F6FA"/>
          </w:tcPr>
          <w:p>
            <w:pPr>
              <w:spacing w:after="30"/>
            </w:pPr>
            <w:r>
              <w:rPr>
                <w:rFonts w:ascii="Aptos" w:hAnsi="Aptos"/>
                <w:sz w:val="18"/>
              </w:rPr>
              <w:t>src/main/database/sqlite-runtime.ts</w:t>
            </w:r>
          </w:p>
        </w:tc>
        <w:tc>
          <w:tcPr>
            <w:tcW w:type="dxa" w:w="1512"/>
            <w:vAlign w:val="top"/>
            <w:shd w:fill="F3F6FA"/>
          </w:tcPr>
          <w:p>
            <w:pPr>
              <w:spacing w:after="30"/>
            </w:pPr>
            <w:r>
              <w:rPr>
                <w:rFonts w:ascii="Aptos" w:hAnsi="Aptos"/>
                <w:sz w:val="18"/>
              </w:rPr>
              <w:t>Create</w:t>
            </w:r>
          </w:p>
        </w:tc>
        <w:tc>
          <w:tcPr>
            <w:tcW w:type="dxa" w:w="5112"/>
            <w:vAlign w:val="top"/>
            <w:shd w:fill="F3F6FA"/>
          </w:tcPr>
          <w:p>
            <w:pPr>
              <w:spacing w:after="30"/>
            </w:pPr>
            <w:r>
              <w:rPr>
                <w:rFonts w:ascii="Aptos" w:hAnsi="Aptos"/>
                <w:sz w:val="18"/>
              </w:rPr>
              <w:t>Own the better-sqlite3 connection, apply/verify pragmas, provide health, and close idempotently.</w:t>
            </w:r>
          </w:p>
        </w:tc>
      </w:tr>
      <w:tr>
        <w:tc>
          <w:tcPr>
            <w:tcW w:type="dxa" w:w="3672"/>
            <w:vAlign w:val="top"/>
          </w:tcPr>
          <w:p>
            <w:pPr>
              <w:spacing w:after="30"/>
            </w:pPr>
            <w:r>
              <w:rPr>
                <w:rFonts w:ascii="Aptos" w:hAnsi="Aptos"/>
                <w:sz w:val="18"/>
              </w:rPr>
              <w:t>src/main/database/database-health.ts</w:t>
            </w:r>
          </w:p>
        </w:tc>
        <w:tc>
          <w:tcPr>
            <w:tcW w:type="dxa" w:w="1512"/>
            <w:vAlign w:val="top"/>
          </w:tcPr>
          <w:p>
            <w:pPr>
              <w:spacing w:after="30"/>
            </w:pPr>
            <w:r>
              <w:rPr>
                <w:rFonts w:ascii="Aptos" w:hAnsi="Aptos"/>
                <w:sz w:val="18"/>
              </w:rPr>
              <w:t>Create or combine narrowly</w:t>
            </w:r>
          </w:p>
        </w:tc>
        <w:tc>
          <w:tcPr>
            <w:tcW w:type="dxa" w:w="5112"/>
            <w:vAlign w:val="top"/>
          </w:tcPr>
          <w:p>
            <w:pPr>
              <w:spacing w:after="30"/>
            </w:pPr>
            <w:r>
              <w:rPr>
                <w:rFonts w:ascii="Aptos" w:hAnsi="Aptos"/>
                <w:sz w:val="18"/>
              </w:rPr>
              <w:t>Trusted internal database status contract and health-check logic.</w:t>
            </w:r>
          </w:p>
        </w:tc>
      </w:tr>
      <w:tr>
        <w:tc>
          <w:tcPr>
            <w:tcW w:type="dxa" w:w="3672"/>
            <w:vAlign w:val="top"/>
            <w:shd w:fill="F3F6FA"/>
          </w:tcPr>
          <w:p>
            <w:pPr>
              <w:spacing w:after="30"/>
            </w:pPr>
            <w:r>
              <w:rPr>
                <w:rFonts w:ascii="Aptos" w:hAnsi="Aptos"/>
                <w:sz w:val="18"/>
              </w:rPr>
              <w:t>src/main/database/index.ts</w:t>
            </w:r>
          </w:p>
        </w:tc>
        <w:tc>
          <w:tcPr>
            <w:tcW w:type="dxa" w:w="1512"/>
            <w:vAlign w:val="top"/>
            <w:shd w:fill="F3F6FA"/>
          </w:tcPr>
          <w:p>
            <w:pPr>
              <w:spacing w:after="30"/>
            </w:pPr>
            <w:r>
              <w:rPr>
                <w:rFonts w:ascii="Aptos" w:hAnsi="Aptos"/>
                <w:sz w:val="18"/>
              </w:rPr>
              <w:t>Create</w:t>
            </w:r>
          </w:p>
        </w:tc>
        <w:tc>
          <w:tcPr>
            <w:tcW w:type="dxa" w:w="5112"/>
            <w:vAlign w:val="top"/>
            <w:shd w:fill="F3F6FA"/>
          </w:tcPr>
          <w:p>
            <w:pPr>
              <w:spacing w:after="30"/>
            </w:pPr>
            <w:r>
              <w:rPr>
                <w:rFonts w:ascii="Aptos" w:hAnsi="Aptos"/>
                <w:sz w:val="18"/>
              </w:rPr>
              <w:t>Main-process-only public exports for database runtime construction and types.</w:t>
            </w:r>
          </w:p>
        </w:tc>
      </w:tr>
      <w:tr>
        <w:tc>
          <w:tcPr>
            <w:tcW w:type="dxa" w:w="3672"/>
            <w:vAlign w:val="top"/>
          </w:tcPr>
          <w:p>
            <w:pPr>
              <w:spacing w:after="30"/>
            </w:pPr>
            <w:r>
              <w:rPr>
                <w:rFonts w:ascii="Aptos" w:hAnsi="Aptos"/>
                <w:sz w:val="18"/>
              </w:rPr>
              <w:t>src/main/app/application-info.ts</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Build app.getHealth from an injected database-health provider instead of hardcoding not-configured.</w:t>
            </w:r>
          </w:p>
        </w:tc>
      </w:tr>
      <w:tr>
        <w:tc>
          <w:tcPr>
            <w:tcW w:type="dxa" w:w="3672"/>
            <w:vAlign w:val="top"/>
            <w:shd w:fill="F3F6FA"/>
          </w:tcPr>
          <w:p>
            <w:pPr>
              <w:spacing w:after="30"/>
            </w:pPr>
            <w:r>
              <w:rPr>
                <w:rFonts w:ascii="Aptos" w:hAnsi="Aptos"/>
                <w:sz w:val="18"/>
              </w:rPr>
              <w:t>src/main/app/lifecycle.ts</w:t>
            </w:r>
          </w:p>
        </w:tc>
        <w:tc>
          <w:tcPr>
            <w:tcW w:type="dxa" w:w="1512"/>
            <w:vAlign w:val="top"/>
            <w:shd w:fill="F3F6FA"/>
          </w:tcPr>
          <w:p>
            <w:pPr>
              <w:spacing w:after="30"/>
            </w:pPr>
            <w:r>
              <w:rPr>
                <w:rFonts w:ascii="Aptos" w:hAnsi="Aptos"/>
                <w:sz w:val="18"/>
              </w:rPr>
              <w:t>Modify</w:t>
            </w:r>
          </w:p>
        </w:tc>
        <w:tc>
          <w:tcPr>
            <w:tcW w:type="dxa" w:w="5112"/>
            <w:vAlign w:val="top"/>
            <w:shd w:fill="F3F6FA"/>
          </w:tcPr>
          <w:p>
            <w:pPr>
              <w:spacing w:after="30"/>
            </w:pPr>
            <w:r>
              <w:rPr>
                <w:rFonts w:ascii="Aptos" w:hAnsi="Aptos"/>
                <w:sz w:val="18"/>
              </w:rPr>
              <w:t>Initialize database before IPC/window startup; register deterministic shutdown close handling.</w:t>
            </w:r>
          </w:p>
        </w:tc>
      </w:tr>
      <w:tr>
        <w:tc>
          <w:tcPr>
            <w:tcW w:type="dxa" w:w="3672"/>
            <w:vAlign w:val="top"/>
          </w:tcPr>
          <w:p>
            <w:pPr>
              <w:spacing w:after="30"/>
            </w:pPr>
            <w:r>
              <w:rPr>
                <w:rFonts w:ascii="Aptos" w:hAnsi="Aptos"/>
                <w:sz w:val="18"/>
              </w:rPr>
              <w:t>src/shared/ipc/app-contracts.ts</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Change database health from not-configured to strict ready/unavailable literals and infer result types.</w:t>
            </w:r>
          </w:p>
        </w:tc>
      </w:tr>
      <w:tr>
        <w:tc>
          <w:tcPr>
            <w:tcW w:type="dxa" w:w="3672"/>
            <w:vAlign w:val="top"/>
            <w:shd w:fill="F3F6FA"/>
          </w:tcPr>
          <w:p>
            <w:pPr>
              <w:spacing w:after="30"/>
            </w:pPr>
            <w:r>
              <w:rPr>
                <w:rFonts w:ascii="Aptos" w:hAnsi="Aptos"/>
                <w:sz w:val="18"/>
              </w:rPr>
              <w:t>src/main/ipc/handlers/app-handlers.ts</w:t>
            </w:r>
          </w:p>
        </w:tc>
        <w:tc>
          <w:tcPr>
            <w:tcW w:type="dxa" w:w="1512"/>
            <w:vAlign w:val="top"/>
            <w:shd w:fill="F3F6FA"/>
          </w:tcPr>
          <w:p>
            <w:pPr>
              <w:spacing w:after="30"/>
            </w:pPr>
            <w:r>
              <w:rPr>
                <w:rFonts w:ascii="Aptos" w:hAnsi="Aptos"/>
                <w:sz w:val="18"/>
              </w:rPr>
              <w:t>Modify</w:t>
            </w:r>
          </w:p>
        </w:tc>
        <w:tc>
          <w:tcPr>
            <w:tcW w:type="dxa" w:w="5112"/>
            <w:vAlign w:val="top"/>
            <w:shd w:fill="F3F6FA"/>
          </w:tcPr>
          <w:p>
            <w:pPr>
              <w:spacing w:after="30"/>
            </w:pPr>
            <w:r>
              <w:rPr>
                <w:rFonts w:ascii="Aptos" w:hAnsi="Aptos"/>
                <w:sz w:val="18"/>
              </w:rPr>
              <w:t>Wire the trusted health provider without adding database operations or renderer inputs.</w:t>
            </w:r>
          </w:p>
        </w:tc>
      </w:tr>
      <w:tr>
        <w:tc>
          <w:tcPr>
            <w:tcW w:type="dxa" w:w="3672"/>
            <w:vAlign w:val="top"/>
          </w:tcPr>
          <w:p>
            <w:pPr>
              <w:spacing w:after="30"/>
            </w:pPr>
            <w:r>
              <w:rPr>
                <w:rFonts w:ascii="Aptos" w:hAnsi="Aptos"/>
                <w:sz w:val="18"/>
              </w:rPr>
              <w:t>src/renderer/src/app/App.tsx</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Display Database: Ready or Unavailable while preserving all other foundation wording.</w:t>
            </w:r>
          </w:p>
        </w:tc>
      </w:tr>
      <w:tr>
        <w:tc>
          <w:tcPr>
            <w:tcW w:type="dxa" w:w="3672"/>
            <w:vAlign w:val="top"/>
            <w:shd w:fill="F3F6FA"/>
          </w:tcPr>
          <w:p>
            <w:pPr>
              <w:spacing w:after="30"/>
            </w:pPr>
            <w:r>
              <w:rPr>
                <w:rFonts w:ascii="Aptos" w:hAnsi="Aptos"/>
                <w:sz w:val="18"/>
              </w:rPr>
              <w:t>tests/integration/main/sqlite-runtime.test.ts</w:t>
            </w:r>
          </w:p>
        </w:tc>
        <w:tc>
          <w:tcPr>
            <w:tcW w:type="dxa" w:w="1512"/>
            <w:vAlign w:val="top"/>
            <w:shd w:fill="F3F6FA"/>
          </w:tcPr>
          <w:p>
            <w:pPr>
              <w:spacing w:after="30"/>
            </w:pPr>
            <w:r>
              <w:rPr>
                <w:rFonts w:ascii="Aptos" w:hAnsi="Aptos"/>
                <w:sz w:val="18"/>
              </w:rPr>
              <w:t>Create</w:t>
            </w:r>
          </w:p>
        </w:tc>
        <w:tc>
          <w:tcPr>
            <w:tcW w:type="dxa" w:w="5112"/>
            <w:vAlign w:val="top"/>
            <w:shd w:fill="F3F6FA"/>
          </w:tcPr>
          <w:p>
            <w:pPr>
              <w:spacing w:after="30"/>
            </w:pPr>
            <w:r>
              <w:rPr>
                <w:rFonts w:ascii="Aptos" w:hAnsi="Aptos"/>
                <w:sz w:val="18"/>
              </w:rPr>
              <w:t>Use temporary directories and a real SQLite file to test native runtime behavior.</w:t>
            </w:r>
          </w:p>
        </w:tc>
      </w:tr>
      <w:tr>
        <w:tc>
          <w:tcPr>
            <w:tcW w:type="dxa" w:w="3672"/>
            <w:vAlign w:val="top"/>
          </w:tcPr>
          <w:p>
            <w:pPr>
              <w:spacing w:after="30"/>
            </w:pPr>
            <w:r>
              <w:rPr>
                <w:rFonts w:ascii="Aptos" w:hAnsi="Aptos"/>
                <w:sz w:val="18"/>
              </w:rPr>
              <w:t>tests/unit/main/database-path.test.ts</w:t>
            </w:r>
          </w:p>
        </w:tc>
        <w:tc>
          <w:tcPr>
            <w:tcW w:type="dxa" w:w="1512"/>
            <w:vAlign w:val="top"/>
          </w:tcPr>
          <w:p>
            <w:pPr>
              <w:spacing w:after="30"/>
            </w:pPr>
            <w:r>
              <w:rPr>
                <w:rFonts w:ascii="Aptos" w:hAnsi="Aptos"/>
                <w:sz w:val="18"/>
              </w:rPr>
              <w:t>Create</w:t>
            </w:r>
          </w:p>
        </w:tc>
        <w:tc>
          <w:tcPr>
            <w:tcW w:type="dxa" w:w="5112"/>
            <w:vAlign w:val="top"/>
          </w:tcPr>
          <w:p>
            <w:pPr>
              <w:spacing w:after="30"/>
            </w:pPr>
            <w:r>
              <w:rPr>
                <w:rFonts w:ascii="Aptos" w:hAnsi="Aptos"/>
                <w:sz w:val="18"/>
              </w:rPr>
              <w:t>Verify deterministic path construction without Electron or real userData.</w:t>
            </w:r>
          </w:p>
        </w:tc>
      </w:tr>
      <w:tr>
        <w:tc>
          <w:tcPr>
            <w:tcW w:type="dxa" w:w="3672"/>
            <w:vAlign w:val="top"/>
            <w:shd w:fill="F3F6FA"/>
          </w:tcPr>
          <w:p>
            <w:pPr>
              <w:spacing w:after="30"/>
            </w:pPr>
            <w:r>
              <w:rPr>
                <w:rFonts w:ascii="Aptos" w:hAnsi="Aptos"/>
                <w:sz w:val="18"/>
              </w:rPr>
              <w:t>tests/unit/main/app-ipc-handlers.test.ts</w:t>
            </w:r>
          </w:p>
        </w:tc>
        <w:tc>
          <w:tcPr>
            <w:tcW w:type="dxa" w:w="1512"/>
            <w:vAlign w:val="top"/>
            <w:shd w:fill="F3F6FA"/>
          </w:tcPr>
          <w:p>
            <w:pPr>
              <w:spacing w:after="30"/>
            </w:pPr>
            <w:r>
              <w:rPr>
                <w:rFonts w:ascii="Aptos" w:hAnsi="Aptos"/>
                <w:sz w:val="18"/>
              </w:rPr>
              <w:t>Modify</w:t>
            </w:r>
          </w:p>
        </w:tc>
        <w:tc>
          <w:tcPr>
            <w:tcW w:type="dxa" w:w="5112"/>
            <w:vAlign w:val="top"/>
            <w:shd w:fill="F3F6FA"/>
          </w:tcPr>
          <w:p>
            <w:pPr>
              <w:spacing w:after="30"/>
            </w:pPr>
            <w:r>
              <w:rPr>
                <w:rFonts w:ascii="Aptos" w:hAnsi="Aptos"/>
                <w:sz w:val="18"/>
              </w:rPr>
              <w:t>Expect the updated database health contract and preserve all HSD-005 security tests.</w:t>
            </w:r>
          </w:p>
        </w:tc>
      </w:tr>
      <w:tr>
        <w:tc>
          <w:tcPr>
            <w:tcW w:type="dxa" w:w="3672"/>
            <w:vAlign w:val="top"/>
          </w:tcPr>
          <w:p>
            <w:pPr>
              <w:spacing w:after="30"/>
            </w:pPr>
            <w:r>
              <w:rPr>
                <w:rFonts w:ascii="Aptos" w:hAnsi="Aptos"/>
                <w:sz w:val="18"/>
              </w:rPr>
              <w:t>tests/unit/shared/ipc-contracts.test.ts</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Validate ready/unavailable and reject obsolete or unknown database states.</w:t>
            </w:r>
          </w:p>
        </w:tc>
      </w:tr>
      <w:tr>
        <w:tc>
          <w:tcPr>
            <w:tcW w:type="dxa" w:w="3672"/>
            <w:vAlign w:val="top"/>
            <w:shd w:fill="F3F6FA"/>
          </w:tcPr>
          <w:p>
            <w:pPr>
              <w:spacing w:after="30"/>
            </w:pPr>
            <w:r>
              <w:rPr>
                <w:rFonts w:ascii="Aptos" w:hAnsi="Aptos"/>
                <w:sz w:val="18"/>
              </w:rPr>
              <w:t>tests/unit/preload/preload-api.test.ts</w:t>
            </w:r>
          </w:p>
        </w:tc>
        <w:tc>
          <w:tcPr>
            <w:tcW w:type="dxa" w:w="1512"/>
            <w:vAlign w:val="top"/>
            <w:shd w:fill="F3F6FA"/>
          </w:tcPr>
          <w:p>
            <w:pPr>
              <w:spacing w:after="30"/>
            </w:pPr>
            <w:r>
              <w:rPr>
                <w:rFonts w:ascii="Aptos" w:hAnsi="Aptos"/>
                <w:sz w:val="18"/>
              </w:rPr>
              <w:t>Modify only if required</w:t>
            </w:r>
          </w:p>
        </w:tc>
        <w:tc>
          <w:tcPr>
            <w:tcW w:type="dxa" w:w="5112"/>
            <w:vAlign w:val="top"/>
            <w:shd w:fill="F3F6FA"/>
          </w:tcPr>
          <w:p>
            <w:pPr>
              <w:spacing w:after="30"/>
            </w:pPr>
            <w:r>
              <w:rPr>
                <w:rFonts w:ascii="Aptos" w:hAnsi="Aptos"/>
                <w:sz w:val="18"/>
              </w:rPr>
              <w:t>Preserve strict result validation with the updated health schema.</w:t>
            </w:r>
          </w:p>
        </w:tc>
      </w:tr>
      <w:tr>
        <w:tc>
          <w:tcPr>
            <w:tcW w:type="dxa" w:w="3672"/>
            <w:vAlign w:val="top"/>
          </w:tcPr>
          <w:p>
            <w:pPr>
              <w:spacing w:after="30"/>
            </w:pPr>
            <w:r>
              <w:rPr>
                <w:rFonts w:ascii="Aptos" w:hAnsi="Aptos"/>
                <w:sz w:val="18"/>
              </w:rPr>
              <w:t>docs/adr/ADR-002-main-process-only-sqlite.md</w:t>
            </w:r>
          </w:p>
        </w:tc>
        <w:tc>
          <w:tcPr>
            <w:tcW w:type="dxa" w:w="1512"/>
            <w:vAlign w:val="top"/>
          </w:tcPr>
          <w:p>
            <w:pPr>
              <w:spacing w:after="30"/>
            </w:pPr>
            <w:r>
              <w:rPr>
                <w:rFonts w:ascii="Aptos" w:hAnsi="Aptos"/>
                <w:sz w:val="18"/>
              </w:rPr>
              <w:t>Create</w:t>
            </w:r>
          </w:p>
        </w:tc>
        <w:tc>
          <w:tcPr>
            <w:tcW w:type="dxa" w:w="5112"/>
            <w:vAlign w:val="top"/>
          </w:tcPr>
          <w:p>
            <w:pPr>
              <w:spacing w:after="30"/>
            </w:pPr>
            <w:r>
              <w:rPr>
                <w:rFonts w:ascii="Aptos" w:hAnsi="Aptos"/>
                <w:sz w:val="18"/>
              </w:rPr>
              <w:t>Record the trusted-process database ownership decision and rejected alternatives.</w:t>
            </w:r>
          </w:p>
        </w:tc>
      </w:tr>
      <w:tr>
        <w:tc>
          <w:tcPr>
            <w:tcW w:type="dxa" w:w="3672"/>
            <w:vAlign w:val="top"/>
            <w:shd w:fill="F3F6FA"/>
          </w:tcPr>
          <w:p>
            <w:pPr>
              <w:spacing w:after="30"/>
            </w:pPr>
            <w:r>
              <w:rPr>
                <w:rFonts w:ascii="Aptos" w:hAnsi="Aptos"/>
                <w:sz w:val="18"/>
              </w:rPr>
              <w:t>docs/adr/ADR-003-better-sqlite3-native-dependency.md</w:t>
            </w:r>
          </w:p>
        </w:tc>
        <w:tc>
          <w:tcPr>
            <w:tcW w:type="dxa" w:w="1512"/>
            <w:vAlign w:val="top"/>
            <w:shd w:fill="F3F6FA"/>
          </w:tcPr>
          <w:p>
            <w:pPr>
              <w:spacing w:after="30"/>
            </w:pPr>
            <w:r>
              <w:rPr>
                <w:rFonts w:ascii="Aptos" w:hAnsi="Aptos"/>
                <w:sz w:val="18"/>
              </w:rPr>
              <w:t>Create</w:t>
            </w:r>
          </w:p>
        </w:tc>
        <w:tc>
          <w:tcPr>
            <w:tcW w:type="dxa" w:w="5112"/>
            <w:vAlign w:val="top"/>
            <w:shd w:fill="F3F6FA"/>
          </w:tcPr>
          <w:p>
            <w:pPr>
              <w:spacing w:after="30"/>
            </w:pPr>
            <w:r>
              <w:rPr>
                <w:rFonts w:ascii="Aptos" w:hAnsi="Aptos"/>
                <w:sz w:val="18"/>
              </w:rPr>
              <w:t>Record version pinning, native build, ASAR, and Windows package verification policy.</w:t>
            </w:r>
          </w:p>
        </w:tc>
      </w:tr>
      <w:tr>
        <w:tc>
          <w:tcPr>
            <w:tcW w:type="dxa" w:w="3672"/>
            <w:vAlign w:val="top"/>
          </w:tcPr>
          <w:p>
            <w:pPr>
              <w:spacing w:after="30"/>
            </w:pPr>
            <w:r>
              <w:rPr>
                <w:rFonts w:ascii="Aptos" w:hAnsi="Aptos"/>
                <w:sz w:val="18"/>
              </w:rPr>
              <w:t>docs/database/sqlite-runtime.md</w:t>
            </w:r>
          </w:p>
        </w:tc>
        <w:tc>
          <w:tcPr>
            <w:tcW w:type="dxa" w:w="1512"/>
            <w:vAlign w:val="top"/>
          </w:tcPr>
          <w:p>
            <w:pPr>
              <w:spacing w:after="30"/>
            </w:pPr>
            <w:r>
              <w:rPr>
                <w:rFonts w:ascii="Aptos" w:hAnsi="Aptos"/>
                <w:sz w:val="18"/>
              </w:rPr>
              <w:t>Create</w:t>
            </w:r>
          </w:p>
        </w:tc>
        <w:tc>
          <w:tcPr>
            <w:tcW w:type="dxa" w:w="5112"/>
            <w:vAlign w:val="top"/>
          </w:tcPr>
          <w:p>
            <w:pPr>
              <w:spacing w:after="30"/>
            </w:pPr>
            <w:r>
              <w:rPr>
                <w:rFonts w:ascii="Aptos" w:hAnsi="Aptos"/>
                <w:sz w:val="18"/>
              </w:rPr>
              <w:t>Document path, pragmas, lifecycle, health, testing, packaging, and prohibited access.</w:t>
            </w:r>
          </w:p>
        </w:tc>
      </w:tr>
      <w:tr>
        <w:tc>
          <w:tcPr>
            <w:tcW w:type="dxa" w:w="3672"/>
            <w:vAlign w:val="top"/>
            <w:shd w:fill="F3F6FA"/>
          </w:tcPr>
          <w:p>
            <w:pPr>
              <w:spacing w:after="30"/>
            </w:pPr>
            <w:r>
              <w:rPr>
                <w:rFonts w:ascii="Aptos" w:hAnsi="Aptos"/>
                <w:sz w:val="18"/>
              </w:rPr>
              <w:t>docs/engineering-standards.md</w:t>
            </w:r>
          </w:p>
        </w:tc>
        <w:tc>
          <w:tcPr>
            <w:tcW w:type="dxa" w:w="1512"/>
            <w:vAlign w:val="top"/>
            <w:shd w:fill="F3F6FA"/>
          </w:tcPr>
          <w:p>
            <w:pPr>
              <w:spacing w:after="30"/>
            </w:pPr>
            <w:r>
              <w:rPr>
                <w:rFonts w:ascii="Aptos" w:hAnsi="Aptos"/>
                <w:sz w:val="18"/>
              </w:rPr>
              <w:t>Modify</w:t>
            </w:r>
          </w:p>
        </w:tc>
        <w:tc>
          <w:tcPr>
            <w:tcW w:type="dxa" w:w="5112"/>
            <w:vAlign w:val="top"/>
            <w:shd w:fill="F3F6FA"/>
          </w:tcPr>
          <w:p>
            <w:pPr>
              <w:spacing w:after="30"/>
            </w:pPr>
            <w:r>
              <w:rPr>
                <w:rFonts w:ascii="Aptos" w:hAnsi="Aptos"/>
                <w:sz w:val="18"/>
              </w:rPr>
              <w:t>Add main-process-only persistence and native dependency review rules.</w:t>
            </w:r>
          </w:p>
        </w:tc>
      </w:tr>
      <w:tr>
        <w:tc>
          <w:tcPr>
            <w:tcW w:type="dxa" w:w="3672"/>
            <w:vAlign w:val="top"/>
          </w:tcPr>
          <w:p>
            <w:pPr>
              <w:spacing w:after="30"/>
            </w:pPr>
            <w:r>
              <w:rPr>
                <w:rFonts w:ascii="Aptos" w:hAnsi="Aptos"/>
                <w:sz w:val="18"/>
              </w:rPr>
              <w:t>docs/repository-structure.md</w:t>
            </w:r>
          </w:p>
        </w:tc>
        <w:tc>
          <w:tcPr>
            <w:tcW w:type="dxa" w:w="1512"/>
            <w:vAlign w:val="top"/>
          </w:tcPr>
          <w:p>
            <w:pPr>
              <w:spacing w:after="30"/>
            </w:pPr>
            <w:r>
              <w:rPr>
                <w:rFonts w:ascii="Aptos" w:hAnsi="Aptos"/>
                <w:sz w:val="18"/>
              </w:rPr>
              <w:t>Modify</w:t>
            </w:r>
          </w:p>
        </w:tc>
        <w:tc>
          <w:tcPr>
            <w:tcW w:type="dxa" w:w="5112"/>
            <w:vAlign w:val="top"/>
          </w:tcPr>
          <w:p>
            <w:pPr>
              <w:spacing w:after="30"/>
            </w:pPr>
            <w:r>
              <w:rPr>
                <w:rFonts w:ascii="Aptos" w:hAnsi="Aptos"/>
                <w:sz w:val="18"/>
              </w:rPr>
              <w:t>Document the main/database module boundary and integration-test location.</w:t>
            </w:r>
          </w:p>
        </w:tc>
      </w:tr>
    </w:tbl>
    <w:p>
      <w:pPr>
        <w:spacing w:after="80"/>
      </w:pPr>
    </w:p>
    <w:p>
      <w:pPr>
        <w:pStyle w:val="Heading1"/>
        <w:keepNext/>
        <w:spacing w:before="200" w:after="80"/>
      </w:pPr>
      <w:r>
        <w:t>7. Native Dependency Policy</w:t>
      </w:r>
    </w:p>
    <w:p>
      <w:pPr>
        <w:pStyle w:val="Heading2"/>
        <w:keepNext/>
        <w:spacing w:before="200" w:after="80"/>
      </w:pPr>
      <w:r>
        <w:t>7.1 Exact dependency</w:t>
      </w:r>
    </w:p>
    <w:p>
      <w:pPr>
        <w:spacing w:after="80"/>
      </w:pPr>
      <w:r>
        <w:t>Install the approved exact runtime line, without a caret or tilde:</w:t>
      </w:r>
    </w:p>
    <w:p>
      <w:pPr>
        <w:pStyle w:val="CodeBlock"/>
      </w:pPr>
      <w:r>
        <w:t>pnpm add -E better-sqlite3@13.0.2</w:t>
        <w:br/>
        <w:t>pnpm add -D -E @types/better-sqlite3</w:t>
      </w:r>
    </w:p>
    <w:p>
      <w:pPr>
        <w:pStyle w:val="ListBullet"/>
        <w:spacing w:after="40"/>
      </w:pPr>
      <w:r>
        <w:t>better-sqlite3 must be under dependencies because the packaged main process requires it at runtime.</w:t>
      </w:r>
    </w:p>
    <w:p>
      <w:pPr>
        <w:pStyle w:val="ListBullet"/>
        <w:spacing w:after="40"/>
      </w:pPr>
      <w:r>
        <w:t>Do not install sqlite3, node-sqlite3, sql.js, wa-sqlite, an ORM, a query builder, or an alternate fork.</w:t>
      </w:r>
    </w:p>
    <w:p>
      <w:pPr>
        <w:pStyle w:val="ListBullet"/>
        <w:spacing w:after="40"/>
      </w:pPr>
      <w:r>
        <w:t>Do not add @electron/rebuild unless the existing electron-builder native dependency process demonstrably cannot satisfy the pinned package. Any such change requires review before commit.</w:t>
      </w:r>
    </w:p>
    <w:p>
      <w:pPr>
        <w:pStyle w:val="ListBullet"/>
        <w:spacing w:after="40"/>
      </w:pPr>
      <w:r>
        <w:t>Preserve the current postinstall use of electron-builder install-app-deps.</w:t>
      </w:r>
    </w:p>
    <w:p>
      <w:pPr>
        <w:pStyle w:val="ListBullet"/>
        <w:spacing w:after="40"/>
      </w:pPr>
      <w:r>
        <w:t>Do not silently upgrade Electron, electron-builder, electron-vite, Node typings, pnpm, or better-sqlite3 while completing this task.</w:t>
      </w:r>
    </w:p>
    <w:p>
      <w:pPr>
        <w:pStyle w:val="Heading2"/>
        <w:keepNext/>
        <w:spacing w:before="200" w:after="80"/>
      </w:pPr>
      <w:r>
        <w:t>7.2 Build externalization</w:t>
      </w:r>
    </w:p>
    <w:p>
      <w:pPr>
        <w:pStyle w:val="ListBullet"/>
        <w:spacing w:after="40"/>
      </w:pPr>
      <w:r>
        <w:t>The main build must load better-sqlite3 as a runtime dependency rather than attempting to browser-bundle the native addon.</w:t>
      </w:r>
    </w:p>
    <w:p>
      <w:pPr>
        <w:pStyle w:val="ListBullet"/>
        <w:spacing w:after="40"/>
      </w:pPr>
      <w:r>
        <w:t>electron-vite v5 externalizes package.json dependencies in main by default. Preserve that behavior.</w:t>
      </w:r>
    </w:p>
    <w:p>
      <w:pPr>
        <w:pStyle w:val="ListBullet"/>
        <w:spacing w:after="40"/>
      </w:pPr>
      <w:r>
        <w:t>Do not set main.build.externalizeDeps to false.</w:t>
      </w:r>
    </w:p>
    <w:p>
      <w:pPr>
        <w:pStyle w:val="ListBullet"/>
        <w:spacing w:after="40"/>
      </w:pPr>
      <w:r>
        <w:t>The preload remains fully bundled for sandbox compatibility and must not import better-sqlite3.</w:t>
      </w:r>
    </w:p>
    <w:p>
      <w:pPr>
        <w:pStyle w:val="ListBullet"/>
        <w:spacing w:after="40"/>
      </w:pPr>
      <w:r>
        <w:t>The renderer must not contain the package name, native binding path, database path, or database code.</w:t>
      </w:r>
    </w:p>
    <w:p>
      <w:pPr>
        <w:pStyle w:val="Heading2"/>
        <w:keepNext/>
        <w:spacing w:before="200" w:after="80"/>
      </w:pPr>
      <w:r>
        <w:t>7.3 ASAR and package rules</w:t>
      </w:r>
    </w:p>
    <w:p>
      <w:pPr>
        <w:pStyle w:val="ListBullet"/>
        <w:spacing w:after="40"/>
      </w:pPr>
      <w:r>
        <w:t>Configure electron-builder so the better-sqlite3 native binary is unpacked from ASAR. A precise package glob or a native *.node glob is acceptable when verified in dist/win-unpacked.</w:t>
      </w:r>
    </w:p>
    <w:p>
      <w:pPr>
        <w:pStyle w:val="ListBullet"/>
        <w:spacing w:after="40"/>
      </w:pPr>
      <w:r>
        <w:t>Preserve resources/** unpacking and existing Windows executable naming.</w:t>
      </w:r>
    </w:p>
    <w:p>
      <w:pPr>
        <w:pStyle w:val="ListBullet"/>
        <w:spacing w:after="40"/>
      </w:pPr>
      <w:r>
        <w:t>Do not set asar: false for the entire application.</w:t>
      </w:r>
    </w:p>
    <w:p>
      <w:pPr>
        <w:pStyle w:val="ListBullet"/>
        <w:spacing w:after="40"/>
      </w:pPr>
      <w:r>
        <w:t>Do not copy the database into build resources, app.asar, dist, or the installation directory.</w:t>
      </w:r>
    </w:p>
    <w:p>
      <w:pPr>
        <w:pStyle w:val="ListBullet"/>
        <w:spacing w:after="40"/>
      </w:pPr>
      <w:r>
        <w:t>Do not package a pre-created production database file.</w:t>
      </w:r>
    </w:p>
    <w:p>
      <w:pPr>
        <w:pStyle w:val="Heading1"/>
        <w:keepNext/>
        <w:spacing w:before="200" w:after="80"/>
      </w:pPr>
      <w:r>
        <w:t>8. Database Location and File Ownership</w:t>
      </w:r>
    </w:p>
    <w:p>
      <w:pPr>
        <w:pStyle w:val="Heading2"/>
        <w:keepNext/>
        <w:spacing w:before="200" w:after="80"/>
      </w:pPr>
      <w:r>
        <w:t>8.1 Production path</w:t>
      </w:r>
    </w:p>
    <w:p>
      <w:pPr>
        <w:spacing w:after="80"/>
      </w:pPr>
      <w:r>
        <w:t>Resolve the path only in the main process after Electron is ready:</w:t>
      </w:r>
    </w:p>
    <w:p>
      <w:pPr>
        <w:pStyle w:val="CodeBlock"/>
      </w:pPr>
      <w:r>
        <w:t>const dataDirectory = join(app.getPath('userData'), 'data')</w:t>
        <w:br/>
        <w:t>const databasePath = join(dataDirectory, 'health-screening.sqlite3')</w:t>
      </w:r>
    </w:p>
    <w:p>
      <w:pPr>
        <w:pStyle w:val="ListBullet"/>
        <w:spacing w:after="40"/>
      </w:pPr>
      <w:r>
        <w:t>Create the data directory recursively before opening the database.</w:t>
      </w:r>
    </w:p>
    <w:p>
      <w:pPr>
        <w:pStyle w:val="ListBullet"/>
        <w:spacing w:after="40"/>
      </w:pPr>
      <w:r>
        <w:t>Do not allow renderer input, environment variables, command-line arguments, query parameters, or IPC payloads to choose the database path.</w:t>
      </w:r>
    </w:p>
    <w:p>
      <w:pPr>
        <w:pStyle w:val="ListBullet"/>
        <w:spacing w:after="40"/>
      </w:pPr>
      <w:r>
        <w:t>Do not use process.cwd(), __dirname, repository-relative paths, resourcesPath, executable directory, Downloads, Documents, or the desktop.</w:t>
      </w:r>
    </w:p>
    <w:p>
      <w:pPr>
        <w:pStyle w:val="ListBullet"/>
        <w:spacing w:after="40"/>
      </w:pPr>
      <w:r>
        <w:t>Do not expose the resolved path through app.getInfo, app.getHealth, preload, renderer, logs, or error messages.</w:t>
      </w:r>
    </w:p>
    <w:p>
      <w:pPr>
        <w:pStyle w:val="ListBullet"/>
        <w:spacing w:after="40"/>
      </w:pPr>
      <w:r>
        <w:t>Tests must inject their own temporary userData directory and never touch the real Electron userData directory.</w:t>
      </w:r>
    </w:p>
    <w:p>
      <w:pPr>
        <w:pStyle w:val="Heading2"/>
        <w:keepNext/>
        <w:spacing w:before="200" w:after="80"/>
      </w:pPr>
      <w:r>
        <w:t>8.2 Database identity</w:t>
      </w:r>
    </w:p>
    <w:p>
      <w:pPr>
        <w:pStyle w:val="ListBullet"/>
        <w:spacing w:after="40"/>
      </w:pPr>
      <w:r>
        <w:t>The filename is exactly health-screening.sqlite3.</w:t>
      </w:r>
    </w:p>
    <w:p>
      <w:pPr>
        <w:pStyle w:val="ListBullet"/>
        <w:spacing w:after="40"/>
      </w:pPr>
      <w:r>
        <w:t>HSD-006 must leave PRAGMA user_version at 0 because numbered migrations are deferred to HSD-007.</w:t>
      </w:r>
    </w:p>
    <w:p>
      <w:pPr>
        <w:pStyle w:val="ListBullet"/>
        <w:spacing w:after="40"/>
      </w:pPr>
      <w:r>
        <w:t>Do not create domain tables, seed rows, migration tables, views, triggers, FTS indexes, or application metadata tables.</w:t>
      </w:r>
    </w:p>
    <w:p>
      <w:pPr>
        <w:pStyle w:val="ListBullet"/>
        <w:spacing w:after="40"/>
      </w:pPr>
      <w:r>
        <w:t>The database may contain SQLite internal structures and WAL metadata only.</w:t>
      </w:r>
    </w:p>
    <w:p>
      <w:pPr>
        <w:pStyle w:val="Heading1"/>
        <w:keepNext/>
        <w:spacing w:before="200" w:after="80"/>
      </w:pPr>
      <w:r>
        <w:t>9. SQLite Connection Configuration</w:t>
      </w:r>
    </w:p>
    <w:p>
      <w:pPr>
        <w:spacing w:after="80"/>
      </w:pPr>
      <w:r>
        <w:t>Immediately after opening the file-backed database, apply and verify the following settings on that connection: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63A5F"/>
          </w:tcPr>
          <w:p>
            <w:pPr>
              <w:spacing w:after="30"/>
            </w:pPr>
            <w:r>
              <w:rPr>
                <w:rFonts w:ascii="Aptos" w:hAnsi="Aptos"/>
                <w:b/>
                <w:color w:val="FFFFFF"/>
                <w:sz w:val="18"/>
              </w:rPr>
              <w:t>Setting</w:t>
            </w:r>
          </w:p>
        </w:tc>
        <w:tc>
          <w:tcPr>
            <w:tcW w:type="dxa" w:w="1944"/>
            <w:vAlign w:val="center"/>
            <w:shd w:fill="163A5F"/>
          </w:tcPr>
          <w:p>
            <w:pPr>
              <w:spacing w:after="30"/>
            </w:pPr>
            <w:r>
              <w:rPr>
                <w:rFonts w:ascii="Aptos" w:hAnsi="Aptos"/>
                <w:b/>
                <w:color w:val="FFFFFF"/>
                <w:sz w:val="18"/>
              </w:rPr>
              <w:t>Required value</w:t>
            </w:r>
          </w:p>
        </w:tc>
        <w:tc>
          <w:tcPr>
            <w:tcW w:type="dxa" w:w="6264"/>
            <w:vAlign w:val="center"/>
            <w:shd w:fill="163A5F"/>
          </w:tcPr>
          <w:p>
            <w:pPr>
              <w:spacing w:after="30"/>
            </w:pPr>
            <w:r>
              <w:rPr>
                <w:rFonts w:ascii="Aptos" w:hAnsi="Aptos"/>
                <w:b/>
                <w:color w:val="FFFFFF"/>
                <w:sz w:val="18"/>
              </w:rPr>
              <w:t>Verification requirement</w:t>
            </w:r>
          </w:p>
        </w:tc>
      </w:tr>
      <w:tr>
        <w:tc>
          <w:tcPr>
            <w:tcW w:type="dxa" w:w="2088"/>
            <w:vAlign w:val="top"/>
          </w:tcPr>
          <w:p>
            <w:pPr>
              <w:spacing w:after="30"/>
            </w:pPr>
            <w:r>
              <w:rPr>
                <w:rFonts w:ascii="Aptos" w:hAnsi="Aptos"/>
                <w:sz w:val="18"/>
              </w:rPr>
              <w:t>foreign_keys</w:t>
            </w:r>
          </w:p>
        </w:tc>
        <w:tc>
          <w:tcPr>
            <w:tcW w:type="dxa" w:w="1944"/>
            <w:vAlign w:val="top"/>
          </w:tcPr>
          <w:p>
            <w:pPr>
              <w:spacing w:after="30"/>
            </w:pPr>
            <w:r>
              <w:rPr>
                <w:rFonts w:ascii="Aptos" w:hAnsi="Aptos"/>
                <w:sz w:val="18"/>
              </w:rPr>
              <w:t>ON</w:t>
            </w:r>
          </w:p>
        </w:tc>
        <w:tc>
          <w:tcPr>
            <w:tcW w:type="dxa" w:w="6264"/>
            <w:vAlign w:val="top"/>
          </w:tcPr>
          <w:p>
            <w:pPr>
              <w:spacing w:after="30"/>
            </w:pPr>
            <w:r>
              <w:rPr>
                <w:rFonts w:ascii="Aptos" w:hAnsi="Aptos"/>
                <w:sz w:val="18"/>
              </w:rPr>
              <w:t>PRAGMA foreign_keys returns 1. Treat any other value as initialization failure.</w:t>
            </w:r>
          </w:p>
        </w:tc>
      </w:tr>
      <w:tr>
        <w:tc>
          <w:tcPr>
            <w:tcW w:type="dxa" w:w="2088"/>
            <w:vAlign w:val="top"/>
            <w:shd w:fill="F3F6FA"/>
          </w:tcPr>
          <w:p>
            <w:pPr>
              <w:spacing w:after="30"/>
            </w:pPr>
            <w:r>
              <w:rPr>
                <w:rFonts w:ascii="Aptos" w:hAnsi="Aptos"/>
                <w:sz w:val="18"/>
              </w:rPr>
              <w:t>journal_mode</w:t>
            </w:r>
          </w:p>
        </w:tc>
        <w:tc>
          <w:tcPr>
            <w:tcW w:type="dxa" w:w="1944"/>
            <w:vAlign w:val="top"/>
            <w:shd w:fill="F3F6FA"/>
          </w:tcPr>
          <w:p>
            <w:pPr>
              <w:spacing w:after="30"/>
            </w:pPr>
            <w:r>
              <w:rPr>
                <w:rFonts w:ascii="Aptos" w:hAnsi="Aptos"/>
                <w:sz w:val="18"/>
              </w:rPr>
              <w:t>WAL</w:t>
            </w:r>
          </w:p>
        </w:tc>
        <w:tc>
          <w:tcPr>
            <w:tcW w:type="dxa" w:w="6264"/>
            <w:vAlign w:val="top"/>
            <w:shd w:fill="F3F6FA"/>
          </w:tcPr>
          <w:p>
            <w:pPr>
              <w:spacing w:after="30"/>
            </w:pPr>
            <w:r>
              <w:rPr>
                <w:rFonts w:ascii="Aptos" w:hAnsi="Aptos"/>
                <w:sz w:val="18"/>
              </w:rPr>
              <w:t>PRAGMA journal_mode returns wal for the file-backed database. Treat fallback as initialization failure.</w:t>
            </w:r>
          </w:p>
        </w:tc>
      </w:tr>
      <w:tr>
        <w:tc>
          <w:tcPr>
            <w:tcW w:type="dxa" w:w="2088"/>
            <w:vAlign w:val="top"/>
          </w:tcPr>
          <w:p>
            <w:pPr>
              <w:spacing w:after="30"/>
            </w:pPr>
            <w:r>
              <w:rPr>
                <w:rFonts w:ascii="Aptos" w:hAnsi="Aptos"/>
                <w:sz w:val="18"/>
              </w:rPr>
              <w:t>synchronous</w:t>
            </w:r>
          </w:p>
        </w:tc>
        <w:tc>
          <w:tcPr>
            <w:tcW w:type="dxa" w:w="1944"/>
            <w:vAlign w:val="top"/>
          </w:tcPr>
          <w:p>
            <w:pPr>
              <w:spacing w:after="30"/>
            </w:pPr>
            <w:r>
              <w:rPr>
                <w:rFonts w:ascii="Aptos" w:hAnsi="Aptos"/>
                <w:sz w:val="18"/>
              </w:rPr>
              <w:t>NORMAL</w:t>
            </w:r>
          </w:p>
        </w:tc>
        <w:tc>
          <w:tcPr>
            <w:tcW w:type="dxa" w:w="6264"/>
            <w:vAlign w:val="top"/>
          </w:tcPr>
          <w:p>
            <w:pPr>
              <w:spacing w:after="30"/>
            </w:pPr>
            <w:r>
              <w:rPr>
                <w:rFonts w:ascii="Aptos" w:hAnsi="Aptos"/>
                <w:sz w:val="18"/>
              </w:rPr>
              <w:t>PRAGMA synchronous reflects NORMAL. Do not use OFF.</w:t>
            </w:r>
          </w:p>
        </w:tc>
      </w:tr>
      <w:tr>
        <w:tc>
          <w:tcPr>
            <w:tcW w:type="dxa" w:w="2088"/>
            <w:vAlign w:val="top"/>
            <w:shd w:fill="F3F6FA"/>
          </w:tcPr>
          <w:p>
            <w:pPr>
              <w:spacing w:after="30"/>
            </w:pPr>
            <w:r>
              <w:rPr>
                <w:rFonts w:ascii="Aptos" w:hAnsi="Aptos"/>
                <w:sz w:val="18"/>
              </w:rPr>
              <w:t>busy_timeout</w:t>
            </w:r>
          </w:p>
        </w:tc>
        <w:tc>
          <w:tcPr>
            <w:tcW w:type="dxa" w:w="1944"/>
            <w:vAlign w:val="top"/>
            <w:shd w:fill="F3F6FA"/>
          </w:tcPr>
          <w:p>
            <w:pPr>
              <w:spacing w:after="30"/>
            </w:pPr>
            <w:r>
              <w:rPr>
                <w:rFonts w:ascii="Aptos" w:hAnsi="Aptos"/>
                <w:sz w:val="18"/>
              </w:rPr>
              <w:t>5000 ms</w:t>
            </w:r>
          </w:p>
        </w:tc>
        <w:tc>
          <w:tcPr>
            <w:tcW w:type="dxa" w:w="6264"/>
            <w:vAlign w:val="top"/>
            <w:shd w:fill="F3F6FA"/>
          </w:tcPr>
          <w:p>
            <w:pPr>
              <w:spacing w:after="30"/>
            </w:pPr>
            <w:r>
              <w:rPr>
                <w:rFonts w:ascii="Aptos" w:hAnsi="Aptos"/>
                <w:sz w:val="18"/>
              </w:rPr>
              <w:t>PRAGMA busy_timeout returns 5000 or the API confirms the configured timeout.</w:t>
            </w:r>
          </w:p>
        </w:tc>
      </w:tr>
      <w:tr>
        <w:tc>
          <w:tcPr>
            <w:tcW w:type="dxa" w:w="2088"/>
            <w:vAlign w:val="top"/>
          </w:tcPr>
          <w:p>
            <w:pPr>
              <w:spacing w:after="30"/>
            </w:pPr>
            <w:r>
              <w:rPr>
                <w:rFonts w:ascii="Aptos" w:hAnsi="Aptos"/>
                <w:sz w:val="18"/>
              </w:rPr>
              <w:t>trusted_schema</w:t>
            </w:r>
          </w:p>
        </w:tc>
        <w:tc>
          <w:tcPr>
            <w:tcW w:type="dxa" w:w="1944"/>
            <w:vAlign w:val="top"/>
          </w:tcPr>
          <w:p>
            <w:pPr>
              <w:spacing w:after="30"/>
            </w:pPr>
            <w:r>
              <w:rPr>
                <w:rFonts w:ascii="Aptos" w:hAnsi="Aptos"/>
                <w:sz w:val="18"/>
              </w:rPr>
              <w:t>OFF</w:t>
            </w:r>
          </w:p>
        </w:tc>
        <w:tc>
          <w:tcPr>
            <w:tcW w:type="dxa" w:w="6264"/>
            <w:vAlign w:val="top"/>
          </w:tcPr>
          <w:p>
            <w:pPr>
              <w:spacing w:after="30"/>
            </w:pPr>
            <w:r>
              <w:rPr>
                <w:rFonts w:ascii="Aptos" w:hAnsi="Aptos"/>
                <w:sz w:val="18"/>
              </w:rPr>
              <w:t>PRAGMA trusted_schema returns 0. Do not enable extension-based schema execution.</w:t>
            </w:r>
          </w:p>
        </w:tc>
      </w:tr>
      <w:tr>
        <w:tc>
          <w:tcPr>
            <w:tcW w:type="dxa" w:w="2088"/>
            <w:vAlign w:val="top"/>
            <w:shd w:fill="F3F6FA"/>
          </w:tcPr>
          <w:p>
            <w:pPr>
              <w:spacing w:after="30"/>
            </w:pPr>
            <w:r>
              <w:rPr>
                <w:rFonts w:ascii="Aptos" w:hAnsi="Aptos"/>
                <w:sz w:val="18"/>
              </w:rPr>
              <w:t>user_version</w:t>
            </w:r>
          </w:p>
        </w:tc>
        <w:tc>
          <w:tcPr>
            <w:tcW w:type="dxa" w:w="1944"/>
            <w:vAlign w:val="top"/>
            <w:shd w:fill="F3F6FA"/>
          </w:tcPr>
          <w:p>
            <w:pPr>
              <w:spacing w:after="30"/>
            </w:pPr>
            <w:r>
              <w:rPr>
                <w:rFonts w:ascii="Aptos" w:hAnsi="Aptos"/>
                <w:sz w:val="18"/>
              </w:rPr>
              <w:t>0</w:t>
            </w:r>
          </w:p>
        </w:tc>
        <w:tc>
          <w:tcPr>
            <w:tcW w:type="dxa" w:w="6264"/>
            <w:vAlign w:val="top"/>
            <w:shd w:fill="F3F6FA"/>
          </w:tcPr>
          <w:p>
            <w:pPr>
              <w:spacing w:after="30"/>
            </w:pPr>
            <w:r>
              <w:rPr>
                <w:rFonts w:ascii="Aptos" w:hAnsi="Aptos"/>
                <w:sz w:val="18"/>
              </w:rPr>
              <w:t>Verify that HSD-006 did not introduce migrations or schema version changes.</w:t>
            </w:r>
          </w:p>
        </w:tc>
      </w:tr>
    </w:tbl>
    <w:p>
      <w:pPr>
        <w:spacing w:after="80"/>
      </w:pPr>
    </w:p>
    <w:p>
      <w:pPr>
        <w:pStyle w:val="ListBullet"/>
        <w:spacing w:after="40"/>
      </w:pPr>
      <w:r>
        <w:t>Run a minimal SELECT 1 health query after configuration.</w:t>
      </w:r>
    </w:p>
    <w:p>
      <w:pPr>
        <w:pStyle w:val="ListBullet"/>
        <w:spacing w:after="40"/>
      </w:pPr>
      <w:r>
        <w:t>Do not enable unsafeMode.</w:t>
      </w:r>
    </w:p>
    <w:p>
      <w:pPr>
        <w:pStyle w:val="ListBullet"/>
        <w:spacing w:after="40"/>
      </w:pPr>
      <w:r>
        <w:t>Do not call loadExtension and do not enable extension loading.</w:t>
      </w:r>
    </w:p>
    <w:p>
      <w:pPr>
        <w:pStyle w:val="ListBullet"/>
        <w:spacing w:after="40"/>
      </w:pPr>
      <w:r>
        <w:t>Do not log SQL statements or enable verbose SQL logging.</w:t>
      </w:r>
    </w:p>
    <w:p>
      <w:pPr>
        <w:pStyle w:val="ListBullet"/>
        <w:spacing w:after="40"/>
      </w:pPr>
      <w:r>
        <w:t>Do not use shared-cache mode, URI filenames, read-only fallback, or in-memory production databases.</w:t>
      </w:r>
    </w:p>
    <w:p>
      <w:pPr>
        <w:pStyle w:val="ListBullet"/>
        <w:spacing w:after="40"/>
      </w:pPr>
      <w:r>
        <w:t>Do not run VACUUM, integrity repair, backup, restore, or migration SQL in this task.</w:t>
      </w:r>
    </w:p>
    <w:p>
      <w:pPr>
        <w:pStyle w:val="Heading1"/>
        <w:keepNext/>
        <w:spacing w:before="200" w:after="80"/>
      </w:pPr>
      <w:r>
        <w:t>10. Database Runtime Interface</w:t>
      </w:r>
    </w:p>
    <w:p>
      <w:pPr>
        <w:spacing w:after="80"/>
      </w:pPr>
      <w:r>
        <w:t>Expose a main-process-only interface equivalent in behavior to:</w:t>
      </w:r>
    </w:p>
    <w:p>
      <w:pPr>
        <w:pStyle w:val="CodeBlock"/>
      </w:pPr>
      <w:r>
        <w:t>type DatabaseStatus = 'ready' | 'unavailable'</w:t>
        <w:br/>
        <w:br/>
        <w:t>interface DatabaseRuntime {</w:t>
        <w:br/>
        <w:t xml:space="preserve">  initialize(): void</w:t>
        <w:br/>
        <w:t xml:space="preserve">  getStatus(): DatabaseStatus</w:t>
        <w:br/>
        <w:t xml:space="preserve">  getConnection(): Database.Database</w:t>
        <w:br/>
        <w:t xml:space="preserve">  close(): void</w:t>
        <w:br/>
        <w:t>}</w:t>
      </w:r>
    </w:p>
    <w:p>
      <w:pPr>
        <w:pStyle w:val="ListBullet"/>
        <w:spacing w:after="40"/>
      </w:pPr>
      <w:r>
        <w:t>initialize opens at most one connection. Repeated calls must be explicitly idempotent or must fail deterministically before a second connection is created.</w:t>
      </w:r>
    </w:p>
    <w:p>
      <w:pPr>
        <w:pStyle w:val="ListBullet"/>
        <w:spacing w:after="40"/>
      </w:pPr>
      <w:r>
        <w:t>getConnection is available only to trusted main-process modules and throws a controlled internal error when the runtime is not ready.</w:t>
      </w:r>
    </w:p>
    <w:p>
      <w:pPr>
        <w:pStyle w:val="ListBullet"/>
        <w:spacing w:after="40"/>
      </w:pPr>
      <w:r>
        <w:t>getStatus performs or delegates a lightweight live health check and never exposes the connection object.</w:t>
      </w:r>
    </w:p>
    <w:p>
      <w:pPr>
        <w:pStyle w:val="ListBullet"/>
        <w:spacing w:after="40"/>
      </w:pPr>
      <w:r>
        <w:t>close is idempotent, closes the owned connection exactly once, clears the held reference, and transitions health to unavailable.</w:t>
      </w:r>
    </w:p>
    <w:p>
      <w:pPr>
        <w:pStyle w:val="ListBullet"/>
        <w:spacing w:after="40"/>
      </w:pPr>
      <w:r>
        <w:t>A partially opened connection must be closed if pragma verification or initialization fails.</w:t>
      </w:r>
    </w:p>
    <w:p>
      <w:pPr>
        <w:pStyle w:val="ListBullet"/>
        <w:spacing w:after="40"/>
      </w:pPr>
      <w:r>
        <w:t>Do not export the better-sqlite3 Database instance from @shared, preload, renderer, or global window types.</w:t>
      </w:r>
    </w:p>
    <w:p>
      <w:pPr>
        <w:pStyle w:val="Heading1"/>
        <w:keepNext/>
        <w:spacing w:before="200" w:after="80"/>
      </w:pPr>
      <w:r>
        <w:t>11. Application Lifecycle Integration</w:t>
      </w:r>
    </w:p>
    <w:p>
      <w:pPr>
        <w:pStyle w:val="ListNumber"/>
        <w:spacing w:after="40"/>
      </w:pPr>
      <w:r>
        <w:t>Obtain the single-instance lock as already implemented.</w:t>
      </w:r>
    </w:p>
    <w:p>
      <w:pPr>
        <w:pStyle w:val="ListNumber"/>
        <w:spacing w:after="40"/>
      </w:pPr>
      <w:r>
        <w:t>Wait for app.whenReady().</w:t>
      </w:r>
    </w:p>
    <w:p>
      <w:pPr>
        <w:pStyle w:val="ListNumber"/>
        <w:spacing w:after="40"/>
      </w:pPr>
      <w:r>
        <w:t>Configure HSD-004 session security.</w:t>
      </w:r>
    </w:p>
    <w:p>
      <w:pPr>
        <w:pStyle w:val="ListNumber"/>
        <w:spacing w:after="40"/>
      </w:pPr>
      <w:r>
        <w:t>Resolve the userData-based database path and initialize the SQLite runtime.</w:t>
      </w:r>
    </w:p>
    <w:p>
      <w:pPr>
        <w:pStyle w:val="ListNumber"/>
        <w:spacing w:after="40"/>
      </w:pPr>
      <w:r>
        <w:t>Create the application information and database-health providers.</w:t>
      </w:r>
    </w:p>
    <w:p>
      <w:pPr>
        <w:pStyle w:val="ListNumber"/>
        <w:spacing w:after="40"/>
      </w:pPr>
      <w:r>
        <w:t>Register HSD-005 IPC handlers with the live health provider.</w:t>
      </w:r>
    </w:p>
    <w:p>
      <w:pPr>
        <w:pStyle w:val="ListNumber"/>
        <w:spacing w:after="40"/>
      </w:pPr>
      <w:r>
        <w:t>Load or focus the main window.</w:t>
      </w:r>
    </w:p>
    <w:p>
      <w:pPr>
        <w:pStyle w:val="ListNumber"/>
        <w:spacing w:after="40"/>
      </w:pPr>
      <w:r>
        <w:t>On orderly quit, dispose application IPC handlers and close the database runtime without duplicate calls.</w:t>
      </w:r>
    </w:p>
    <w:p>
      <w:pPr>
        <w:pStyle w:val="ListBullet"/>
        <w:spacing w:after="40"/>
      </w:pPr>
      <w:r>
        <w:t>The second-instance path must focus the existing window and must not initialize another database runtime.</w:t>
      </w:r>
    </w:p>
    <w:p>
      <w:pPr>
        <w:pStyle w:val="ListBullet"/>
        <w:spacing w:after="40"/>
      </w:pPr>
      <w:r>
        <w:t>Database initialization must complete before the renderer can invoke app.getHealth.</w:t>
      </w:r>
    </w:p>
    <w:p>
      <w:pPr>
        <w:pStyle w:val="ListBullet"/>
        <w:spacing w:after="40"/>
      </w:pPr>
      <w:r>
        <w:t>If initialization fails, log a safe startup failure, close any partial connection, do not create the renderer window, and quit the application.</w:t>
      </w:r>
    </w:p>
    <w:p>
      <w:pPr>
        <w:pStyle w:val="ListBullet"/>
        <w:spacing w:after="40"/>
      </w:pPr>
      <w:r>
        <w:t>Do not catch initialization failure and silently continue with an in-memory or alternate database.</w:t>
      </w:r>
    </w:p>
    <w:p>
      <w:pPr>
        <w:pStyle w:val="ListBullet"/>
        <w:spacing w:after="40"/>
      </w:pPr>
      <w:r>
        <w:t>Do not make renderer startup wait on a network request.</w:t>
      </w:r>
    </w:p>
    <w:p>
      <w:pPr>
        <w:pStyle w:val="Heading1"/>
        <w:keepNext/>
        <w:spacing w:before="200" w:after="80"/>
      </w:pPr>
      <w:r>
        <w:t>12. Health Contract Integration</w:t>
      </w:r>
    </w:p>
    <w:p>
      <w:pPr>
        <w:pStyle w:val="Heading2"/>
        <w:keepNext/>
        <w:spacing w:before="200" w:after="80"/>
      </w:pPr>
      <w:r>
        <w:t>12.1 Shared schema</w:t>
      </w:r>
    </w:p>
    <w:p>
      <w:pPr>
        <w:spacing w:after="80"/>
      </w:pPr>
      <w:r>
        <w:t>Update appHealthSchema so database is a strict runtime state:</w:t>
      </w:r>
    </w:p>
    <w:p>
      <w:pPr>
        <w:pStyle w:val="CodeBlock"/>
      </w:pPr>
      <w:r>
        <w:t>{</w:t>
        <w:br/>
        <w:t xml:space="preserve">  status: 'ready',</w:t>
        <w:br/>
        <w:t xml:space="preserve">  ipc: 'available',</w:t>
        <w:br/>
        <w:t xml:space="preserve">  database: 'ready' | 'unavailable',</w:t>
        <w:br/>
        <w:t xml:space="preserve">  clinicalFeatures: 'not-implemented'</w:t>
        <w:br/>
        <w:t>}</w:t>
      </w:r>
    </w:p>
    <w:p>
      <w:pPr>
        <w:pStyle w:val="ListBullet"/>
        <w:spacing w:after="40"/>
      </w:pPr>
      <w:r>
        <w:t>Continue inferring AppHealth and AppGetHealthResult from Zod schemas.</w:t>
      </w:r>
    </w:p>
    <w:p>
      <w:pPr>
        <w:pStyle w:val="ListBullet"/>
        <w:spacing w:after="40"/>
      </w:pPr>
      <w:r>
        <w:t>Reject the obsolete not-configured value after HSD-006.</w:t>
      </w:r>
    </w:p>
    <w:p>
      <w:pPr>
        <w:pStyle w:val="ListBullet"/>
        <w:spacing w:after="40"/>
      </w:pPr>
      <w:r>
        <w:t>Do not add database path, filename, SQLite version, file size, row counts, userData path, pragma values, schema details, or timestamps to renderer-visible health.</w:t>
      </w:r>
    </w:p>
    <w:p>
      <w:pPr>
        <w:pStyle w:val="ListBullet"/>
        <w:spacing w:after="40"/>
      </w:pPr>
      <w:r>
        <w:t>The success envelope and exact safe IPC error schema from HSD-005 remain unchanged.</w:t>
      </w:r>
    </w:p>
    <w:p>
      <w:pPr>
        <w:pStyle w:val="Heading2"/>
        <w:keepNext/>
        <w:spacing w:before="200" w:after="80"/>
      </w:pPr>
      <w:r>
        <w:t>12.2 Main and renderer behavior</w:t>
      </w:r>
    </w:p>
    <w:p>
      <w:pPr>
        <w:pStyle w:val="ListBullet"/>
        <w:spacing w:after="40"/>
      </w:pPr>
      <w:r>
        <w:t>The main-process health provider derives database readiness from the live DatabaseRuntime.</w:t>
      </w:r>
    </w:p>
    <w:p>
      <w:pPr>
        <w:pStyle w:val="ListBullet"/>
        <w:spacing w:after="40"/>
      </w:pPr>
      <w:r>
        <w:t>The renderer displays Loading only while app.getHealth is pending.</w:t>
      </w:r>
    </w:p>
    <w:p>
      <w:pPr>
        <w:pStyle w:val="ListBullet"/>
        <w:spacing w:after="40"/>
      </w:pPr>
      <w:r>
        <w:t>On successful health with database ready, display Database: Ready.</w:t>
      </w:r>
    </w:p>
    <w:p>
      <w:pPr>
        <w:pStyle w:val="ListBullet"/>
        <w:spacing w:after="40"/>
      </w:pPr>
      <w:r>
        <w:t>If a valid health response contains database unavailable, display Database: Unavailable.</w:t>
      </w:r>
    </w:p>
    <w:p>
      <w:pPr>
        <w:pStyle w:val="ListBullet"/>
        <w:spacing w:after="40"/>
      </w:pPr>
      <w:r>
        <w:t>If IPC itself fails, preserve the HSD-005 safe error behavior and display all foundation status fields as Unavailable.</w:t>
      </w:r>
    </w:p>
    <w:p>
      <w:pPr>
        <w:pStyle w:val="ListBullet"/>
        <w:spacing w:after="40"/>
      </w:pPr>
      <w:r>
        <w:t>Do not add a database reconnect button, diagnostics modal, path display, query console, settings page, or status dashboard.</w:t>
      </w:r>
    </w:p>
    <w:p>
      <w:pPr>
        <w:pStyle w:val="Heading1"/>
        <w:keepNext/>
        <w:spacing w:before="200" w:after="80"/>
      </w:pPr>
      <w:r>
        <w:t>13. Error Handling and Logging</w:t>
      </w:r>
    </w:p>
    <w:p>
      <w:pPr>
        <w:pStyle w:val="ListBullet"/>
        <w:spacing w:after="40"/>
      </w:pPr>
      <w:r>
        <w:t>Database initialization and health failures remain in the trusted main process.</w:t>
      </w:r>
    </w:p>
    <w:p>
      <w:pPr>
        <w:pStyle w:val="ListBullet"/>
        <w:spacing w:after="40"/>
      </w:pPr>
      <w:r>
        <w:t>Operational logs may contain a fixed event name, safe phase, and exception type only.</w:t>
      </w:r>
    </w:p>
    <w:p>
      <w:pPr>
        <w:pStyle w:val="ListBullet"/>
        <w:spacing w:after="40"/>
      </w:pPr>
      <w:r>
        <w:t>Do not log the database path, userData directory, SQL, bound parameters, raw exception message, stack trace, hostname, username, or environment values.</w:t>
      </w:r>
    </w:p>
    <w:p>
      <w:pPr>
        <w:pStyle w:val="ListBullet"/>
        <w:spacing w:after="40"/>
      </w:pPr>
      <w:r>
        <w:t>A thrown error containing a secret path must not appear in test logger output.</w:t>
      </w:r>
    </w:p>
    <w:p>
      <w:pPr>
        <w:pStyle w:val="ListBullet"/>
        <w:spacing w:after="40"/>
      </w:pPr>
      <w:r>
        <w:t>Renderer-visible failures continue to use HSD-005 safe envelopes; no SQLite error code or message crosses IPC.</w:t>
      </w:r>
    </w:p>
    <w:p>
      <w:pPr>
        <w:pStyle w:val="ListBullet"/>
        <w:spacing w:after="40"/>
      </w:pPr>
      <w:r>
        <w:t>Do not suppress failures with an empty catch block.</w:t>
      </w:r>
    </w:p>
    <w:p>
      <w:pPr>
        <w:pStyle w:val="CodeBlock"/>
      </w:pPr>
      <w:r>
        <w:t>Database runtime initialization failed; phase=open; errorType=SqliteError</w:t>
        <w:br/>
        <w:t>Database runtime initialized.</w:t>
        <w:br/>
        <w:t>Database runtime closed.</w:t>
      </w:r>
    </w:p>
    <w:p>
      <w:pPr>
        <w:spacing w:after="80"/>
      </w:pPr>
      <w:r>
        <w:t>The examples above are acceptable operational shapes. They must not include paths or SQL text.</w:t>
      </w:r>
    </w:p>
    <w:p>
      <w:pPr>
        <w:pStyle w:val="Heading1"/>
        <w:keepNext/>
        <w:spacing w:before="200" w:after="80"/>
      </w:pPr>
      <w:r>
        <w:t>14. Test Requirements</w:t>
      </w:r>
    </w:p>
    <w:p>
      <w:pPr>
        <w:spacing w:after="80"/>
      </w:pPr>
      <w:r>
        <w:t>Tests must be deterministic, offline, and isolated. Real SQLite integration tests must use temporary directories that are removed after each test.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163A5F"/>
          </w:tcPr>
          <w:p>
            <w:pPr>
              <w:spacing w:after="30"/>
            </w:pPr>
            <w:r>
              <w:rPr>
                <w:rFonts w:ascii="Aptos" w:hAnsi="Aptos"/>
                <w:b/>
                <w:color w:val="FFFFFF"/>
                <w:sz w:val="18"/>
              </w:rPr>
              <w:t>Test group</w:t>
            </w:r>
          </w:p>
        </w:tc>
        <w:tc>
          <w:tcPr>
            <w:tcW w:type="dxa" w:w="8064"/>
            <w:vAlign w:val="center"/>
            <w:shd w:fill="163A5F"/>
          </w:tcPr>
          <w:p>
            <w:pPr>
              <w:spacing w:after="30"/>
            </w:pPr>
            <w:r>
              <w:rPr>
                <w:rFonts w:ascii="Aptos" w:hAnsi="Aptos"/>
                <w:b/>
                <w:color w:val="FFFFFF"/>
                <w:sz w:val="18"/>
              </w:rPr>
              <w:t>Minimum required cases</w:t>
            </w:r>
          </w:p>
        </w:tc>
      </w:tr>
      <w:tr>
        <w:tc>
          <w:tcPr>
            <w:tcW w:type="dxa" w:w="2232"/>
            <w:vAlign w:val="top"/>
          </w:tcPr>
          <w:p>
            <w:pPr>
              <w:spacing w:after="30"/>
            </w:pPr>
            <w:r>
              <w:rPr>
                <w:rFonts w:ascii="Aptos" w:hAnsi="Aptos"/>
                <w:sz w:val="18"/>
              </w:rPr>
              <w:t>Path resolution</w:t>
            </w:r>
          </w:p>
        </w:tc>
        <w:tc>
          <w:tcPr>
            <w:tcW w:type="dxa" w:w="8064"/>
            <w:vAlign w:val="top"/>
          </w:tcPr>
          <w:p>
            <w:pPr>
              <w:spacing w:after="30"/>
            </w:pPr>
            <w:r>
              <w:rPr>
                <w:rFonts w:ascii="Aptos" w:hAnsi="Aptos"/>
                <w:sz w:val="18"/>
              </w:rPr>
              <w:t>Builds &lt;injected-userData&gt;/data/health-screening.sqlite3; creates no path from cwd; does not accept renderer input.</w:t>
            </w:r>
          </w:p>
        </w:tc>
      </w:tr>
      <w:tr>
        <w:tc>
          <w:tcPr>
            <w:tcW w:type="dxa" w:w="2232"/>
            <w:vAlign w:val="top"/>
            <w:shd w:fill="F3F6FA"/>
          </w:tcPr>
          <w:p>
            <w:pPr>
              <w:spacing w:after="30"/>
            </w:pPr>
            <w:r>
              <w:rPr>
                <w:rFonts w:ascii="Aptos" w:hAnsi="Aptos"/>
                <w:sz w:val="18"/>
              </w:rPr>
              <w:t>Native module load</w:t>
            </w:r>
          </w:p>
        </w:tc>
        <w:tc>
          <w:tcPr>
            <w:tcW w:type="dxa" w:w="8064"/>
            <w:vAlign w:val="top"/>
            <w:shd w:fill="F3F6FA"/>
          </w:tcPr>
          <w:p>
            <w:pPr>
              <w:spacing w:after="30"/>
            </w:pPr>
            <w:r>
              <w:rPr>
                <w:rFonts w:ascii="Aptos" w:hAnsi="Aptos"/>
                <w:sz w:val="18"/>
              </w:rPr>
              <w:t>Node Vitest process imports and opens the pinned better-sqlite3 package successfully.</w:t>
            </w:r>
          </w:p>
        </w:tc>
      </w:tr>
      <w:tr>
        <w:tc>
          <w:tcPr>
            <w:tcW w:type="dxa" w:w="2232"/>
            <w:vAlign w:val="top"/>
          </w:tcPr>
          <w:p>
            <w:pPr>
              <w:spacing w:after="30"/>
            </w:pPr>
            <w:r>
              <w:rPr>
                <w:rFonts w:ascii="Aptos" w:hAnsi="Aptos"/>
                <w:sz w:val="18"/>
              </w:rPr>
              <w:t>File creation</w:t>
            </w:r>
          </w:p>
        </w:tc>
        <w:tc>
          <w:tcPr>
            <w:tcW w:type="dxa" w:w="8064"/>
            <w:vAlign w:val="top"/>
          </w:tcPr>
          <w:p>
            <w:pPr>
              <w:spacing w:after="30"/>
            </w:pPr>
            <w:r>
              <w:rPr>
                <w:rFonts w:ascii="Aptos" w:hAnsi="Aptos"/>
                <w:sz w:val="18"/>
              </w:rPr>
              <w:t>Initialization creates the data directory and a file-backed database in a temporary directory.</w:t>
            </w:r>
          </w:p>
        </w:tc>
      </w:tr>
      <w:tr>
        <w:tc>
          <w:tcPr>
            <w:tcW w:type="dxa" w:w="2232"/>
            <w:vAlign w:val="top"/>
            <w:shd w:fill="F3F6FA"/>
          </w:tcPr>
          <w:p>
            <w:pPr>
              <w:spacing w:after="30"/>
            </w:pPr>
            <w:r>
              <w:rPr>
                <w:rFonts w:ascii="Aptos" w:hAnsi="Aptos"/>
                <w:sz w:val="18"/>
              </w:rPr>
              <w:t>Pragmas</w:t>
            </w:r>
          </w:p>
        </w:tc>
        <w:tc>
          <w:tcPr>
            <w:tcW w:type="dxa" w:w="8064"/>
            <w:vAlign w:val="top"/>
            <w:shd w:fill="F3F6FA"/>
          </w:tcPr>
          <w:p>
            <w:pPr>
              <w:spacing w:after="30"/>
            </w:pPr>
            <w:r>
              <w:rPr>
                <w:rFonts w:ascii="Aptos" w:hAnsi="Aptos"/>
                <w:sz w:val="18"/>
              </w:rPr>
              <w:t>foreign_keys=1, journal_mode=wal, synchronous=NORMAL, busy_timeout=5000, trusted_schema=0, user_version=0.</w:t>
            </w:r>
          </w:p>
        </w:tc>
      </w:tr>
      <w:tr>
        <w:tc>
          <w:tcPr>
            <w:tcW w:type="dxa" w:w="2232"/>
            <w:vAlign w:val="top"/>
          </w:tcPr>
          <w:p>
            <w:pPr>
              <w:spacing w:after="30"/>
            </w:pPr>
            <w:r>
              <w:rPr>
                <w:rFonts w:ascii="Aptos" w:hAnsi="Aptos"/>
                <w:sz w:val="18"/>
              </w:rPr>
              <w:t>Health</w:t>
            </w:r>
          </w:p>
        </w:tc>
        <w:tc>
          <w:tcPr>
            <w:tcW w:type="dxa" w:w="8064"/>
            <w:vAlign w:val="top"/>
          </w:tcPr>
          <w:p>
            <w:pPr>
              <w:spacing w:after="30"/>
            </w:pPr>
            <w:r>
              <w:rPr>
                <w:rFonts w:ascii="Aptos" w:hAnsi="Aptos"/>
                <w:sz w:val="18"/>
              </w:rPr>
              <w:t>Status is unavailable before initialize, ready after successful initialize/SELECT 1, and unavailable after close.</w:t>
            </w:r>
          </w:p>
        </w:tc>
      </w:tr>
      <w:tr>
        <w:tc>
          <w:tcPr>
            <w:tcW w:type="dxa" w:w="2232"/>
            <w:vAlign w:val="top"/>
            <w:shd w:fill="F3F6FA"/>
          </w:tcPr>
          <w:p>
            <w:pPr>
              <w:spacing w:after="30"/>
            </w:pPr>
            <w:r>
              <w:rPr>
                <w:rFonts w:ascii="Aptos" w:hAnsi="Aptos"/>
                <w:sz w:val="18"/>
              </w:rPr>
              <w:t>Single ownership</w:t>
            </w:r>
          </w:p>
        </w:tc>
        <w:tc>
          <w:tcPr>
            <w:tcW w:type="dxa" w:w="8064"/>
            <w:vAlign w:val="top"/>
            <w:shd w:fill="F3F6FA"/>
          </w:tcPr>
          <w:p>
            <w:pPr>
              <w:spacing w:after="30"/>
            </w:pPr>
            <w:r>
              <w:rPr>
                <w:rFonts w:ascii="Aptos" w:hAnsi="Aptos"/>
                <w:sz w:val="18"/>
              </w:rPr>
              <w:t>Repeated initialize does not create a second connection; close is idempotent.</w:t>
            </w:r>
          </w:p>
        </w:tc>
      </w:tr>
      <w:tr>
        <w:tc>
          <w:tcPr>
            <w:tcW w:type="dxa" w:w="2232"/>
            <w:vAlign w:val="top"/>
          </w:tcPr>
          <w:p>
            <w:pPr>
              <w:spacing w:after="30"/>
            </w:pPr>
            <w:r>
              <w:rPr>
                <w:rFonts w:ascii="Aptos" w:hAnsi="Aptos"/>
                <w:sz w:val="18"/>
              </w:rPr>
              <w:t>Partial failure cleanup</w:t>
            </w:r>
          </w:p>
        </w:tc>
        <w:tc>
          <w:tcPr>
            <w:tcW w:type="dxa" w:w="8064"/>
            <w:vAlign w:val="top"/>
          </w:tcPr>
          <w:p>
            <w:pPr>
              <w:spacing w:after="30"/>
            </w:pPr>
            <w:r>
              <w:rPr>
                <w:rFonts w:ascii="Aptos" w:hAnsi="Aptos"/>
                <w:sz w:val="18"/>
              </w:rPr>
              <w:t>A pragma/open verification failure closes any opened handle and leaves status unavailable.</w:t>
            </w:r>
          </w:p>
        </w:tc>
      </w:tr>
      <w:tr>
        <w:tc>
          <w:tcPr>
            <w:tcW w:type="dxa" w:w="2232"/>
            <w:vAlign w:val="top"/>
            <w:shd w:fill="F3F6FA"/>
          </w:tcPr>
          <w:p>
            <w:pPr>
              <w:spacing w:after="30"/>
            </w:pPr>
            <w:r>
              <w:rPr>
                <w:rFonts w:ascii="Aptos" w:hAnsi="Aptos"/>
                <w:sz w:val="18"/>
              </w:rPr>
              <w:t>Safe logging</w:t>
            </w:r>
          </w:p>
        </w:tc>
        <w:tc>
          <w:tcPr>
            <w:tcW w:type="dxa" w:w="8064"/>
            <w:vAlign w:val="top"/>
            <w:shd w:fill="F3F6FA"/>
          </w:tcPr>
          <w:p>
            <w:pPr>
              <w:spacing w:after="30"/>
            </w:pPr>
            <w:r>
              <w:rPr>
                <w:rFonts w:ascii="Aptos" w:hAnsi="Aptos"/>
                <w:sz w:val="18"/>
              </w:rPr>
              <w:t>An injected error containing a path/raw message logs only the fixed event and exception type.</w:t>
            </w:r>
          </w:p>
        </w:tc>
      </w:tr>
      <w:tr>
        <w:tc>
          <w:tcPr>
            <w:tcW w:type="dxa" w:w="2232"/>
            <w:vAlign w:val="top"/>
          </w:tcPr>
          <w:p>
            <w:pPr>
              <w:spacing w:after="30"/>
            </w:pPr>
            <w:r>
              <w:rPr>
                <w:rFonts w:ascii="Aptos" w:hAnsi="Aptos"/>
                <w:sz w:val="18"/>
              </w:rPr>
              <w:t>App health contract</w:t>
            </w:r>
          </w:p>
        </w:tc>
        <w:tc>
          <w:tcPr>
            <w:tcW w:type="dxa" w:w="8064"/>
            <w:vAlign w:val="top"/>
          </w:tcPr>
          <w:p>
            <w:pPr>
              <w:spacing w:after="30"/>
            </w:pPr>
            <w:r>
              <w:rPr>
                <w:rFonts w:ascii="Aptos" w:hAnsi="Aptos"/>
                <w:sz w:val="18"/>
              </w:rPr>
              <w:t>Accepts ready/unavailable; rejects not-configured, unknown strings, extra keys, paths, and database detail objects.</w:t>
            </w:r>
          </w:p>
        </w:tc>
      </w:tr>
      <w:tr>
        <w:tc>
          <w:tcPr>
            <w:tcW w:type="dxa" w:w="2232"/>
            <w:vAlign w:val="top"/>
            <w:shd w:fill="F3F6FA"/>
          </w:tcPr>
          <w:p>
            <w:pPr>
              <w:spacing w:after="30"/>
            </w:pPr>
            <w:r>
              <w:rPr>
                <w:rFonts w:ascii="Aptos" w:hAnsi="Aptos"/>
                <w:sz w:val="18"/>
              </w:rPr>
              <w:t>IPC regression</w:t>
            </w:r>
          </w:p>
        </w:tc>
        <w:tc>
          <w:tcPr>
            <w:tcW w:type="dxa" w:w="8064"/>
            <w:vAlign w:val="top"/>
            <w:shd w:fill="F3F6FA"/>
          </w:tcPr>
          <w:p>
            <w:pPr>
              <w:spacing w:after="30"/>
            </w:pPr>
            <w:r>
              <w:rPr>
                <w:rFonts w:ascii="Aptos" w:hAnsi="Aptos"/>
                <w:sz w:val="18"/>
              </w:rPr>
              <w:t>All sender validation, strict requests, safe errors, fixed preload methods, registration, and disposal tests from HSD-005 still pass.</w:t>
            </w:r>
          </w:p>
        </w:tc>
      </w:tr>
      <w:tr>
        <w:tc>
          <w:tcPr>
            <w:tcW w:type="dxa" w:w="2232"/>
            <w:vAlign w:val="top"/>
          </w:tcPr>
          <w:p>
            <w:pPr>
              <w:spacing w:after="30"/>
            </w:pPr>
            <w:r>
              <w:rPr>
                <w:rFonts w:ascii="Aptos" w:hAnsi="Aptos"/>
                <w:sz w:val="18"/>
              </w:rPr>
              <w:t>Renderer mapping</w:t>
            </w:r>
          </w:p>
        </w:tc>
        <w:tc>
          <w:tcPr>
            <w:tcW w:type="dxa" w:w="8064"/>
            <w:vAlign w:val="top"/>
          </w:tcPr>
          <w:p>
            <w:pPr>
              <w:spacing w:after="30"/>
            </w:pPr>
            <w:r>
              <w:rPr>
                <w:rFonts w:ascii="Aptos" w:hAnsi="Aptos"/>
                <w:sz w:val="18"/>
              </w:rPr>
              <w:t>At minimum, pure status mapping tests prove loading, ready, unavailable, and IPC failure text without adding a DOM test framework solely for this task.</w:t>
            </w:r>
          </w:p>
        </w:tc>
      </w:tr>
      <w:tr>
        <w:tc>
          <w:tcPr>
            <w:tcW w:type="dxa" w:w="2232"/>
            <w:vAlign w:val="top"/>
            <w:shd w:fill="F3F6FA"/>
          </w:tcPr>
          <w:p>
            <w:pPr>
              <w:spacing w:after="30"/>
            </w:pPr>
            <w:r>
              <w:rPr>
                <w:rFonts w:ascii="Aptos" w:hAnsi="Aptos"/>
                <w:sz w:val="18"/>
              </w:rPr>
              <w:t>Shutdown</w:t>
            </w:r>
          </w:p>
        </w:tc>
        <w:tc>
          <w:tcPr>
            <w:tcW w:type="dxa" w:w="8064"/>
            <w:vAlign w:val="top"/>
            <w:shd w:fill="F3F6FA"/>
          </w:tcPr>
          <w:p>
            <w:pPr>
              <w:spacing w:after="30"/>
            </w:pPr>
            <w:r>
              <w:rPr>
                <w:rFonts w:ascii="Aptos" w:hAnsi="Aptos"/>
                <w:sz w:val="18"/>
              </w:rPr>
              <w:t>Database close hook is registered once and does not interfere with HSD-005 handler disposal.</w:t>
            </w:r>
          </w:p>
        </w:tc>
      </w:tr>
    </w:tbl>
    <w:p>
      <w:pPr>
        <w:spacing w:after="80"/>
      </w:pPr>
    </w:p>
    <w:p>
      <w:pPr>
        <w:pStyle w:val="ListBullet"/>
        <w:spacing w:after="40"/>
      </w:pPr>
      <w:r>
        <w:t>Tests must not use the real AppData/userData directory.</w:t>
      </w:r>
    </w:p>
    <w:p>
      <w:pPr>
        <w:pStyle w:val="ListBullet"/>
        <w:spacing w:after="40"/>
      </w:pPr>
      <w:r>
        <w:t>Tests must not leave database, -wal, or -shm files in the repository.</w:t>
      </w:r>
    </w:p>
    <w:p>
      <w:pPr>
        <w:pStyle w:val="ListBullet"/>
        <w:spacing w:after="40"/>
      </w:pPr>
      <w:r>
        <w:t>Tests must not require internet access or a running Electron window.</w:t>
      </w:r>
    </w:p>
    <w:p>
      <w:pPr>
        <w:pStyle w:val="ListBullet"/>
        <w:spacing w:after="40"/>
      </w:pPr>
      <w:r>
        <w:t>Do not mock every database behavior; at least one integration suite must exercise a real file-backed better-sqlite3 connection.</w:t>
      </w:r>
    </w:p>
    <w:p>
      <w:pPr>
        <w:pStyle w:val="ListBullet"/>
        <w:spacing w:after="40"/>
      </w:pPr>
      <w:r>
        <w:t>Do not add patient-like sample names, readings, phone numbers, or other PHI-shaped fixtures.</w:t>
      </w:r>
    </w:p>
    <w:p>
      <w:pPr>
        <w:pStyle w:val="Heading1"/>
        <w:keepNext/>
        <w:spacing w:before="200" w:after="80"/>
      </w:pPr>
      <w:r>
        <w:t>15. Required Commands</w:t>
      </w:r>
    </w:p>
    <w:p>
      <w:pPr>
        <w:pStyle w:val="CodeBlock"/>
      </w:pPr>
      <w:r>
        <w:t>pnpm install</w:t>
        <w:br/>
        <w:t>pnpm format:check</w:t>
        <w:br/>
        <w:t>pnpm lint</w:t>
        <w:br/>
        <w:t>pnpm typecheck</w:t>
        <w:br/>
        <w:t>pnpm test</w:t>
        <w:br/>
        <w:t>pnpm verify</w:t>
        <w:br/>
        <w:t>pnpm build</w:t>
        <w:br/>
        <w:t>pnpm dev</w:t>
      </w:r>
    </w:p>
    <w:p>
      <w:pPr>
        <w:spacing w:after="80"/>
      </w:pPr>
      <w:r>
        <w:t>After development verification, stop the process and run:</w:t>
      </w:r>
    </w:p>
    <w:p>
      <w:pPr>
        <w:pStyle w:val="CodeBlock"/>
      </w:pPr>
      <w:r>
        <w:t>pnpm start</w:t>
        <w:br/>
        <w:t>pnpm build:unpack</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30"/>
            </w:pPr>
            <w:r>
              <w:rPr>
                <w:rFonts w:ascii="Aptos" w:hAnsi="Aptos"/>
                <w:b/>
                <w:color w:val="163A5F"/>
                <w:sz w:val="18"/>
              </w:rPr>
              <w:t xml:space="preserve">Native build gate: </w:t>
            </w:r>
            <w:r>
              <w:rPr>
                <w:rFonts w:ascii="Aptos" w:hAnsi="Aptos"/>
                <w:sz w:val="18"/>
              </w:rPr>
              <w:t>A successful JavaScript build is insufficient. The task is not complete until the unpacked Windows executable loads better-sqlite3, opens the local database, and reports Database: Ready.</w:t>
            </w:r>
          </w:p>
        </w:tc>
      </w:tr>
    </w:tbl>
    <w:p>
      <w:pPr>
        <w:spacing w:after="80"/>
      </w:pPr>
    </w:p>
    <w:p>
      <w:pPr>
        <w:pStyle w:val="Heading1"/>
        <w:keepNext/>
        <w:spacing w:before="200" w:after="80"/>
      </w:pPr>
      <w:r>
        <w:t>16. Manual Verification</w:t>
      </w:r>
    </w:p>
    <w:p>
      <w:pPr>
        <w:pStyle w:val="ListNumber"/>
        <w:spacing w:after="40"/>
      </w:pPr>
      <w:r>
        <w:t>Run pnpm dev and confirm the foundation window opens without native-module, CSP, preload, sender-validation, or IPC errors.</w:t>
      </w:r>
    </w:p>
    <w:p>
      <w:pPr>
        <w:pStyle w:val="ListNumber"/>
        <w:spacing w:after="40"/>
      </w:pPr>
      <w:r>
        <w:t>Confirm the visible metadata still reports development runtime.</w:t>
      </w:r>
    </w:p>
    <w:p>
      <w:pPr>
        <w:pStyle w:val="ListNumber"/>
        <w:spacing w:after="40"/>
      </w:pPr>
      <w:r>
        <w:t>Confirm Clinical workflows remains Not implemented and Desktop IPC remains Available.</w:t>
      </w:r>
    </w:p>
    <w:p>
      <w:pPr>
        <w:pStyle w:val="ListNumber"/>
        <w:spacing w:after="40"/>
      </w:pPr>
      <w:r>
        <w:t>Confirm Database now displays Ready.</w:t>
      </w:r>
    </w:p>
    <w:p>
      <w:pPr>
        <w:pStyle w:val="ListNumber"/>
        <w:spacing w:after="40"/>
      </w:pPr>
      <w:r>
        <w:t>Open developer tools and confirm window.healthScreening still exposes only app.getInfo and app.getHealth.</w:t>
      </w:r>
    </w:p>
    <w:p>
      <w:pPr>
        <w:pStyle w:val="ListNumber"/>
        <w:spacing w:after="40"/>
      </w:pPr>
      <w:r>
        <w:t>Confirm no database path, SQL method, query method, better-sqlite3 object, process object, or filesystem capability is exposed.</w:t>
      </w:r>
    </w:p>
    <w:p>
      <w:pPr>
        <w:pStyle w:val="ListNumber"/>
        <w:spacing w:after="40"/>
      </w:pPr>
      <w:r>
        <w:t>Start the app a second time and confirm no duplicate window and no second database initialization occurs.</w:t>
      </w:r>
    </w:p>
    <w:p>
      <w:pPr>
        <w:pStyle w:val="ListNumber"/>
        <w:spacing w:after="40"/>
      </w:pPr>
      <w:r>
        <w:t>Stop development mode and run pnpm start; confirm production preview displays Database: Ready.</w:t>
      </w:r>
    </w:p>
    <w:p>
      <w:pPr>
        <w:pStyle w:val="ListNumber"/>
        <w:spacing w:after="40"/>
      </w:pPr>
      <w:r>
        <w:t>Run pnpm build:unpack and locate the native better_sqlite3.node file under the unpacked application resources.</w:t>
      </w:r>
    </w:p>
    <w:p>
      <w:pPr>
        <w:pStyle w:val="ListNumber"/>
        <w:spacing w:after="40"/>
      </w:pPr>
      <w:r>
        <w:t>Launch dist/win-unpacked/health-screening-desktop.exe and confirm packaged preview plus Database: Ready.</w:t>
      </w:r>
    </w:p>
    <w:p>
      <w:pPr>
        <w:pStyle w:val="ListNumber"/>
        <w:spacing w:after="40"/>
      </w:pPr>
      <w:r>
        <w:t>Close and relaunch the unpacked executable; confirm the same database file is reused and startup remains successful.</w:t>
      </w:r>
    </w:p>
    <w:p>
      <w:pPr>
        <w:pStyle w:val="ListNumber"/>
        <w:spacing w:after="40"/>
      </w:pPr>
      <w:r>
        <w:t>Confirm the database exists under Electron userData/data and not under the repository, out, dist, resources, or installation directory.</w:t>
      </w:r>
    </w:p>
    <w:p>
      <w:pPr>
        <w:pStyle w:val="ListNumber"/>
        <w:spacing w:after="40"/>
      </w:pPr>
      <w:r>
        <w:t>Confirm the repository remains free of *.sqlite*, *-wal, and *-shm files.</w:t>
      </w:r>
    </w:p>
    <w:p>
      <w:pPr>
        <w:pStyle w:val="CodeBlock"/>
      </w:pPr>
      <w:r>
        <w:t>find dist/win-unpacked -type f -iname "better_sqlite3.node"</w:t>
        <w:br/>
        <w:t>find . -maxdepth 4 -type f \( -iname "*.sqlite" -o -iname "*.sqlite3" -o -iname "*-wal" -o -iname "*-shm" \)</w:t>
      </w:r>
    </w:p>
    <w:p>
      <w:pPr>
        <w:pStyle w:val="Heading1"/>
        <w:keepNext/>
        <w:spacing w:before="200" w:after="80"/>
      </w:pPr>
      <w:r>
        <w:t>17. Acceptance Criteria</w:t>
      </w:r>
    </w:p>
    <w:p>
      <w:pPr>
        <w:pStyle w:val="ListBullet"/>
        <w:spacing w:after="40"/>
      </w:pPr>
      <w:r>
        <w:t>The branch starts from the approved HSD-005 merge on main.</w:t>
      </w:r>
    </w:p>
    <w:p>
      <w:pPr>
        <w:pStyle w:val="ListBullet"/>
        <w:spacing w:after="40"/>
      </w:pPr>
      <w:r>
        <w:t>better-sqlite3 is an exact production dependency and the lockfile is updated.</w:t>
      </w:r>
    </w:p>
    <w:p>
      <w:pPr>
        <w:pStyle w:val="ListBullet"/>
        <w:spacing w:after="40"/>
      </w:pPr>
      <w:r>
        <w:t>Only trusted main-process database modules import the native package.</w:t>
      </w:r>
    </w:p>
    <w:p>
      <w:pPr>
        <w:pStyle w:val="ListBullet"/>
        <w:spacing w:after="40"/>
      </w:pPr>
      <w:r>
        <w:t>The production database path is derived from app.getPath(userData)/data and is not renderer-controlled.</w:t>
      </w:r>
    </w:p>
    <w:p>
      <w:pPr>
        <w:pStyle w:val="ListBullet"/>
        <w:spacing w:after="40"/>
      </w:pPr>
      <w:r>
        <w:t>The runtime owns exactly one file-backed connection and closes it idempotently.</w:t>
      </w:r>
    </w:p>
    <w:p>
      <w:pPr>
        <w:pStyle w:val="ListBullet"/>
        <w:spacing w:after="40"/>
      </w:pPr>
      <w:r>
        <w:t>All required SQLite pragmas are applied and verified; user_version remains 0.</w:t>
      </w:r>
    </w:p>
    <w:p>
      <w:pPr>
        <w:pStyle w:val="ListBullet"/>
        <w:spacing w:after="40"/>
      </w:pPr>
      <w:r>
        <w:t>No domain, migration, audit, outbox, or application tables are created.</w:t>
      </w:r>
    </w:p>
    <w:p>
      <w:pPr>
        <w:pStyle w:val="ListBullet"/>
        <w:spacing w:after="40"/>
      </w:pPr>
      <w:r>
        <w:t>Initialization occurs before IPC registration/window load and failure is fatal and safely logged.</w:t>
      </w:r>
    </w:p>
    <w:p>
      <w:pPr>
        <w:pStyle w:val="ListBullet"/>
        <w:spacing w:after="40"/>
      </w:pPr>
      <w:r>
        <w:t>app.getHealth reports database ready/unavailable through strict schema-inferred contracts.</w:t>
      </w:r>
    </w:p>
    <w:p>
      <w:pPr>
        <w:pStyle w:val="ListBullet"/>
        <w:spacing w:after="40"/>
      </w:pPr>
      <w:r>
        <w:t>The renderer displays Database: Ready without exposing database implementation details.</w:t>
      </w:r>
    </w:p>
    <w:p>
      <w:pPr>
        <w:pStyle w:val="ListBullet"/>
        <w:spacing w:after="40"/>
      </w:pPr>
      <w:r>
        <w:t>Node tests, Electron development mode, production preview, and unpacked Windows executable all load the native module successfully.</w:t>
      </w:r>
    </w:p>
    <w:p>
      <w:pPr>
        <w:pStyle w:val="ListBullet"/>
        <w:spacing w:after="40"/>
      </w:pPr>
      <w:r>
        <w:t>The native .node binary is correctly unpacked for execution.</w:t>
      </w:r>
    </w:p>
    <w:p>
      <w:pPr>
        <w:pStyle w:val="ListBullet"/>
        <w:spacing w:after="40"/>
      </w:pPr>
      <w:r>
        <w:t>All prior security, CSP, navigation, permission, preload, and IPC tests continue to pass.</w:t>
      </w:r>
    </w:p>
    <w:p>
      <w:pPr>
        <w:pStyle w:val="ListBullet"/>
        <w:spacing w:after="40"/>
      </w:pPr>
      <w:r>
        <w:t>The working tree is clean and required commits are pushed.</w:t>
      </w:r>
    </w:p>
    <w:p>
      <w:pPr>
        <w:pStyle w:val="Heading1"/>
        <w:keepNext/>
        <w:spacing w:before="200" w:after="80"/>
      </w:pPr>
      <w:r>
        <w:t>18. Explicit Prohibitions</w:t>
      </w:r>
    </w:p>
    <w:p>
      <w:pPr>
        <w:pStyle w:val="ListBullet"/>
        <w:spacing w:after="40"/>
      </w:pPr>
      <w:r>
        <w:t>Do not create migration files, a schema_migrations table, application tables, seed data, or repositories.</w:t>
      </w:r>
    </w:p>
    <w:p>
      <w:pPr>
        <w:pStyle w:val="ListBullet"/>
        <w:spacing w:after="40"/>
      </w:pPr>
      <w:r>
        <w:t>Do not add users, passwords, roles, locations, patients, encounters, readings, referrals, follow-ups, protocols, reports, audit events, or outbox records.</w:t>
      </w:r>
    </w:p>
    <w:p>
      <w:pPr>
        <w:pStyle w:val="ListBullet"/>
        <w:spacing w:after="40"/>
      </w:pPr>
      <w:r>
        <w:t>Do not expose SQL, query, execute, prepare, transaction, pragma, backup, restore, or path operations through IPC or preload.</w:t>
      </w:r>
    </w:p>
    <w:p>
      <w:pPr>
        <w:pStyle w:val="ListBullet"/>
        <w:spacing w:after="40"/>
      </w:pPr>
      <w:r>
        <w:t>Do not import better-sqlite3 from shared, preload, renderer, tests running in a browser environment, or React code.</w:t>
      </w:r>
    </w:p>
    <w:p>
      <w:pPr>
        <w:pStyle w:val="ListBullet"/>
        <w:spacing w:after="40"/>
      </w:pPr>
      <w:r>
        <w:t>Do not store the database in the repository, app.asar, dist, build resources, executable directory, Documents, Downloads, or Desktop.</w:t>
      </w:r>
    </w:p>
    <w:p>
      <w:pPr>
        <w:pStyle w:val="ListBullet"/>
        <w:spacing w:after="40"/>
      </w:pPr>
      <w:r>
        <w:t>Do not permit an environment variable, CLI option, renderer setting, or IPC payload to override the production database path.</w:t>
      </w:r>
    </w:p>
    <w:p>
      <w:pPr>
        <w:pStyle w:val="ListBullet"/>
        <w:spacing w:after="40"/>
      </w:pPr>
      <w:r>
        <w:t>Do not use an in-memory database as production fallback.</w:t>
      </w:r>
    </w:p>
    <w:p>
      <w:pPr>
        <w:pStyle w:val="ListBullet"/>
        <w:spacing w:after="40"/>
      </w:pPr>
      <w:r>
        <w:t>Do not enable extension loading, unsafe mode, synchronous renderer IPC, nodeIntegration, sandbox relaxation, or remote content.</w:t>
      </w:r>
    </w:p>
    <w:p>
      <w:pPr>
        <w:pStyle w:val="ListBullet"/>
        <w:spacing w:after="40"/>
      </w:pPr>
      <w:r>
        <w:t>Do not add SQLCipher, custom encryption, credentials, key derivation, OS keychain integration, or field encryption in this task.</w:t>
      </w:r>
    </w:p>
    <w:p>
      <w:pPr>
        <w:pStyle w:val="ListBullet"/>
        <w:spacing w:after="40"/>
      </w:pPr>
      <w:r>
        <w:t>Do not add backup, restore, vacuum scheduling, integrity repair, sync, cloud calls, PostgreSQL, FHIR, portal, or AI functionality.</w:t>
      </w:r>
    </w:p>
    <w:p>
      <w:pPr>
        <w:pStyle w:val="ListBullet"/>
        <w:spacing w:after="40"/>
      </w:pPr>
      <w:r>
        <w:t>Do not add routing, Tailwind, form libraries, state libraries, charts, navigation, or visual redesign.</w:t>
      </w:r>
    </w:p>
    <w:p>
      <w:pPr>
        <w:pStyle w:val="ListBullet"/>
        <w:spacing w:after="40"/>
      </w:pPr>
      <w:r>
        <w:t>Do not upgrade unrelated dependencies or alter existing HSD-003 through HSD-005 security invariants.</w:t>
      </w:r>
    </w:p>
    <w:p>
      <w:pPr>
        <w:pStyle w:val="Heading1"/>
        <w:keepNext/>
        <w:spacing w:before="200" w:after="80"/>
      </w:pPr>
      <w:r>
        <w:t>19. Documentation Requirements</w:t>
      </w:r>
    </w:p>
    <w:p>
      <w:pPr>
        <w:spacing w:after="80"/>
      </w:pPr>
      <w:r>
        <w:t>Create the two ADRs and SQLite runtime documentation, and update engineering standards with:</w:t>
      </w:r>
    </w:p>
    <w:p>
      <w:pPr>
        <w:pStyle w:val="ListBullet"/>
        <w:spacing w:after="40"/>
      </w:pPr>
      <w:r>
        <w:t>SQLite is owned only by the trusted main process.</w:t>
      </w:r>
    </w:p>
    <w:p>
      <w:pPr>
        <w:pStyle w:val="ListBullet"/>
        <w:spacing w:after="40"/>
      </w:pPr>
      <w:r>
        <w:t>The renderer receives typed application results, never database handles or SQL.</w:t>
      </w:r>
    </w:p>
    <w:p>
      <w:pPr>
        <w:pStyle w:val="ListBullet"/>
        <w:spacing w:after="40"/>
      </w:pPr>
      <w:r>
        <w:t>The production path is userData/data/health-screening.sqlite3 and must not be logged or exposed.</w:t>
      </w:r>
    </w:p>
    <w:p>
      <w:pPr>
        <w:pStyle w:val="ListBullet"/>
        <w:spacing w:after="40"/>
      </w:pPr>
      <w:r>
        <w:t>The exact pinned native dependency version and the review process for future upgrades.</w:t>
      </w:r>
    </w:p>
    <w:p>
      <w:pPr>
        <w:pStyle w:val="ListBullet"/>
        <w:spacing w:after="40"/>
      </w:pPr>
      <w:r>
        <w:t>Electron native module compatibility, electron-builder install-app-deps, main-process externalization, and ASAR unpack requirements.</w:t>
      </w:r>
    </w:p>
    <w:p>
      <w:pPr>
        <w:pStyle w:val="ListBullet"/>
        <w:spacing w:after="40"/>
      </w:pPr>
      <w:r>
        <w:t>The approved startup pragmas and why each is required.</w:t>
      </w:r>
    </w:p>
    <w:p>
      <w:pPr>
        <w:pStyle w:val="ListBullet"/>
        <w:spacing w:after="40"/>
      </w:pPr>
      <w:r>
        <w:t>The one-connection lifecycle, startup order, fatal initialization behavior, and idempotent shutdown.</w:t>
      </w:r>
    </w:p>
    <w:p>
      <w:pPr>
        <w:pStyle w:val="ListBullet"/>
        <w:spacing w:after="40"/>
      </w:pPr>
      <w:r>
        <w:t>The distinction between HSD-006 runtime foundation and HSD-007 migration/schema work.</w:t>
      </w:r>
    </w:p>
    <w:p>
      <w:pPr>
        <w:pStyle w:val="ListBullet"/>
        <w:spacing w:after="40"/>
      </w:pPr>
      <w:r>
        <w:t>Temporary file-backed integration testing and prohibition against real userData in tests.</w:t>
      </w:r>
    </w:p>
    <w:p>
      <w:pPr>
        <w:pStyle w:val="ListBullet"/>
        <w:spacing w:after="40"/>
      </w:pPr>
      <w:r>
        <w:t>The Windows development and unpacked-package smoke-test procedure.</w:t>
      </w:r>
    </w:p>
    <w:p>
      <w:pPr>
        <w:pStyle w:val="ListBullet"/>
        <w:spacing w:after="40"/>
      </w:pPr>
      <w:r>
        <w:t>The PHI/logging rule: database paths, SQL, payloads, and raw errors are prohibited from operational logs and renderer-visible errors.</w:t>
      </w:r>
    </w:p>
    <w:p>
      <w:pPr>
        <w:pStyle w:val="Heading1"/>
        <w:keepNext/>
        <w:spacing w:before="200" w:after="80"/>
      </w:pPr>
      <w:r>
        <w:t>20. Commit and Handoff</w:t>
      </w:r>
    </w:p>
    <w:p>
      <w:pPr>
        <w:spacing w:after="80"/>
      </w:pPr>
      <w:r>
        <w:t>Create the primary task commit with exactly:</w:t>
      </w:r>
    </w:p>
    <w:p>
      <w:pPr>
        <w:pStyle w:val="CodeBlock"/>
      </w:pPr>
      <w:r>
        <w:t>feat: establish local sqlite runtime</w:t>
      </w:r>
    </w:p>
    <w:p>
      <w:pPr>
        <w:spacing w:after="80"/>
      </w:pPr>
      <w:r>
        <w:t>If a narrowly scoped correction is required after review, use a separate fix commit rather than rewriting reviewed history.</w:t>
      </w:r>
    </w:p>
    <w:p>
      <w:pPr>
        <w:spacing w:after="80"/>
      </w:pPr>
      <w:r>
        <w:t>Push the branch:</w:t>
      </w:r>
    </w:p>
    <w:p>
      <w:pPr>
        <w:pStyle w:val="CodeBlock"/>
      </w:pPr>
      <w:r>
        <w:t>git push -u origin feature/hsd-006-sqlite-runtime</w:t>
      </w:r>
    </w:p>
    <w:p>
      <w:pPr>
        <w:spacing w:after="80"/>
      </w:pPr>
      <w:r>
        <w:t>Provide the following evidence for review:</w:t>
      </w:r>
    </w:p>
    <w:p>
      <w:pPr>
        <w:pStyle w:val="CodeBlock"/>
      </w:pPr>
      <w:r>
        <w:t>git status</w:t>
        <w:br/>
        <w:t>git log -4 --oneline</w:t>
        <w:br/>
        <w:t>pnpm verify</w:t>
        <w:br/>
        <w:t>pnpm build</w:t>
        <w:br/>
        <w:t>pnpm build:unpack</w:t>
      </w:r>
    </w:p>
    <w:p>
      <w:pPr>
        <w:pStyle w:val="ListBullet"/>
        <w:spacing w:after="40"/>
      </w:pPr>
      <w:r>
        <w:t>Test file count and total passing test count.</w:t>
      </w:r>
    </w:p>
    <w:p>
      <w:pPr>
        <w:pStyle w:val="ListBullet"/>
        <w:spacing w:after="40"/>
      </w:pPr>
      <w:r>
        <w:t>The exact installed better-sqlite3 version from pnpm list better-sqlite3.</w:t>
      </w:r>
    </w:p>
    <w:p>
      <w:pPr>
        <w:pStyle w:val="ListBullet"/>
        <w:spacing w:after="40"/>
      </w:pPr>
      <w:r>
        <w:t>Confirmation that pnpm dev displayed Database: Ready and no native-module errors.</w:t>
      </w:r>
    </w:p>
    <w:p>
      <w:pPr>
        <w:pStyle w:val="ListBullet"/>
        <w:spacing w:after="40"/>
      </w:pPr>
      <w:r>
        <w:t>Confirmation that a second launch did not create another window or database runtime.</w:t>
      </w:r>
    </w:p>
    <w:p>
      <w:pPr>
        <w:pStyle w:val="ListBullet"/>
        <w:spacing w:after="40"/>
      </w:pPr>
      <w:r>
        <w:t>The find result showing the unpacked better_sqlite3.node file.</w:t>
      </w:r>
    </w:p>
    <w:p>
      <w:pPr>
        <w:pStyle w:val="ListBullet"/>
        <w:spacing w:after="40"/>
      </w:pPr>
      <w:r>
        <w:t>Confirmation that the unpacked executable displayed packaged preview and Database: Ready.</w:t>
      </w:r>
    </w:p>
    <w:p>
      <w:pPr>
        <w:pStyle w:val="ListBullet"/>
        <w:spacing w:after="40"/>
      </w:pPr>
      <w:r>
        <w:t>Confirmation that the database is under userData/data and no SQLite file exists in the repository or installation directory.</w:t>
      </w:r>
    </w:p>
    <w:p>
      <w:pPr>
        <w:pStyle w:val="ListBullet"/>
        <w:spacing w:after="40"/>
      </w:pPr>
      <w:r>
        <w:t>Confirmation that no migrations, tables, repositories, auth, patient, audit, outbox, backup, sync, or UI feature work was added.</w:t>
      </w:r>
    </w:p>
    <w:p>
      <w:pPr>
        <w:spacing w:after="80"/>
      </w:pPr>
      <w:r>
        <w:t>Do not merge HSD-006 and do not begin HSD-007 until the remote branch has been reviewed and approved.</w:t>
      </w:r>
    </w:p>
    <w:p>
      <w:pPr>
        <w:pStyle w:val="Heading1"/>
        <w:keepNext/>
        <w:spacing w:before="200" w:after="80"/>
      </w:pPr>
      <w:r>
        <w:t>21. Review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63A5F"/>
          </w:tcPr>
          <w:p>
            <w:pPr>
              <w:spacing w:after="30"/>
            </w:pPr>
            <w:r>
              <w:rPr>
                <w:rFonts w:ascii="Aptos" w:hAnsi="Aptos"/>
                <w:b/>
                <w:color w:val="FFFFFF"/>
                <w:sz w:val="18"/>
              </w:rPr>
              <w:t>Reviewer check</w:t>
            </w:r>
          </w:p>
        </w:tc>
        <w:tc>
          <w:tcPr>
            <w:tcW w:type="dxa" w:w="7848"/>
            <w:vAlign w:val="center"/>
            <w:shd w:fill="163A5F"/>
          </w:tcPr>
          <w:p>
            <w:pPr>
              <w:spacing w:after="30"/>
            </w:pPr>
            <w:r>
              <w:rPr>
                <w:rFonts w:ascii="Aptos" w:hAnsi="Aptos"/>
                <w:b/>
                <w:color w:val="FFFFFF"/>
                <w:sz w:val="18"/>
              </w:rPr>
              <w:t>Pass condition</w:t>
            </w:r>
          </w:p>
        </w:tc>
      </w:tr>
      <w:tr>
        <w:tc>
          <w:tcPr>
            <w:tcW w:type="dxa" w:w="2448"/>
            <w:vAlign w:val="top"/>
          </w:tcPr>
          <w:p>
            <w:pPr>
              <w:spacing w:after="30"/>
            </w:pPr>
            <w:r>
              <w:rPr>
                <w:rFonts w:ascii="Aptos" w:hAnsi="Aptos"/>
                <w:sz w:val="18"/>
              </w:rPr>
              <w:t>Branch ancestry</w:t>
            </w:r>
          </w:p>
        </w:tc>
        <w:tc>
          <w:tcPr>
            <w:tcW w:type="dxa" w:w="7848"/>
            <w:vAlign w:val="top"/>
          </w:tcPr>
          <w:p>
            <w:pPr>
              <w:spacing w:after="30"/>
            </w:pPr>
            <w:r>
              <w:rPr>
                <w:rFonts w:ascii="Aptos" w:hAnsi="Aptos"/>
                <w:sz w:val="18"/>
              </w:rPr>
              <w:t>Exactly based on the approved HSD-005 main baseline.</w:t>
            </w:r>
          </w:p>
        </w:tc>
      </w:tr>
      <w:tr>
        <w:tc>
          <w:tcPr>
            <w:tcW w:type="dxa" w:w="2448"/>
            <w:vAlign w:val="top"/>
            <w:shd w:fill="F3F6FA"/>
          </w:tcPr>
          <w:p>
            <w:pPr>
              <w:spacing w:after="30"/>
            </w:pPr>
            <w:r>
              <w:rPr>
                <w:rFonts w:ascii="Aptos" w:hAnsi="Aptos"/>
                <w:sz w:val="18"/>
              </w:rPr>
              <w:t>Dependency pin</w:t>
            </w:r>
          </w:p>
        </w:tc>
        <w:tc>
          <w:tcPr>
            <w:tcW w:type="dxa" w:w="7848"/>
            <w:vAlign w:val="top"/>
            <w:shd w:fill="F3F6FA"/>
          </w:tcPr>
          <w:p>
            <w:pPr>
              <w:spacing w:after="30"/>
            </w:pPr>
            <w:r>
              <w:rPr>
                <w:rFonts w:ascii="Aptos" w:hAnsi="Aptos"/>
                <w:sz w:val="18"/>
              </w:rPr>
              <w:t>Exact approved better-sqlite3 runtime version under dependencies; no alternate SQLite package.</w:t>
            </w:r>
          </w:p>
        </w:tc>
      </w:tr>
      <w:tr>
        <w:tc>
          <w:tcPr>
            <w:tcW w:type="dxa" w:w="2448"/>
            <w:vAlign w:val="top"/>
          </w:tcPr>
          <w:p>
            <w:pPr>
              <w:spacing w:after="30"/>
            </w:pPr>
            <w:r>
              <w:rPr>
                <w:rFonts w:ascii="Aptos" w:hAnsi="Aptos"/>
                <w:sz w:val="18"/>
              </w:rPr>
              <w:t>Process boundary</w:t>
            </w:r>
          </w:p>
        </w:tc>
        <w:tc>
          <w:tcPr>
            <w:tcW w:type="dxa" w:w="7848"/>
            <w:vAlign w:val="top"/>
          </w:tcPr>
          <w:p>
            <w:pPr>
              <w:spacing w:after="30"/>
            </w:pPr>
            <w:r>
              <w:rPr>
                <w:rFonts w:ascii="Aptos" w:hAnsi="Aptos"/>
                <w:sz w:val="18"/>
              </w:rPr>
              <w:t>Native package and connection exist only in trusted main-process modules.</w:t>
            </w:r>
          </w:p>
        </w:tc>
      </w:tr>
      <w:tr>
        <w:tc>
          <w:tcPr>
            <w:tcW w:type="dxa" w:w="2448"/>
            <w:vAlign w:val="top"/>
            <w:shd w:fill="F3F6FA"/>
          </w:tcPr>
          <w:p>
            <w:pPr>
              <w:spacing w:after="30"/>
            </w:pPr>
            <w:r>
              <w:rPr>
                <w:rFonts w:ascii="Aptos" w:hAnsi="Aptos"/>
                <w:sz w:val="18"/>
              </w:rPr>
              <w:t>Path</w:t>
            </w:r>
          </w:p>
        </w:tc>
        <w:tc>
          <w:tcPr>
            <w:tcW w:type="dxa" w:w="7848"/>
            <w:vAlign w:val="top"/>
            <w:shd w:fill="F3F6FA"/>
          </w:tcPr>
          <w:p>
            <w:pPr>
              <w:spacing w:after="30"/>
            </w:pPr>
            <w:r>
              <w:rPr>
                <w:rFonts w:ascii="Aptos" w:hAnsi="Aptos"/>
                <w:sz w:val="18"/>
              </w:rPr>
              <w:t>Stable userData/data path; no renderer-controlled override and no exposure.</w:t>
            </w:r>
          </w:p>
        </w:tc>
      </w:tr>
      <w:tr>
        <w:tc>
          <w:tcPr>
            <w:tcW w:type="dxa" w:w="2448"/>
            <w:vAlign w:val="top"/>
          </w:tcPr>
          <w:p>
            <w:pPr>
              <w:spacing w:after="30"/>
            </w:pPr>
            <w:r>
              <w:rPr>
                <w:rFonts w:ascii="Aptos" w:hAnsi="Aptos"/>
                <w:sz w:val="18"/>
              </w:rPr>
              <w:t>Pragmas</w:t>
            </w:r>
          </w:p>
        </w:tc>
        <w:tc>
          <w:tcPr>
            <w:tcW w:type="dxa" w:w="7848"/>
            <w:vAlign w:val="top"/>
          </w:tcPr>
          <w:p>
            <w:pPr>
              <w:spacing w:after="30"/>
            </w:pPr>
            <w:r>
              <w:rPr>
                <w:rFonts w:ascii="Aptos" w:hAnsi="Aptos"/>
                <w:sz w:val="18"/>
              </w:rPr>
              <w:t>Required values are applied and verified; user_version remains 0.</w:t>
            </w:r>
          </w:p>
        </w:tc>
      </w:tr>
      <w:tr>
        <w:tc>
          <w:tcPr>
            <w:tcW w:type="dxa" w:w="2448"/>
            <w:vAlign w:val="top"/>
            <w:shd w:fill="F3F6FA"/>
          </w:tcPr>
          <w:p>
            <w:pPr>
              <w:spacing w:after="30"/>
            </w:pPr>
            <w:r>
              <w:rPr>
                <w:rFonts w:ascii="Aptos" w:hAnsi="Aptos"/>
                <w:sz w:val="18"/>
              </w:rPr>
              <w:t>Lifecycle</w:t>
            </w:r>
          </w:p>
        </w:tc>
        <w:tc>
          <w:tcPr>
            <w:tcW w:type="dxa" w:w="7848"/>
            <w:vAlign w:val="top"/>
            <w:shd w:fill="F3F6FA"/>
          </w:tcPr>
          <w:p>
            <w:pPr>
              <w:spacing w:after="30"/>
            </w:pPr>
            <w:r>
              <w:rPr>
                <w:rFonts w:ascii="Aptos" w:hAnsi="Aptos"/>
                <w:sz w:val="18"/>
              </w:rPr>
              <w:t>One primary-instance connection; initialization before renderer; idempotent close.</w:t>
            </w:r>
          </w:p>
        </w:tc>
      </w:tr>
      <w:tr>
        <w:tc>
          <w:tcPr>
            <w:tcW w:type="dxa" w:w="2448"/>
            <w:vAlign w:val="top"/>
          </w:tcPr>
          <w:p>
            <w:pPr>
              <w:spacing w:after="30"/>
            </w:pPr>
            <w:r>
              <w:rPr>
                <w:rFonts w:ascii="Aptos" w:hAnsi="Aptos"/>
                <w:sz w:val="18"/>
              </w:rPr>
              <w:t>Failure behavior</w:t>
            </w:r>
          </w:p>
        </w:tc>
        <w:tc>
          <w:tcPr>
            <w:tcW w:type="dxa" w:w="7848"/>
            <w:vAlign w:val="top"/>
          </w:tcPr>
          <w:p>
            <w:pPr>
              <w:spacing w:after="30"/>
            </w:pPr>
            <w:r>
              <w:rPr>
                <w:rFonts w:ascii="Aptos" w:hAnsi="Aptos"/>
                <w:sz w:val="18"/>
              </w:rPr>
              <w:t>Fatal before window load; partial handle cleanup; no path/raw-message logging.</w:t>
            </w:r>
          </w:p>
        </w:tc>
      </w:tr>
      <w:tr>
        <w:tc>
          <w:tcPr>
            <w:tcW w:type="dxa" w:w="2448"/>
            <w:vAlign w:val="top"/>
            <w:shd w:fill="F3F6FA"/>
          </w:tcPr>
          <w:p>
            <w:pPr>
              <w:spacing w:after="30"/>
            </w:pPr>
            <w:r>
              <w:rPr>
                <w:rFonts w:ascii="Aptos" w:hAnsi="Aptos"/>
                <w:sz w:val="18"/>
              </w:rPr>
              <w:t>Health contract</w:t>
            </w:r>
          </w:p>
        </w:tc>
        <w:tc>
          <w:tcPr>
            <w:tcW w:type="dxa" w:w="7848"/>
            <w:vAlign w:val="top"/>
            <w:shd w:fill="F3F6FA"/>
          </w:tcPr>
          <w:p>
            <w:pPr>
              <w:spacing w:after="30"/>
            </w:pPr>
            <w:r>
              <w:rPr>
                <w:rFonts w:ascii="Aptos" w:hAnsi="Aptos"/>
                <w:sz w:val="18"/>
              </w:rPr>
              <w:t>Strict ready/unavailable schema-derived result; renderer shows Ready/Unavailable safely.</w:t>
            </w:r>
          </w:p>
        </w:tc>
      </w:tr>
      <w:tr>
        <w:tc>
          <w:tcPr>
            <w:tcW w:type="dxa" w:w="2448"/>
            <w:vAlign w:val="top"/>
          </w:tcPr>
          <w:p>
            <w:pPr>
              <w:spacing w:after="30"/>
            </w:pPr>
            <w:r>
              <w:rPr>
                <w:rFonts w:ascii="Aptos" w:hAnsi="Aptos"/>
                <w:sz w:val="18"/>
              </w:rPr>
              <w:t>No schema creep</w:t>
            </w:r>
          </w:p>
        </w:tc>
        <w:tc>
          <w:tcPr>
            <w:tcW w:type="dxa" w:w="7848"/>
            <w:vAlign w:val="top"/>
          </w:tcPr>
          <w:p>
            <w:pPr>
              <w:spacing w:after="30"/>
            </w:pPr>
            <w:r>
              <w:rPr>
                <w:rFonts w:ascii="Aptos" w:hAnsi="Aptos"/>
                <w:sz w:val="18"/>
              </w:rPr>
              <w:t>No migration framework, application tables, seed data, repositories, or business transactions.</w:t>
            </w:r>
          </w:p>
        </w:tc>
      </w:tr>
      <w:tr>
        <w:tc>
          <w:tcPr>
            <w:tcW w:type="dxa" w:w="2448"/>
            <w:vAlign w:val="top"/>
            <w:shd w:fill="F3F6FA"/>
          </w:tcPr>
          <w:p>
            <w:pPr>
              <w:spacing w:after="30"/>
            </w:pPr>
            <w:r>
              <w:rPr>
                <w:rFonts w:ascii="Aptos" w:hAnsi="Aptos"/>
                <w:sz w:val="18"/>
              </w:rPr>
              <w:t>IPC security</w:t>
            </w:r>
          </w:p>
        </w:tc>
        <w:tc>
          <w:tcPr>
            <w:tcW w:type="dxa" w:w="7848"/>
            <w:vAlign w:val="top"/>
            <w:shd w:fill="F3F6FA"/>
          </w:tcPr>
          <w:p>
            <w:pPr>
              <w:spacing w:after="30"/>
            </w:pPr>
            <w:r>
              <w:rPr>
                <w:rFonts w:ascii="Aptos" w:hAnsi="Aptos"/>
                <w:sz w:val="18"/>
              </w:rPr>
              <w:t>No database operation, SQL, path, native object, generic invoke, or new channel exposed.</w:t>
            </w:r>
          </w:p>
        </w:tc>
      </w:tr>
      <w:tr>
        <w:tc>
          <w:tcPr>
            <w:tcW w:type="dxa" w:w="2448"/>
            <w:vAlign w:val="top"/>
          </w:tcPr>
          <w:p>
            <w:pPr>
              <w:spacing w:after="30"/>
            </w:pPr>
            <w:r>
              <w:rPr>
                <w:rFonts w:ascii="Aptos" w:hAnsi="Aptos"/>
                <w:sz w:val="18"/>
              </w:rPr>
              <w:t>Build behavior</w:t>
            </w:r>
          </w:p>
        </w:tc>
        <w:tc>
          <w:tcPr>
            <w:tcW w:type="dxa" w:w="7848"/>
            <w:vAlign w:val="top"/>
          </w:tcPr>
          <w:p>
            <w:pPr>
              <w:spacing w:after="30"/>
            </w:pPr>
            <w:r>
              <w:rPr>
                <w:rFonts w:ascii="Aptos" w:hAnsi="Aptos"/>
                <w:sz w:val="18"/>
              </w:rPr>
              <w:t>Main dependency externalized; preload remains sandbox-compatible; renderer bundle contains no database code.</w:t>
            </w:r>
          </w:p>
        </w:tc>
      </w:tr>
      <w:tr>
        <w:tc>
          <w:tcPr>
            <w:tcW w:type="dxa" w:w="2448"/>
            <w:vAlign w:val="top"/>
            <w:shd w:fill="F3F6FA"/>
          </w:tcPr>
          <w:p>
            <w:pPr>
              <w:spacing w:after="30"/>
            </w:pPr>
            <w:r>
              <w:rPr>
                <w:rFonts w:ascii="Aptos" w:hAnsi="Aptos"/>
                <w:sz w:val="18"/>
              </w:rPr>
              <w:t>ASAR</w:t>
            </w:r>
          </w:p>
        </w:tc>
        <w:tc>
          <w:tcPr>
            <w:tcW w:type="dxa" w:w="7848"/>
            <w:vAlign w:val="top"/>
            <w:shd w:fill="F3F6FA"/>
          </w:tcPr>
          <w:p>
            <w:pPr>
              <w:spacing w:after="30"/>
            </w:pPr>
            <w:r>
              <w:rPr>
                <w:rFonts w:ascii="Aptos" w:hAnsi="Aptos"/>
                <w:sz w:val="18"/>
              </w:rPr>
              <w:t>Native binary is unpacked and executable in dist/win-unpacked.</w:t>
            </w:r>
          </w:p>
        </w:tc>
      </w:tr>
      <w:tr>
        <w:tc>
          <w:tcPr>
            <w:tcW w:type="dxa" w:w="2448"/>
            <w:vAlign w:val="top"/>
          </w:tcPr>
          <w:p>
            <w:pPr>
              <w:spacing w:after="30"/>
            </w:pPr>
            <w:r>
              <w:rPr>
                <w:rFonts w:ascii="Aptos" w:hAnsi="Aptos"/>
                <w:sz w:val="18"/>
              </w:rPr>
              <w:t>Tests</w:t>
            </w:r>
          </w:p>
        </w:tc>
        <w:tc>
          <w:tcPr>
            <w:tcW w:type="dxa" w:w="7848"/>
            <w:vAlign w:val="top"/>
          </w:tcPr>
          <w:p>
            <w:pPr>
              <w:spacing w:after="30"/>
            </w:pPr>
            <w:r>
              <w:rPr>
                <w:rFonts w:ascii="Aptos" w:hAnsi="Aptos"/>
                <w:sz w:val="18"/>
              </w:rPr>
              <w:t>Real file-backed integration tests plus all HSD-001-HSD-005 regression suites pass.</w:t>
            </w:r>
          </w:p>
        </w:tc>
      </w:tr>
      <w:tr>
        <w:tc>
          <w:tcPr>
            <w:tcW w:type="dxa" w:w="2448"/>
            <w:vAlign w:val="top"/>
            <w:shd w:fill="F3F6FA"/>
          </w:tcPr>
          <w:p>
            <w:pPr>
              <w:spacing w:after="30"/>
            </w:pPr>
            <w:r>
              <w:rPr>
                <w:rFonts w:ascii="Aptos" w:hAnsi="Aptos"/>
                <w:sz w:val="18"/>
              </w:rPr>
              <w:t>Runtime</w:t>
            </w:r>
          </w:p>
        </w:tc>
        <w:tc>
          <w:tcPr>
            <w:tcW w:type="dxa" w:w="7848"/>
            <w:vAlign w:val="top"/>
            <w:shd w:fill="F3F6FA"/>
          </w:tcPr>
          <w:p>
            <w:pPr>
              <w:spacing w:after="30"/>
            </w:pPr>
            <w:r>
              <w:rPr>
                <w:rFonts w:ascii="Aptos" w:hAnsi="Aptos"/>
                <w:sz w:val="18"/>
              </w:rPr>
              <w:t>Development, preview, and unpacked Windows executable report Database: Ready.</w:t>
            </w:r>
          </w:p>
        </w:tc>
      </w:tr>
      <w:tr>
        <w:tc>
          <w:tcPr>
            <w:tcW w:type="dxa" w:w="2448"/>
            <w:vAlign w:val="top"/>
          </w:tcPr>
          <w:p>
            <w:pPr>
              <w:spacing w:after="30"/>
            </w:pPr>
            <w:r>
              <w:rPr>
                <w:rFonts w:ascii="Aptos" w:hAnsi="Aptos"/>
                <w:sz w:val="18"/>
              </w:rPr>
              <w:t>Repository hygiene</w:t>
            </w:r>
          </w:p>
        </w:tc>
        <w:tc>
          <w:tcPr>
            <w:tcW w:type="dxa" w:w="7848"/>
            <w:vAlign w:val="top"/>
          </w:tcPr>
          <w:p>
            <w:pPr>
              <w:spacing w:after="30"/>
            </w:pPr>
            <w:r>
              <w:rPr>
                <w:rFonts w:ascii="Aptos" w:hAnsi="Aptos"/>
                <w:sz w:val="18"/>
              </w:rPr>
              <w:t>No database/WAL/SHM artifacts; clean working tree; branch pushed.</w:t>
            </w:r>
          </w:p>
        </w:tc>
      </w:tr>
      <w:tr>
        <w:tc>
          <w:tcPr>
            <w:tcW w:type="dxa" w:w="2448"/>
            <w:vAlign w:val="top"/>
            <w:shd w:fill="F3F6FA"/>
          </w:tcPr>
          <w:p>
            <w:pPr>
              <w:spacing w:after="30"/>
            </w:pPr>
            <w:r>
              <w:rPr>
                <w:rFonts w:ascii="Aptos" w:hAnsi="Aptos"/>
                <w:sz w:val="18"/>
              </w:rPr>
              <w:t>Scope control</w:t>
            </w:r>
          </w:p>
        </w:tc>
        <w:tc>
          <w:tcPr>
            <w:tcW w:type="dxa" w:w="7848"/>
            <w:vAlign w:val="top"/>
            <w:shd w:fill="F3F6FA"/>
          </w:tcPr>
          <w:p>
            <w:pPr>
              <w:spacing w:after="30"/>
            </w:pPr>
            <w:r>
              <w:rPr>
                <w:rFonts w:ascii="Aptos" w:hAnsi="Aptos"/>
                <w:sz w:val="18"/>
              </w:rPr>
              <w:t>No auth, clinical, migration, sync, backup, routing, UI redesign, cloud, FHIR, or AI work.</w:t>
            </w:r>
          </w:p>
        </w:tc>
      </w:tr>
    </w:tbl>
    <w:p>
      <w:pPr>
        <w:spacing w:after="80"/>
      </w:pPr>
    </w:p>
    <w:p>
      <w:pPr>
        <w:pStyle w:val="Heading1"/>
        <w:keepNext/>
        <w:spacing w:before="200" w:after="80"/>
      </w:pPr>
      <w:r>
        <w:t>22. Reference Basis</w:t>
      </w:r>
    </w:p>
    <w:p>
      <w:pPr>
        <w:spacing w:after="80"/>
      </w:pPr>
      <w:r>
        <w:t>Use the current official implementation references:</w:t>
      </w:r>
    </w:p>
    <w:p>
      <w:pPr>
        <w:pStyle w:val="ListBullet"/>
        <w:spacing w:after="40"/>
      </w:pPr>
      <w:r>
        <w:t>Electron native Node modules: https://www.electronjs.org/docs/latest/tutorial/using-native-node-modules</w:t>
      </w:r>
    </w:p>
    <w:p>
      <w:pPr>
        <w:pStyle w:val="ListBullet"/>
        <w:spacing w:after="40"/>
      </w:pPr>
      <w:r>
        <w:t>Electron native code overview: https://www.electronjs.org/docs/latest/tutorial/native-code-and-electron</w:t>
      </w:r>
    </w:p>
    <w:p>
      <w:pPr>
        <w:pStyle w:val="ListBullet"/>
        <w:spacing w:after="40"/>
      </w:pPr>
      <w:r>
        <w:t>electron-vite dependency handling: https://electron-vite.org/guide/dependency-handling</w:t>
      </w:r>
    </w:p>
    <w:p>
      <w:pPr>
        <w:pStyle w:val="ListBullet"/>
        <w:spacing w:after="40"/>
      </w:pPr>
      <w:r>
        <w:t>electron-vite distribution and ASAR limitations: https://electron-vite.org/guide/distribution</w:t>
      </w:r>
    </w:p>
    <w:p>
      <w:pPr>
        <w:pStyle w:val="ListBullet"/>
        <w:spacing w:after="40"/>
      </w:pPr>
      <w:r>
        <w:t>electron-builder native dependency installation: https://www.electron.build/docs/</w:t>
      </w:r>
    </w:p>
    <w:p>
      <w:pPr>
        <w:pStyle w:val="ListBullet"/>
        <w:spacing w:after="40"/>
      </w:pPr>
      <w:r>
        <w:t>better-sqlite3 repository and usage: https://github.com/WiseLibs/better-sqlite3</w:t>
      </w:r>
    </w:p>
    <w:p>
      <w:pPr>
        <w:pStyle w:val="ListBullet"/>
        <w:spacing w:after="40"/>
      </w:pPr>
      <w:r>
        <w:t>better-sqlite3 releases: https://github.com/WiseLibs/better-sqlite3/releases</w:t>
      </w:r>
    </w:p>
    <w:p>
      <w:pPr>
        <w:pStyle w:val="ListBullet"/>
        <w:spacing w:after="40"/>
      </w:pPr>
      <w:r>
        <w:t>better-sqlite3 Electron troubleshooting: https://github.com/WiseLibs/better-sqlite3/blob/master/docs/troubleshooting.md</w:t>
      </w:r>
    </w:p>
    <w:p>
      <w:pPr>
        <w:pStyle w:val="ListBullet"/>
        <w:spacing w:after="40"/>
      </w:pPr>
      <w:r>
        <w:t>SQLite PRAGMA documentation: https://www.sqlite.org/pragma.html</w:t>
      </w:r>
    </w:p>
    <w:p>
      <w:pPr>
        <w:pStyle w:val="ListBullet"/>
        <w:spacing w:after="40"/>
      </w:pPr>
      <w:r>
        <w:t>SQLite foreign key documentation: https://www.sqlite.org/foreignkeys.html</w:t>
      </w:r>
    </w:p>
    <w:p>
      <w:pPr>
        <w:pStyle w:val="ListBullet"/>
        <w:spacing w:after="40"/>
      </w:pPr>
      <w:r>
        <w:t>SQLite write-ahead logging: https://www.sqlite.org/wal.html</w:t>
      </w:r>
    </w:p>
    <w:p>
      <w:pPr>
        <w:spacing w:after="80"/>
      </w:pPr>
      <w:r>
        <w:t>The approved desktop design requires SQLite access only in the Electron main process, a native dependency packaging policy, numbered migrations in a later task, foreign-key enforcement, explicit transactions for later writes, operational database health, safe logs without PHI, and Windows package verification. HSD-006 implements only the runtime, native module, lifecycle, and health foundation.</w:t>
      </w:r>
    </w:p>
    <w:p>
      <w:pPr>
        <w:pStyle w:val="Heading1"/>
        <w:keepNext/>
        <w:spacing w:before="200" w:after="80"/>
      </w:pPr>
      <w:r>
        <w:t>HSD-006 Definition of Done</w:t>
      </w:r>
    </w:p>
    <w:tbl>
      <w:tblPr>
        <w:tblStyle w:val="TableGrid"/>
        <w:tblW w:type="auto" w:w="0"/>
        <w:jc w:val="center"/>
        <w:tblLook w:firstColumn="1" w:firstRow="1" w:lastColumn="0" w:lastRow="0" w:noHBand="0" w:noVBand="1" w:val="04A0"/>
      </w:tblPr>
      <w:tblGrid>
        <w:gridCol w:w="10080"/>
      </w:tblGrid>
      <w:tr>
        <w:trPr>
          <w:tblHeader w:val="true"/>
        </w:trPr>
        <w:tc>
          <w:tcPr>
            <w:tcW w:type="dxa" w:w="10224"/>
            <w:vAlign w:val="center"/>
            <w:shd w:fill="163A5F"/>
          </w:tcPr>
          <w:p>
            <w:pPr>
              <w:spacing w:after="30"/>
            </w:pPr>
            <w:r>
              <w:rPr>
                <w:rFonts w:ascii="Aptos" w:hAnsi="Aptos"/>
                <w:b/>
                <w:color w:val="FFFFFF"/>
                <w:sz w:val="18"/>
              </w:rPr>
              <w:t>Result</w:t>
            </w:r>
          </w:p>
        </w:tc>
      </w:tr>
      <w:tr>
        <w:tc>
          <w:tcPr>
            <w:tcW w:type="dxa" w:w="10224"/>
            <w:vAlign w:val="top"/>
          </w:tcPr>
          <w:p>
            <w:pPr>
              <w:spacing w:after="30"/>
            </w:pPr>
            <w:r>
              <w:rPr>
                <w:rFonts w:ascii="Aptos" w:hAnsi="Aptos"/>
                <w:sz w:val="18"/>
              </w:rPr>
              <w:t>The primary Electron instance owns one securely configured, file-backed SQLite database under userData; the native dependency works in tests, development, preview, and the unpacked Windows package; app.getHealth reports Database: Ready through the existing safe typed IPC boundary; no database path, SQL capability, migration, application table, repository, or clinical feature is exposed or implemented.</w:t>
            </w:r>
          </w:p>
        </w:tc>
      </w:tr>
    </w:tbl>
    <w:p>
      <w:pPr>
        <w:spacing w:after="8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B6573"/>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HSD-005 - Typed IPC Contracts and Secure Preload Bridge</dc:title>
  <dc:subject>Bounded Codex Implementation Task</dc:subject>
  <dc:creator>OpenAI</dc:creator>
  <cp:keywords>Electron, IPC, contextBridge, Zod, preload, health screening, HSD-005</cp:keywords>
  <dc:description>Health Screening Offline Desktop Application implementation task.</dc:description>
  <cp:lastModifiedBy/>
  <cp:revision>1</cp:revision>
  <dcterms:created xsi:type="dcterms:W3CDTF">2013-12-23T23:15:00Z</dcterms:created>
  <dcterms:modified xsi:type="dcterms:W3CDTF">2013-12-23T23:15:00Z</dcterms:modified>
  <cp:category/>
</cp:coreProperties>
</file>