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ptos Display" w:hAnsi="Aptos Display"/>
          <w:b/>
          <w:color w:val="4472C4"/>
          <w:sz w:val="76"/>
        </w:rPr>
        <w:t>HSD-004</w:t>
      </w:r>
    </w:p>
    <w:p>
      <w:pPr>
        <w:pStyle w:val="Title"/>
        <w:jc w:val="center"/>
      </w:pPr>
      <w:r>
        <w:t>Renderer Content Security Policy</w:t>
        <w:br/>
        <w:t>and Session Permissions</w:t>
      </w:r>
    </w:p>
    <w:p>
      <w:pPr>
        <w:pStyle w:val="Subtitle"/>
        <w:jc w:val="center"/>
      </w:pPr>
      <w:r>
        <w:t>Bounded Codex Implementation Task</w:t>
      </w:r>
    </w:p>
    <w:p>
      <w:pPr>
        <w:spacing w:before="480"/>
        <w:jc w:val="center"/>
      </w:pPr>
      <w:r>
        <w:rPr>
          <w:b/>
          <w:color w:val="163A5F"/>
          <w:sz w:val="26"/>
        </w:rPr>
        <w:t>Health Screening Offline Desktop Application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tcMar>
              <w:top w:w="90" w:type="dxa"/>
              <w:start w:w="100" w:type="dxa"/>
              <w:bottom w:w="90" w:type="dxa"/>
              <w:end w:w="100" w:type="dxa"/>
            </w:tcMar>
            <w:vAlign w:val="center"/>
          </w:tcPr>
          <w:p>
            <w:r>
              <w:rPr>
                <w:b/>
                <w:color w:val="FFFFFF"/>
                <w:sz w:val="18"/>
              </w:rPr>
              <w:t>Field</w:t>
            </w:r>
          </w:p>
        </w:tc>
        <w:tc>
          <w:tcPr>
            <w:tcW w:type="dxa" w:w="7056"/>
            <w:shd w:fill="1F4E78"/>
            <w:tcMar>
              <w:top w:w="90" w:type="dxa"/>
              <w:start w:w="100" w:type="dxa"/>
              <w:bottom w:w="90" w:type="dxa"/>
              <w:end w:w="100" w:type="dxa"/>
            </w:tcMar>
            <w:vAlign w:val="center"/>
          </w:tcPr>
          <w:p>
            <w:r>
              <w:rPr>
                <w:b/>
                <w:color w:val="FFFFFF"/>
                <w:sz w:val="18"/>
              </w:rPr>
              <w:t>Required value</w:t>
            </w:r>
          </w:p>
        </w:tc>
      </w:tr>
      <w:tr>
        <w:trPr>
          <w:cantSplit/>
        </w:trPr>
        <w:tc>
          <w:tcPr>
            <w:tcW w:type="dxa" w:w="2376"/>
            <w:tcMar>
              <w:top w:w="90" w:type="dxa"/>
              <w:start w:w="100" w:type="dxa"/>
              <w:bottom w:w="90" w:type="dxa"/>
              <w:end w:w="100" w:type="dxa"/>
            </w:tcMar>
            <w:vAlign w:val="top"/>
          </w:tcPr>
          <w:p>
            <w:pPr>
              <w:spacing w:after="40"/>
            </w:pPr>
            <w:r>
              <w:rPr>
                <w:sz w:val="17"/>
              </w:rPr>
              <w:t>Task ID</w:t>
            </w:r>
          </w:p>
        </w:tc>
        <w:tc>
          <w:tcPr>
            <w:tcW w:type="dxa" w:w="7056"/>
            <w:tcMar>
              <w:top w:w="90" w:type="dxa"/>
              <w:start w:w="100" w:type="dxa"/>
              <w:bottom w:w="90" w:type="dxa"/>
              <w:end w:w="100" w:type="dxa"/>
            </w:tcMar>
            <w:vAlign w:val="top"/>
          </w:tcPr>
          <w:p>
            <w:pPr>
              <w:spacing w:after="40"/>
            </w:pPr>
            <w:r>
              <w:rPr>
                <w:sz w:val="17"/>
              </w:rPr>
              <w:t>HSD-004</w:t>
            </w:r>
          </w:p>
        </w:tc>
      </w:tr>
      <w:tr>
        <w:trPr>
          <w:cantSplit/>
        </w:trPr>
        <w:tc>
          <w:tcPr>
            <w:tcW w:type="dxa" w:w="2376"/>
            <w:tcMar>
              <w:top w:w="90" w:type="dxa"/>
              <w:start w:w="100" w:type="dxa"/>
              <w:bottom w:w="90" w:type="dxa"/>
              <w:end w:w="100" w:type="dxa"/>
            </w:tcMar>
            <w:vAlign w:val="top"/>
          </w:tcPr>
          <w:p>
            <w:pPr>
              <w:spacing w:after="40"/>
            </w:pPr>
            <w:r>
              <w:rPr>
                <w:sz w:val="17"/>
              </w:rPr>
              <w:t>Status</w:t>
            </w:r>
          </w:p>
        </w:tc>
        <w:tc>
          <w:tcPr>
            <w:tcW w:type="dxa" w:w="7056"/>
            <w:tcMar>
              <w:top w:w="90" w:type="dxa"/>
              <w:start w:w="100" w:type="dxa"/>
              <w:bottom w:w="90" w:type="dxa"/>
              <w:end w:w="100" w:type="dxa"/>
            </w:tcMar>
            <w:vAlign w:val="top"/>
          </w:tcPr>
          <w:p>
            <w:pPr>
              <w:spacing w:after="40"/>
            </w:pPr>
            <w:r>
              <w:rPr>
                <w:sz w:val="17"/>
              </w:rPr>
              <w:t>Ready for implementation after HSD-003 is merged into main</w:t>
            </w:r>
          </w:p>
        </w:tc>
      </w:tr>
      <w:tr>
        <w:trPr>
          <w:cantSplit/>
        </w:trPr>
        <w:tc>
          <w:tcPr>
            <w:tcW w:type="dxa" w:w="2376"/>
            <w:tcMar>
              <w:top w:w="90" w:type="dxa"/>
              <w:start w:w="100" w:type="dxa"/>
              <w:bottom w:w="90" w:type="dxa"/>
              <w:end w:w="100" w:type="dxa"/>
            </w:tcMar>
            <w:vAlign w:val="top"/>
          </w:tcPr>
          <w:p>
            <w:pPr>
              <w:spacing w:after="40"/>
            </w:pPr>
            <w:r>
              <w:rPr>
                <w:sz w:val="17"/>
              </w:rPr>
              <w:t>Branch</w:t>
            </w:r>
          </w:p>
        </w:tc>
        <w:tc>
          <w:tcPr>
            <w:tcW w:type="dxa" w:w="7056"/>
            <w:tcMar>
              <w:top w:w="90" w:type="dxa"/>
              <w:start w:w="100" w:type="dxa"/>
              <w:bottom w:w="90" w:type="dxa"/>
              <w:end w:w="100" w:type="dxa"/>
            </w:tcMar>
            <w:vAlign w:val="top"/>
          </w:tcPr>
          <w:p>
            <w:pPr>
              <w:spacing w:after="40"/>
            </w:pPr>
            <w:r>
              <w:rPr>
                <w:sz w:val="17"/>
              </w:rPr>
              <w:t>feature/hsd-004-renderer-csp</w:t>
            </w:r>
          </w:p>
        </w:tc>
      </w:tr>
      <w:tr>
        <w:trPr>
          <w:cantSplit/>
        </w:trPr>
        <w:tc>
          <w:tcPr>
            <w:tcW w:type="dxa" w:w="2376"/>
            <w:tcMar>
              <w:top w:w="90" w:type="dxa"/>
              <w:start w:w="100" w:type="dxa"/>
              <w:bottom w:w="90" w:type="dxa"/>
              <w:end w:w="100" w:type="dxa"/>
            </w:tcMar>
            <w:vAlign w:val="top"/>
          </w:tcPr>
          <w:p>
            <w:pPr>
              <w:spacing w:after="40"/>
            </w:pPr>
            <w:r>
              <w:rPr>
                <w:sz w:val="17"/>
              </w:rPr>
              <w:t>Primary commit</w:t>
            </w:r>
          </w:p>
        </w:tc>
        <w:tc>
          <w:tcPr>
            <w:tcW w:type="dxa" w:w="7056"/>
            <w:tcMar>
              <w:top w:w="90" w:type="dxa"/>
              <w:start w:w="100" w:type="dxa"/>
              <w:bottom w:w="90" w:type="dxa"/>
              <w:end w:w="100" w:type="dxa"/>
            </w:tcMar>
            <w:vAlign w:val="top"/>
          </w:tcPr>
          <w:p>
            <w:pPr>
              <w:spacing w:after="40"/>
            </w:pPr>
            <w:r>
              <w:rPr>
                <w:sz w:val="17"/>
              </w:rPr>
              <w:t>feat: enforce renderer content security policy</w:t>
            </w:r>
          </w:p>
        </w:tc>
      </w:tr>
      <w:tr>
        <w:trPr>
          <w:cantSplit/>
        </w:trPr>
        <w:tc>
          <w:tcPr>
            <w:tcW w:type="dxa" w:w="2376"/>
            <w:tcMar>
              <w:top w:w="90" w:type="dxa"/>
              <w:start w:w="100" w:type="dxa"/>
              <w:bottom w:w="90" w:type="dxa"/>
              <w:end w:w="100" w:type="dxa"/>
            </w:tcMar>
            <w:vAlign w:val="top"/>
          </w:tcPr>
          <w:p>
            <w:pPr>
              <w:spacing w:after="40"/>
            </w:pPr>
            <w:r>
              <w:rPr>
                <w:sz w:val="17"/>
              </w:rPr>
              <w:t>Delivery boundary</w:t>
            </w:r>
          </w:p>
        </w:tc>
        <w:tc>
          <w:tcPr>
            <w:tcW w:type="dxa" w:w="7056"/>
            <w:tcMar>
              <w:top w:w="90" w:type="dxa"/>
              <w:start w:w="100" w:type="dxa"/>
              <w:bottom w:w="90" w:type="dxa"/>
              <w:end w:w="100" w:type="dxa"/>
            </w:tcMar>
            <w:vAlign w:val="top"/>
          </w:tcPr>
          <w:p>
            <w:pPr>
              <w:spacing w:after="40"/>
            </w:pPr>
            <w:r>
              <w:rPr>
                <w:sz w:val="17"/>
              </w:rPr>
              <w:t>Desktop engineering foundation only; no health workflow implementation</w:t>
            </w:r>
          </w:p>
        </w:tc>
      </w:tr>
      <w:tr>
        <w:trPr>
          <w:cantSplit/>
        </w:trPr>
        <w:tc>
          <w:tcPr>
            <w:tcW w:type="dxa" w:w="2376"/>
            <w:tcMar>
              <w:top w:w="90" w:type="dxa"/>
              <w:start w:w="100" w:type="dxa"/>
              <w:bottom w:w="90" w:type="dxa"/>
              <w:end w:w="100" w:type="dxa"/>
            </w:tcMar>
            <w:vAlign w:val="top"/>
          </w:tcPr>
          <w:p>
            <w:pPr>
              <w:spacing w:after="40"/>
            </w:pPr>
            <w:r>
              <w:rPr>
                <w:sz w:val="17"/>
              </w:rPr>
              <w:t>Target platform</w:t>
            </w:r>
          </w:p>
        </w:tc>
        <w:tc>
          <w:tcPr>
            <w:tcW w:type="dxa" w:w="7056"/>
            <w:tcMar>
              <w:top w:w="90" w:type="dxa"/>
              <w:start w:w="100" w:type="dxa"/>
              <w:bottom w:w="90" w:type="dxa"/>
              <w:end w:w="100" w:type="dxa"/>
            </w:tcMar>
            <w:vAlign w:val="top"/>
          </w:tcPr>
          <w:p>
            <w:pPr>
              <w:spacing w:after="40"/>
            </w:pPr>
            <w:r>
              <w:rPr>
                <w:sz w:val="17"/>
              </w:rPr>
              <w:t>Windows-first Electron desktop application</w:t>
            </w:r>
          </w:p>
        </w:tc>
      </w:tr>
    </w:tbl>
    <w:p>
      <w:pPr>
        <w:spacing w:before="240"/>
        <w:jc w:val="center"/>
      </w:pPr>
      <w:r>
        <w:rPr>
          <w:i/>
          <w:color w:val="5B6573"/>
          <w:sz w:val="18"/>
        </w:rPr>
        <w:t>Implementation must preserve the approved HSD-001 through HSD-003 baseline.</w:t>
      </w:r>
    </w:p>
    <w:p>
      <w:r>
        <w:br w:type="page"/>
      </w:r>
    </w:p>
    <w:p>
      <w:pPr>
        <w:pStyle w:val="Heading1"/>
        <w:keepNext/>
        <w:keepNext/>
      </w:pPr>
      <w:r>
        <w:t>1. Task Brief</w:t>
      </w:r>
    </w:p>
    <w:p>
      <w:r>
        <w:t>HSD-004 adds a restrictive Content Security Policy (CSP) for the Electron renderer and establishes a default-deny permission policy for the Electron session. The task must support Vite development without weakening the packaged production policy. It must not add application features, data access, authentication, routing, or business IPC.</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tcMar>
              <w:top w:w="90" w:type="dxa"/>
              <w:start w:w="100" w:type="dxa"/>
              <w:bottom w:w="90" w:type="dxa"/>
              <w:end w:w="100" w:type="dxa"/>
            </w:tcMar>
            <w:vAlign w:val="center"/>
          </w:tcPr>
          <w:p>
            <w:r>
              <w:rPr>
                <w:b/>
                <w:color w:val="FFFFFF"/>
                <w:sz w:val="18"/>
              </w:rPr>
              <w:t>Area</w:t>
            </w:r>
          </w:p>
        </w:tc>
        <w:tc>
          <w:tcPr>
            <w:tcW w:type="dxa" w:w="7272"/>
            <w:shd w:fill="1F4E78"/>
            <w:tcMar>
              <w:top w:w="90" w:type="dxa"/>
              <w:start w:w="100" w:type="dxa"/>
              <w:bottom w:w="90" w:type="dxa"/>
              <w:end w:w="100" w:type="dxa"/>
            </w:tcMar>
            <w:vAlign w:val="center"/>
          </w:tcPr>
          <w:p>
            <w:r>
              <w:rPr>
                <w:b/>
                <w:color w:val="FFFFFF"/>
                <w:sz w:val="18"/>
              </w:rPr>
              <w:t>Required outcome</w:t>
            </w:r>
          </w:p>
        </w:tc>
      </w:tr>
      <w:tr>
        <w:trPr>
          <w:cantSplit/>
        </w:trPr>
        <w:tc>
          <w:tcPr>
            <w:tcW w:type="dxa" w:w="2232"/>
            <w:tcMar>
              <w:top w:w="90" w:type="dxa"/>
              <w:start w:w="100" w:type="dxa"/>
              <w:bottom w:w="90" w:type="dxa"/>
              <w:end w:w="100" w:type="dxa"/>
            </w:tcMar>
            <w:vAlign w:val="top"/>
          </w:tcPr>
          <w:p>
            <w:pPr>
              <w:spacing w:after="40"/>
            </w:pPr>
            <w:r>
              <w:rPr>
                <w:sz w:val="17"/>
              </w:rPr>
              <w:t>Development renderer</w:t>
            </w:r>
          </w:p>
        </w:tc>
        <w:tc>
          <w:tcPr>
            <w:tcW w:type="dxa" w:w="7272"/>
            <w:tcMar>
              <w:top w:w="90" w:type="dxa"/>
              <w:start w:w="100" w:type="dxa"/>
              <w:bottom w:w="90" w:type="dxa"/>
              <w:end w:w="100" w:type="dxa"/>
            </w:tcMar>
            <w:vAlign w:val="top"/>
          </w:tcPr>
          <w:p>
            <w:pPr>
              <w:spacing w:after="40"/>
            </w:pPr>
            <w:r>
              <w:rPr>
                <w:sz w:val="17"/>
              </w:rPr>
              <w:t>CSP delivered as an HTTP response header for the approved loopback Vite origin. The policy permits only resources required by the existing development renderer and HMR.</w:t>
            </w:r>
          </w:p>
        </w:tc>
      </w:tr>
      <w:tr>
        <w:trPr>
          <w:cantSplit/>
        </w:trPr>
        <w:tc>
          <w:tcPr>
            <w:tcW w:type="dxa" w:w="2232"/>
            <w:tcMar>
              <w:top w:w="90" w:type="dxa"/>
              <w:start w:w="100" w:type="dxa"/>
              <w:bottom w:w="90" w:type="dxa"/>
              <w:end w:w="100" w:type="dxa"/>
            </w:tcMar>
            <w:vAlign w:val="top"/>
          </w:tcPr>
          <w:p>
            <w:pPr>
              <w:spacing w:after="40"/>
            </w:pPr>
            <w:r>
              <w:rPr>
                <w:sz w:val="17"/>
              </w:rPr>
              <w:t>Packaged renderer</w:t>
            </w:r>
          </w:p>
        </w:tc>
        <w:tc>
          <w:tcPr>
            <w:tcW w:type="dxa" w:w="7272"/>
            <w:tcMar>
              <w:top w:w="90" w:type="dxa"/>
              <w:start w:w="100" w:type="dxa"/>
              <w:bottom w:w="90" w:type="dxa"/>
              <w:end w:w="100" w:type="dxa"/>
            </w:tcMar>
            <w:vAlign w:val="top"/>
          </w:tcPr>
          <w:p>
            <w:pPr>
              <w:spacing w:after="40"/>
            </w:pPr>
            <w:r>
              <w:rPr>
                <w:sz w:val="17"/>
              </w:rPr>
              <w:t>CSP injected into the built renderer HTML as one meta element because the current application loads packaged content with file://.</w:t>
            </w:r>
          </w:p>
        </w:tc>
      </w:tr>
      <w:tr>
        <w:trPr>
          <w:cantSplit/>
        </w:trPr>
        <w:tc>
          <w:tcPr>
            <w:tcW w:type="dxa" w:w="2232"/>
            <w:tcMar>
              <w:top w:w="90" w:type="dxa"/>
              <w:start w:w="100" w:type="dxa"/>
              <w:bottom w:w="90" w:type="dxa"/>
              <w:end w:w="100" w:type="dxa"/>
            </w:tcMar>
            <w:vAlign w:val="top"/>
          </w:tcPr>
          <w:p>
            <w:pPr>
              <w:spacing w:after="40"/>
            </w:pPr>
            <w:r>
              <w:rPr>
                <w:sz w:val="17"/>
              </w:rPr>
              <w:t>Permissions</w:t>
            </w:r>
          </w:p>
        </w:tc>
        <w:tc>
          <w:tcPr>
            <w:tcW w:type="dxa" w:w="7272"/>
            <w:tcMar>
              <w:top w:w="90" w:type="dxa"/>
              <w:start w:w="100" w:type="dxa"/>
              <w:bottom w:w="90" w:type="dxa"/>
              <w:end w:w="100" w:type="dxa"/>
            </w:tcMar>
            <w:vAlign w:val="top"/>
          </w:tcPr>
          <w:p>
            <w:pPr>
              <w:spacing w:after="40"/>
            </w:pPr>
            <w:r>
              <w:rPr>
                <w:sz w:val="17"/>
              </w:rPr>
              <w:t>Permission checks and permission requests are denied by default. The application must not display browser permission prompts.</w:t>
            </w:r>
          </w:p>
        </w:tc>
      </w:tr>
      <w:tr>
        <w:trPr>
          <w:cantSplit/>
        </w:trPr>
        <w:tc>
          <w:tcPr>
            <w:tcW w:type="dxa" w:w="2232"/>
            <w:tcMar>
              <w:top w:w="90" w:type="dxa"/>
              <w:start w:w="100" w:type="dxa"/>
              <w:bottom w:w="90" w:type="dxa"/>
              <w:end w:w="100" w:type="dxa"/>
            </w:tcMar>
            <w:vAlign w:val="top"/>
          </w:tcPr>
          <w:p>
            <w:pPr>
              <w:spacing w:after="40"/>
            </w:pPr>
            <w:r>
              <w:rPr>
                <w:sz w:val="17"/>
              </w:rPr>
              <w:t>Testing</w:t>
            </w:r>
          </w:p>
        </w:tc>
        <w:tc>
          <w:tcPr>
            <w:tcW w:type="dxa" w:w="7272"/>
            <w:tcMar>
              <w:top w:w="90" w:type="dxa"/>
              <w:start w:w="100" w:type="dxa"/>
              <w:bottom w:w="90" w:type="dxa"/>
              <w:end w:w="100" w:type="dxa"/>
            </w:tcMar>
            <w:vAlign w:val="top"/>
          </w:tcPr>
          <w:p>
            <w:pPr>
              <w:spacing w:after="40"/>
            </w:pPr>
            <w:r>
              <w:rPr>
                <w:sz w:val="17"/>
              </w:rPr>
              <w:t>Pure deterministic tests cover policy generation, header replacement, production HTML injection, and default-deny permissions.</w:t>
            </w:r>
          </w:p>
        </w:tc>
      </w:tr>
      <w:tr>
        <w:trPr>
          <w:cantSplit/>
        </w:trPr>
        <w:tc>
          <w:tcPr>
            <w:tcW w:type="dxa" w:w="2232"/>
            <w:tcMar>
              <w:top w:w="90" w:type="dxa"/>
              <w:start w:w="100" w:type="dxa"/>
              <w:bottom w:w="90" w:type="dxa"/>
              <w:end w:w="100" w:type="dxa"/>
            </w:tcMar>
            <w:vAlign w:val="top"/>
          </w:tcPr>
          <w:p>
            <w:pPr>
              <w:spacing w:after="40"/>
            </w:pPr>
            <w:r>
              <w:rPr>
                <w:sz w:val="17"/>
              </w:rPr>
              <w:t>Runtime</w:t>
            </w:r>
          </w:p>
        </w:tc>
        <w:tc>
          <w:tcPr>
            <w:tcW w:type="dxa" w:w="7272"/>
            <w:tcMar>
              <w:top w:w="90" w:type="dxa"/>
              <w:start w:w="100" w:type="dxa"/>
              <w:bottom w:w="90" w:type="dxa"/>
              <w:end w:w="100" w:type="dxa"/>
            </w:tcMar>
            <w:vAlign w:val="top"/>
          </w:tcPr>
          <w:p>
            <w:pPr>
              <w:spacing w:after="40"/>
            </w:pPr>
            <w:r>
              <w:rPr>
                <w:sz w:val="17"/>
              </w:rPr>
              <w:t>The placeholder renderer still works in development and production preview without CSP violations during normal startup.</w:t>
            </w:r>
          </w:p>
        </w:tc>
      </w:tr>
    </w:tbl>
    <w:p>
      <w:pPr>
        <w:pStyle w:val="Heading1"/>
        <w:keepNext/>
        <w:keepNext/>
      </w:pPr>
      <w:r>
        <w:t>2. Prerequisite and Branch Setup</w:t>
      </w:r>
    </w:p>
    <w:p>
      <w:r>
        <w:t>HSD-003 must be fully approved and merged before this task begins.</w:t>
      </w:r>
    </w:p>
    <w:p>
      <w:pPr>
        <w:pStyle w:val="CodeBlock"/>
        <w:keepLines/>
      </w:pPr>
      <w:r>
        <w:t>git switch main</w:t>
      </w:r>
      <w:r>
        <w:br/>
      </w:r>
      <w:r>
        <w:t>git pull origin main</w:t>
      </w:r>
      <w:r>
        <w:br/>
      </w:r>
      <w:r>
        <w:t>git switch -c feature/hsd-004-renderer-csp</w:t>
      </w:r>
    </w:p>
    <w:p>
      <w:r>
        <w:t>Before implementation, record the baseline:</w:t>
      </w:r>
    </w:p>
    <w:p>
      <w:pPr>
        <w:pStyle w:val="CodeBlock"/>
        <w:keepLines/>
      </w:pPr>
      <w:r>
        <w:t>git status</w:t>
      </w:r>
      <w:r>
        <w:br/>
      </w:r>
      <w:r>
        <w:t>git log -4 --oneline</w:t>
      </w:r>
    </w:p>
    <w:p>
      <w:pPr>
        <w:pStyle w:val="ListBullet"/>
      </w:pPr>
      <w:r>
        <w:t>The working tree must be clean.</w:t>
      </w:r>
    </w:p>
    <w:p>
      <w:pPr>
        <w:pStyle w:val="ListBullet"/>
      </w:pPr>
      <w:r>
        <w:t>The branch must start from the HSD-003 merge commit on main.</w:t>
      </w:r>
    </w:p>
    <w:p>
      <w:pPr>
        <w:pStyle w:val="ListBullet"/>
      </w:pPr>
      <w:r>
        <w:t>Do not branch from feature/hsd-003-window-hardening.</w:t>
      </w:r>
    </w:p>
    <w:p>
      <w:pPr>
        <w:pStyle w:val="Heading1"/>
        <w:keepNext/>
        <w:keepNext/>
      </w:pPr>
      <w:r>
        <w:t>3. Goal</w:t>
      </w:r>
    </w:p>
    <w:p>
      <w:r>
        <w:t>Reduce renderer attack surface by defining explicit resource-loading rules and refusing all browser-style permissions that the application does not currently require. Development compatibility is allowed only through narrowly scoped loopback-origin exceptions. Production must remain substantially stricter than development.</w:t>
      </w:r>
    </w:p>
    <w:p>
      <w:pPr>
        <w:pStyle w:val="Heading1"/>
        <w:keepNext/>
        <w:keepNext/>
      </w:pPr>
      <w:r>
        <w:t>4. Security Invariants</w:t>
      </w:r>
    </w:p>
    <w:p>
      <w:pPr>
        <w:pStyle w:val="ListBullet"/>
      </w:pPr>
      <w:r>
        <w:t>Production scripts load only from self. No wildcard script source, remote CDN, unsafe-inline, or unsafe-eval is permitted.</w:t>
      </w:r>
    </w:p>
    <w:p>
      <w:pPr>
        <w:pStyle w:val="ListBullet"/>
      </w:pPr>
      <w:r>
        <w:t>Production network connections are denied. The current placeholder renderer does not require API, WebSocket, telemetry, font, or analytics access.</w:t>
      </w:r>
    </w:p>
    <w:p>
      <w:pPr>
        <w:pStyle w:val="ListBullet"/>
      </w:pPr>
      <w:r>
        <w:t>Development connections are limited to the exact approved renderer origin and its exact WebSocket equivalent for Vite HMR.</w:t>
      </w:r>
    </w:p>
    <w:p>
      <w:pPr>
        <w:pStyle w:val="ListBullet"/>
      </w:pPr>
      <w:r>
        <w:t>Only development style loading may include unsafe-inline because Vite injects CSS into style elements during HMR. Production style loading must not include unsafe-inline.</w:t>
      </w:r>
    </w:p>
    <w:p>
      <w:pPr>
        <w:pStyle w:val="ListBullet"/>
      </w:pPr>
      <w:r>
        <w:t>Object, frame, media, manifest, worker, and form submission capabilities are denied unless explicitly required by a later reviewed task.</w:t>
      </w:r>
    </w:p>
    <w:p>
      <w:pPr>
        <w:pStyle w:val="ListBullet"/>
      </w:pPr>
      <w:r>
        <w:t>Electron session permissions are denied by default, including unknown future permission names.</w:t>
      </w:r>
    </w:p>
    <w:p>
      <w:pPr>
        <w:pStyle w:val="ListBullet"/>
      </w:pPr>
      <w:r>
        <w:t>Existing BrowserWindow hardening from HSD-003 must not be relaxed.</w:t>
      </w:r>
    </w:p>
    <w:p>
      <w:pPr>
        <w:pStyle w:val="ListBullet"/>
      </w:pPr>
      <w:r>
        <w:t>No patient information, clinical data, credentials, or application secrets may be introduced in this task.</w:t>
      </w:r>
    </w:p>
    <w:p>
      <w:pPr>
        <w:pStyle w:val="Heading1"/>
        <w:keepNext/>
        <w:keepNext/>
      </w:pPr>
      <w:r>
        <w:t>5. Scope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680"/>
            <w:shd w:fill="1F4E78"/>
            <w:tcMar>
              <w:top w:w="90" w:type="dxa"/>
              <w:start w:w="100" w:type="dxa"/>
              <w:bottom w:w="90" w:type="dxa"/>
              <w:end w:w="100" w:type="dxa"/>
            </w:tcMar>
            <w:vAlign w:val="center"/>
          </w:tcPr>
          <w:p>
            <w:r>
              <w:rPr>
                <w:b/>
                <w:color w:val="FFFFFF"/>
                <w:sz w:val="18"/>
              </w:rPr>
              <w:t>In scope</w:t>
            </w:r>
          </w:p>
        </w:tc>
        <w:tc>
          <w:tcPr>
            <w:tcW w:type="dxa" w:w="4824"/>
            <w:shd w:fill="1F4E78"/>
            <w:tcMar>
              <w:top w:w="90" w:type="dxa"/>
              <w:start w:w="100" w:type="dxa"/>
              <w:bottom w:w="90" w:type="dxa"/>
              <w:end w:w="100" w:type="dxa"/>
            </w:tcMar>
            <w:vAlign w:val="center"/>
          </w:tcPr>
          <w:p>
            <w:r>
              <w:rPr>
                <w:b/>
                <w:color w:val="FFFFFF"/>
                <w:sz w:val="18"/>
              </w:rPr>
              <w:t>Out of scope</w:t>
            </w:r>
          </w:p>
        </w:tc>
      </w:tr>
      <w:tr>
        <w:trPr>
          <w:cantSplit/>
        </w:trPr>
        <w:tc>
          <w:tcPr>
            <w:tcW w:type="dxa" w:w="4680"/>
            <w:tcMar>
              <w:top w:w="90" w:type="dxa"/>
              <w:start w:w="100" w:type="dxa"/>
              <w:bottom w:w="90" w:type="dxa"/>
              <w:end w:w="100" w:type="dxa"/>
            </w:tcMar>
            <w:vAlign w:val="top"/>
          </w:tcPr>
          <w:p>
            <w:pPr>
              <w:spacing w:after="40"/>
            </w:pPr>
            <w:r>
              <w:rPr>
                <w:sz w:val="17"/>
              </w:rPr>
              <w:t>Pure CSP construction for development and production</w:t>
            </w:r>
          </w:p>
        </w:tc>
        <w:tc>
          <w:tcPr>
            <w:tcW w:type="dxa" w:w="4824"/>
            <w:tcMar>
              <w:top w:w="90" w:type="dxa"/>
              <w:start w:w="100" w:type="dxa"/>
              <w:bottom w:w="90" w:type="dxa"/>
              <w:end w:w="100" w:type="dxa"/>
            </w:tcMar>
            <w:vAlign w:val="top"/>
          </w:tcPr>
          <w:p>
            <w:pPr>
              <w:spacing w:after="40"/>
            </w:pPr>
            <w:r>
              <w:rPr>
                <w:sz w:val="17"/>
              </w:rPr>
              <w:t>Clinical screening, referrals, follow-up, reports, or patient workflows</w:t>
            </w:r>
          </w:p>
        </w:tc>
      </w:tr>
      <w:tr>
        <w:trPr>
          <w:cantSplit/>
        </w:trPr>
        <w:tc>
          <w:tcPr>
            <w:tcW w:type="dxa" w:w="4680"/>
            <w:tcMar>
              <w:top w:w="90" w:type="dxa"/>
              <w:start w:w="100" w:type="dxa"/>
              <w:bottom w:w="90" w:type="dxa"/>
              <w:end w:w="100" w:type="dxa"/>
            </w:tcMar>
            <w:vAlign w:val="top"/>
          </w:tcPr>
          <w:p>
            <w:pPr>
              <w:spacing w:after="40"/>
            </w:pPr>
            <w:r>
              <w:rPr>
                <w:sz w:val="17"/>
              </w:rPr>
              <w:t>Development CSP response-header installation</w:t>
            </w:r>
          </w:p>
        </w:tc>
        <w:tc>
          <w:tcPr>
            <w:tcW w:type="dxa" w:w="4824"/>
            <w:tcMar>
              <w:top w:w="90" w:type="dxa"/>
              <w:start w:w="100" w:type="dxa"/>
              <w:bottom w:w="90" w:type="dxa"/>
              <w:end w:w="100" w:type="dxa"/>
            </w:tcMar>
            <w:vAlign w:val="top"/>
          </w:tcPr>
          <w:p>
            <w:pPr>
              <w:spacing w:after="40"/>
            </w:pPr>
            <w:r>
              <w:rPr>
                <w:sz w:val="17"/>
              </w:rPr>
              <w:t>SQLite, migrations, repositories, encryption, backup, or sync</w:t>
            </w:r>
          </w:p>
        </w:tc>
      </w:tr>
      <w:tr>
        <w:trPr>
          <w:cantSplit/>
        </w:trPr>
        <w:tc>
          <w:tcPr>
            <w:tcW w:type="dxa" w:w="4680"/>
            <w:tcMar>
              <w:top w:w="90" w:type="dxa"/>
              <w:start w:w="100" w:type="dxa"/>
              <w:bottom w:w="90" w:type="dxa"/>
              <w:end w:w="100" w:type="dxa"/>
            </w:tcMar>
            <w:vAlign w:val="top"/>
          </w:tcPr>
          <w:p>
            <w:pPr>
              <w:spacing w:after="40"/>
            </w:pPr>
            <w:r>
              <w:rPr>
                <w:sz w:val="17"/>
              </w:rPr>
              <w:t>Production CSP meta injection during renderer build</w:t>
            </w:r>
          </w:p>
        </w:tc>
        <w:tc>
          <w:tcPr>
            <w:tcW w:type="dxa" w:w="4824"/>
            <w:tcMar>
              <w:top w:w="90" w:type="dxa"/>
              <w:start w:w="100" w:type="dxa"/>
              <w:bottom w:w="90" w:type="dxa"/>
              <w:end w:w="100" w:type="dxa"/>
            </w:tcMar>
            <w:vAlign w:val="top"/>
          </w:tcPr>
          <w:p>
            <w:pPr>
              <w:spacing w:after="40"/>
            </w:pPr>
            <w:r>
              <w:rPr>
                <w:sz w:val="17"/>
              </w:rPr>
              <w:t>Authentication, users, roles, authorization, session lock, or first-run setup</w:t>
            </w:r>
          </w:p>
        </w:tc>
      </w:tr>
      <w:tr>
        <w:trPr>
          <w:cantSplit/>
        </w:trPr>
        <w:tc>
          <w:tcPr>
            <w:tcW w:type="dxa" w:w="4680"/>
            <w:tcMar>
              <w:top w:w="90" w:type="dxa"/>
              <w:start w:w="100" w:type="dxa"/>
              <w:bottom w:w="90" w:type="dxa"/>
              <w:end w:w="100" w:type="dxa"/>
            </w:tcMar>
            <w:vAlign w:val="top"/>
          </w:tcPr>
          <w:p>
            <w:pPr>
              <w:spacing w:after="40"/>
            </w:pPr>
            <w:r>
              <w:rPr>
                <w:sz w:val="17"/>
              </w:rPr>
              <w:t>Default-deny permission check/request handlers</w:t>
            </w:r>
          </w:p>
        </w:tc>
        <w:tc>
          <w:tcPr>
            <w:tcW w:type="dxa" w:w="4824"/>
            <w:tcMar>
              <w:top w:w="90" w:type="dxa"/>
              <w:start w:w="100" w:type="dxa"/>
              <w:bottom w:w="90" w:type="dxa"/>
              <w:end w:w="100" w:type="dxa"/>
            </w:tcMar>
            <w:vAlign w:val="top"/>
          </w:tcPr>
          <w:p>
            <w:pPr>
              <w:spacing w:after="40"/>
            </w:pPr>
            <w:r>
              <w:rPr>
                <w:sz w:val="17"/>
              </w:rPr>
              <w:t>Typed business IPC, generic IPC wrappers, or new preload operations</w:t>
            </w:r>
          </w:p>
        </w:tc>
      </w:tr>
      <w:tr>
        <w:trPr>
          <w:cantSplit/>
        </w:trPr>
        <w:tc>
          <w:tcPr>
            <w:tcW w:type="dxa" w:w="4680"/>
            <w:tcMar>
              <w:top w:w="90" w:type="dxa"/>
              <w:start w:w="100" w:type="dxa"/>
              <w:bottom w:w="90" w:type="dxa"/>
              <w:end w:w="100" w:type="dxa"/>
            </w:tcMar>
            <w:vAlign w:val="top"/>
          </w:tcPr>
          <w:p>
            <w:pPr>
              <w:spacing w:after="40"/>
            </w:pPr>
            <w:r>
              <w:rPr>
                <w:sz w:val="17"/>
              </w:rPr>
              <w:t>Unit tests and build-output verification</w:t>
            </w:r>
          </w:p>
        </w:tc>
        <w:tc>
          <w:tcPr>
            <w:tcW w:type="dxa" w:w="4824"/>
            <w:tcMar>
              <w:top w:w="90" w:type="dxa"/>
              <w:start w:w="100" w:type="dxa"/>
              <w:bottom w:w="90" w:type="dxa"/>
              <w:end w:w="100" w:type="dxa"/>
            </w:tcMar>
            <w:vAlign w:val="top"/>
          </w:tcPr>
          <w:p>
            <w:pPr>
              <w:spacing w:after="40"/>
            </w:pPr>
            <w:r>
              <w:rPr>
                <w:sz w:val="17"/>
              </w:rPr>
              <w:t>Custom app:// protocol, protocol.handle, Electron fuses, installer, or code signing</w:t>
            </w:r>
          </w:p>
        </w:tc>
      </w:tr>
      <w:tr>
        <w:trPr>
          <w:cantSplit/>
        </w:trPr>
        <w:tc>
          <w:tcPr>
            <w:tcW w:type="dxa" w:w="4680"/>
            <w:tcMar>
              <w:top w:w="90" w:type="dxa"/>
              <w:start w:w="100" w:type="dxa"/>
              <w:bottom w:w="90" w:type="dxa"/>
              <w:end w:w="100" w:type="dxa"/>
            </w:tcMar>
            <w:vAlign w:val="top"/>
          </w:tcPr>
          <w:p>
            <w:pPr>
              <w:spacing w:after="40"/>
            </w:pPr>
            <w:r>
              <w:rPr>
                <w:sz w:val="17"/>
              </w:rPr>
              <w:t>Documentation of development versus production exceptions</w:t>
            </w:r>
          </w:p>
        </w:tc>
        <w:tc>
          <w:tcPr>
            <w:tcW w:type="dxa" w:w="4824"/>
            <w:tcMar>
              <w:top w:w="90" w:type="dxa"/>
              <w:start w:w="100" w:type="dxa"/>
              <w:bottom w:w="90" w:type="dxa"/>
              <w:end w:w="100" w:type="dxa"/>
            </w:tcMar>
            <w:vAlign w:val="top"/>
          </w:tcPr>
          <w:p>
            <w:pPr>
              <w:spacing w:after="40"/>
            </w:pPr>
            <w:r>
              <w:rPr>
                <w:sz w:val="17"/>
              </w:rPr>
              <w:t>React Router, Tailwind, component libraries, new UI, or layout redesign</w:t>
            </w:r>
          </w:p>
        </w:tc>
      </w:tr>
      <w:tr>
        <w:trPr>
          <w:cantSplit/>
        </w:trPr>
        <w:tc>
          <w:tcPr>
            <w:tcW w:type="dxa" w:w="4680"/>
            <w:tcMar>
              <w:top w:w="90" w:type="dxa"/>
              <w:start w:w="100" w:type="dxa"/>
              <w:bottom w:w="90" w:type="dxa"/>
              <w:end w:w="100" w:type="dxa"/>
            </w:tcMar>
            <w:vAlign w:val="top"/>
          </w:tcPr>
          <w:p>
            <w:pPr>
              <w:spacing w:after="40"/>
            </w:pPr>
            <w:r>
              <w:rPr>
                <w:sz w:val="17"/>
              </w:rPr>
              <w:t>Preservation of existing renderer behavior</w:t>
            </w:r>
          </w:p>
        </w:tc>
        <w:tc>
          <w:tcPr>
            <w:tcW w:type="dxa" w:w="4824"/>
            <w:tcMar>
              <w:top w:w="90" w:type="dxa"/>
              <w:start w:w="100" w:type="dxa"/>
              <w:bottom w:w="90" w:type="dxa"/>
              <w:end w:w="100" w:type="dxa"/>
            </w:tcMar>
            <w:vAlign w:val="top"/>
          </w:tcPr>
          <w:p>
            <w:pPr>
              <w:spacing w:after="40"/>
            </w:pPr>
            <w:r>
              <w:rPr>
                <w:sz w:val="17"/>
              </w:rPr>
              <w:t>GitHub Actions, release automation, telemetry, analytics, or remote logging</w:t>
            </w:r>
          </w:p>
        </w:tc>
      </w:tr>
    </w:tbl>
    <w:p>
      <w:pPr>
        <w:pStyle w:val="Heading1"/>
        <w:keepNext/>
        <w:keepNext/>
      </w:pPr>
      <w:r>
        <w:t>6. Required Files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528"/>
            <w:shd w:fill="1F4E78"/>
            <w:tcMar>
              <w:top w:w="90" w:type="dxa"/>
              <w:start w:w="100" w:type="dxa"/>
              <w:bottom w:w="90" w:type="dxa"/>
              <w:end w:w="100" w:type="dxa"/>
            </w:tcMar>
            <w:vAlign w:val="center"/>
          </w:tcPr>
          <w:p>
            <w:r>
              <w:rPr>
                <w:b/>
                <w:color w:val="FFFFFF"/>
                <w:sz w:val="18"/>
              </w:rPr>
              <w:t>Path</w:t>
            </w:r>
          </w:p>
        </w:tc>
        <w:tc>
          <w:tcPr>
            <w:tcW w:type="dxa" w:w="1080"/>
            <w:shd w:fill="1F4E78"/>
            <w:tcMar>
              <w:top w:w="90" w:type="dxa"/>
              <w:start w:w="100" w:type="dxa"/>
              <w:bottom w:w="90" w:type="dxa"/>
              <w:end w:w="100" w:type="dxa"/>
            </w:tcMar>
            <w:vAlign w:val="center"/>
          </w:tcPr>
          <w:p>
            <w:r>
              <w:rPr>
                <w:b/>
                <w:color w:val="FFFFFF"/>
                <w:sz w:val="18"/>
              </w:rPr>
              <w:t>Action</w:t>
            </w:r>
          </w:p>
        </w:tc>
        <w:tc>
          <w:tcPr>
            <w:tcW w:type="dxa" w:w="4968"/>
            <w:shd w:fill="1F4E78"/>
            <w:tcMar>
              <w:top w:w="90" w:type="dxa"/>
              <w:start w:w="100" w:type="dxa"/>
              <w:bottom w:w="90" w:type="dxa"/>
              <w:end w:w="100" w:type="dxa"/>
            </w:tcMar>
            <w:vAlign w:val="center"/>
          </w:tcPr>
          <w:p>
            <w:r>
              <w:rPr>
                <w:b/>
                <w:color w:val="FFFFFF"/>
                <w:sz w:val="18"/>
              </w:rPr>
              <w:t>Responsibility</w:t>
            </w:r>
          </w:p>
        </w:tc>
      </w:tr>
      <w:tr>
        <w:trPr>
          <w:cantSplit/>
        </w:trPr>
        <w:tc>
          <w:tcPr>
            <w:tcW w:type="dxa" w:w="3528"/>
            <w:tcMar>
              <w:top w:w="90" w:type="dxa"/>
              <w:start w:w="100" w:type="dxa"/>
              <w:bottom w:w="90" w:type="dxa"/>
              <w:end w:w="100" w:type="dxa"/>
            </w:tcMar>
            <w:vAlign w:val="top"/>
          </w:tcPr>
          <w:p>
            <w:pPr>
              <w:spacing w:after="40"/>
            </w:pPr>
            <w:r>
              <w:rPr>
                <w:sz w:val="17"/>
              </w:rPr>
              <w:t>src/main/security/content-security-policy.ts</w:t>
            </w:r>
          </w:p>
        </w:tc>
        <w:tc>
          <w:tcPr>
            <w:tcW w:type="dxa" w:w="1080"/>
            <w:tcMar>
              <w:top w:w="90" w:type="dxa"/>
              <w:start w:w="100" w:type="dxa"/>
              <w:bottom w:w="90" w:type="dxa"/>
              <w:end w:w="100" w:type="dxa"/>
            </w:tcMar>
            <w:vAlign w:val="top"/>
          </w:tcPr>
          <w:p>
            <w:pPr>
              <w:spacing w:after="40"/>
            </w:pPr>
            <w:r>
              <w:rPr>
                <w:sz w:val="17"/>
              </w:rPr>
              <w:t>Create</w:t>
            </w:r>
          </w:p>
        </w:tc>
        <w:tc>
          <w:tcPr>
            <w:tcW w:type="dxa" w:w="4968"/>
            <w:tcMar>
              <w:top w:w="90" w:type="dxa"/>
              <w:start w:w="100" w:type="dxa"/>
              <w:bottom w:w="90" w:type="dxa"/>
              <w:end w:w="100" w:type="dxa"/>
            </w:tcMar>
            <w:vAlign w:val="top"/>
          </w:tcPr>
          <w:p>
            <w:pPr>
              <w:spacing w:after="40"/>
            </w:pPr>
            <w:r>
              <w:rPr>
                <w:sz w:val="17"/>
              </w:rPr>
              <w:t>Pure policy builders, exact development WebSocket origin derivation, CSP response-header replacement, and production meta-tag injection helper.</w:t>
            </w:r>
          </w:p>
        </w:tc>
      </w:tr>
      <w:tr>
        <w:trPr>
          <w:cantSplit/>
        </w:trPr>
        <w:tc>
          <w:tcPr>
            <w:tcW w:type="dxa" w:w="3528"/>
            <w:tcMar>
              <w:top w:w="90" w:type="dxa"/>
              <w:start w:w="100" w:type="dxa"/>
              <w:bottom w:w="90" w:type="dxa"/>
              <w:end w:w="100" w:type="dxa"/>
            </w:tcMar>
            <w:vAlign w:val="top"/>
          </w:tcPr>
          <w:p>
            <w:pPr>
              <w:spacing w:after="40"/>
            </w:pPr>
            <w:r>
              <w:rPr>
                <w:sz w:val="17"/>
              </w:rPr>
              <w:t>src/main/security/session-security.ts</w:t>
            </w:r>
          </w:p>
        </w:tc>
        <w:tc>
          <w:tcPr>
            <w:tcW w:type="dxa" w:w="1080"/>
            <w:tcMar>
              <w:top w:w="90" w:type="dxa"/>
              <w:start w:w="100" w:type="dxa"/>
              <w:bottom w:w="90" w:type="dxa"/>
              <w:end w:w="100" w:type="dxa"/>
            </w:tcMar>
            <w:vAlign w:val="top"/>
          </w:tcPr>
          <w:p>
            <w:pPr>
              <w:spacing w:after="40"/>
            </w:pPr>
            <w:r>
              <w:rPr>
                <w:sz w:val="17"/>
              </w:rPr>
              <w:t>Create</w:t>
            </w:r>
          </w:p>
        </w:tc>
        <w:tc>
          <w:tcPr>
            <w:tcW w:type="dxa" w:w="4968"/>
            <w:tcMar>
              <w:top w:w="90" w:type="dxa"/>
              <w:start w:w="100" w:type="dxa"/>
              <w:bottom w:w="90" w:type="dxa"/>
              <w:end w:w="100" w:type="dxa"/>
            </w:tcMar>
            <w:vAlign w:val="top"/>
          </w:tcPr>
          <w:p>
            <w:pPr>
              <w:spacing w:after="40"/>
            </w:pPr>
            <w:r>
              <w:rPr>
                <w:sz w:val="17"/>
              </w:rPr>
              <w:t>Install development CSP response header and default-deny Electron permission handlers exactly once for the application session.</w:t>
            </w:r>
          </w:p>
        </w:tc>
      </w:tr>
      <w:tr>
        <w:trPr>
          <w:cantSplit/>
        </w:trPr>
        <w:tc>
          <w:tcPr>
            <w:tcW w:type="dxa" w:w="3528"/>
            <w:tcMar>
              <w:top w:w="90" w:type="dxa"/>
              <w:start w:w="100" w:type="dxa"/>
              <w:bottom w:w="90" w:type="dxa"/>
              <w:end w:w="100" w:type="dxa"/>
            </w:tcMar>
            <w:vAlign w:val="top"/>
          </w:tcPr>
          <w:p>
            <w:pPr>
              <w:spacing w:after="40"/>
            </w:pPr>
            <w:r>
              <w:rPr>
                <w:sz w:val="17"/>
              </w:rPr>
              <w:t>src/main/app/lifecycle.ts</w:t>
            </w:r>
          </w:p>
        </w:tc>
        <w:tc>
          <w:tcPr>
            <w:tcW w:type="dxa" w:w="1080"/>
            <w:tcMar>
              <w:top w:w="90" w:type="dxa"/>
              <w:start w:w="100" w:type="dxa"/>
              <w:bottom w:w="90" w:type="dxa"/>
              <w:end w:w="100" w:type="dxa"/>
            </w:tcMar>
            <w:vAlign w:val="top"/>
          </w:tcPr>
          <w:p>
            <w:pPr>
              <w:spacing w:after="40"/>
            </w:pPr>
            <w:r>
              <w:rPr>
                <w:sz w:val="17"/>
              </w:rPr>
              <w:t>Modify</w:t>
            </w:r>
          </w:p>
        </w:tc>
        <w:tc>
          <w:tcPr>
            <w:tcW w:type="dxa" w:w="4968"/>
            <w:tcMar>
              <w:top w:w="90" w:type="dxa"/>
              <w:start w:w="100" w:type="dxa"/>
              <w:bottom w:w="90" w:type="dxa"/>
              <w:end w:w="100" w:type="dxa"/>
            </w:tcMar>
            <w:vAlign w:val="top"/>
          </w:tcPr>
          <w:p>
            <w:pPr>
              <w:spacing w:after="40"/>
            </w:pPr>
            <w:r>
              <w:rPr>
                <w:sz w:val="17"/>
              </w:rPr>
              <w:t>Configure session security after app readiness and before creating/loading the main window.</w:t>
            </w:r>
          </w:p>
        </w:tc>
      </w:tr>
      <w:tr>
        <w:trPr>
          <w:cantSplit/>
        </w:trPr>
        <w:tc>
          <w:tcPr>
            <w:tcW w:type="dxa" w:w="3528"/>
            <w:tcMar>
              <w:top w:w="90" w:type="dxa"/>
              <w:start w:w="100" w:type="dxa"/>
              <w:bottom w:w="90" w:type="dxa"/>
              <w:end w:w="100" w:type="dxa"/>
            </w:tcMar>
            <w:vAlign w:val="top"/>
          </w:tcPr>
          <w:p>
            <w:pPr>
              <w:spacing w:after="40"/>
            </w:pPr>
            <w:r>
              <w:rPr>
                <w:sz w:val="17"/>
              </w:rPr>
              <w:t>electron.vite.config.ts</w:t>
            </w:r>
          </w:p>
        </w:tc>
        <w:tc>
          <w:tcPr>
            <w:tcW w:type="dxa" w:w="1080"/>
            <w:tcMar>
              <w:top w:w="90" w:type="dxa"/>
              <w:start w:w="100" w:type="dxa"/>
              <w:bottom w:w="90" w:type="dxa"/>
              <w:end w:w="100" w:type="dxa"/>
            </w:tcMar>
            <w:vAlign w:val="top"/>
          </w:tcPr>
          <w:p>
            <w:pPr>
              <w:spacing w:after="40"/>
            </w:pPr>
            <w:r>
              <w:rPr>
                <w:sz w:val="17"/>
              </w:rPr>
              <w:t>Modify</w:t>
            </w:r>
          </w:p>
        </w:tc>
        <w:tc>
          <w:tcPr>
            <w:tcW w:type="dxa" w:w="4968"/>
            <w:tcMar>
              <w:top w:w="90" w:type="dxa"/>
              <w:start w:w="100" w:type="dxa"/>
              <w:bottom w:w="90" w:type="dxa"/>
              <w:end w:w="100" w:type="dxa"/>
            </w:tcMar>
            <w:vAlign w:val="top"/>
          </w:tcPr>
          <w:p>
            <w:pPr>
              <w:spacing w:after="40"/>
            </w:pPr>
            <w:r>
              <w:rPr>
                <w:sz w:val="17"/>
              </w:rPr>
              <w:t>Apply a production-only transformIndexHtml plugin that injects the generated production CSP meta element.</w:t>
            </w:r>
          </w:p>
        </w:tc>
      </w:tr>
      <w:tr>
        <w:trPr>
          <w:cantSplit/>
        </w:trPr>
        <w:tc>
          <w:tcPr>
            <w:tcW w:type="dxa" w:w="3528"/>
            <w:tcMar>
              <w:top w:w="90" w:type="dxa"/>
              <w:start w:w="100" w:type="dxa"/>
              <w:bottom w:w="90" w:type="dxa"/>
              <w:end w:w="100" w:type="dxa"/>
            </w:tcMar>
            <w:vAlign w:val="top"/>
          </w:tcPr>
          <w:p>
            <w:pPr>
              <w:spacing w:after="40"/>
            </w:pPr>
            <w:r>
              <w:rPr>
                <w:sz w:val="17"/>
              </w:rPr>
              <w:t>tests/unit/main/content-security-policy.test.ts</w:t>
            </w:r>
          </w:p>
        </w:tc>
        <w:tc>
          <w:tcPr>
            <w:tcW w:type="dxa" w:w="1080"/>
            <w:tcMar>
              <w:top w:w="90" w:type="dxa"/>
              <w:start w:w="100" w:type="dxa"/>
              <w:bottom w:w="90" w:type="dxa"/>
              <w:end w:w="100" w:type="dxa"/>
            </w:tcMar>
            <w:vAlign w:val="top"/>
          </w:tcPr>
          <w:p>
            <w:pPr>
              <w:spacing w:after="40"/>
            </w:pPr>
            <w:r>
              <w:rPr>
                <w:sz w:val="17"/>
              </w:rPr>
              <w:t>Create</w:t>
            </w:r>
          </w:p>
        </w:tc>
        <w:tc>
          <w:tcPr>
            <w:tcW w:type="dxa" w:w="4968"/>
            <w:tcMar>
              <w:top w:w="90" w:type="dxa"/>
              <w:start w:w="100" w:type="dxa"/>
              <w:bottom w:w="90" w:type="dxa"/>
              <w:end w:w="100" w:type="dxa"/>
            </w:tcMar>
            <w:vAlign w:val="top"/>
          </w:tcPr>
          <w:p>
            <w:pPr>
              <w:spacing w:after="40"/>
            </w:pPr>
            <w:r>
              <w:rPr>
                <w:sz w:val="17"/>
              </w:rPr>
              <w:t>Policy, origin, header, and HTML-injection tests.</w:t>
            </w:r>
          </w:p>
        </w:tc>
      </w:tr>
      <w:tr>
        <w:trPr>
          <w:cantSplit/>
        </w:trPr>
        <w:tc>
          <w:tcPr>
            <w:tcW w:type="dxa" w:w="3528"/>
            <w:tcMar>
              <w:top w:w="90" w:type="dxa"/>
              <w:start w:w="100" w:type="dxa"/>
              <w:bottom w:w="90" w:type="dxa"/>
              <w:end w:w="100" w:type="dxa"/>
            </w:tcMar>
            <w:vAlign w:val="top"/>
          </w:tcPr>
          <w:p>
            <w:pPr>
              <w:spacing w:after="40"/>
            </w:pPr>
            <w:r>
              <w:rPr>
                <w:sz w:val="17"/>
              </w:rPr>
              <w:t>tests/unit/main/session-security-policy.test.ts</w:t>
            </w:r>
          </w:p>
        </w:tc>
        <w:tc>
          <w:tcPr>
            <w:tcW w:type="dxa" w:w="1080"/>
            <w:tcMar>
              <w:top w:w="90" w:type="dxa"/>
              <w:start w:w="100" w:type="dxa"/>
              <w:bottom w:w="90" w:type="dxa"/>
              <w:end w:w="100" w:type="dxa"/>
            </w:tcMar>
            <w:vAlign w:val="top"/>
          </w:tcPr>
          <w:p>
            <w:pPr>
              <w:spacing w:after="40"/>
            </w:pPr>
            <w:r>
              <w:rPr>
                <w:sz w:val="17"/>
              </w:rPr>
              <w:t>Create</w:t>
            </w:r>
          </w:p>
        </w:tc>
        <w:tc>
          <w:tcPr>
            <w:tcW w:type="dxa" w:w="4968"/>
            <w:tcMar>
              <w:top w:w="90" w:type="dxa"/>
              <w:start w:w="100" w:type="dxa"/>
              <w:bottom w:w="90" w:type="dxa"/>
              <w:end w:w="100" w:type="dxa"/>
            </w:tcMar>
            <w:vAlign w:val="top"/>
          </w:tcPr>
          <w:p>
            <w:pPr>
              <w:spacing w:after="40"/>
            </w:pPr>
            <w:r>
              <w:rPr>
                <w:sz w:val="17"/>
              </w:rPr>
              <w:t>Pure permission decision tests or adapter-level tests without launching Electron.</w:t>
            </w:r>
          </w:p>
        </w:tc>
      </w:tr>
      <w:tr>
        <w:trPr>
          <w:cantSplit/>
        </w:trPr>
        <w:tc>
          <w:tcPr>
            <w:tcW w:type="dxa" w:w="3528"/>
            <w:tcMar>
              <w:top w:w="90" w:type="dxa"/>
              <w:start w:w="100" w:type="dxa"/>
              <w:bottom w:w="90" w:type="dxa"/>
              <w:end w:w="100" w:type="dxa"/>
            </w:tcMar>
            <w:vAlign w:val="top"/>
          </w:tcPr>
          <w:p>
            <w:pPr>
              <w:spacing w:after="40"/>
            </w:pPr>
            <w:r>
              <w:rPr>
                <w:sz w:val="17"/>
              </w:rPr>
              <w:t>docs/engineering-standards.md</w:t>
            </w:r>
          </w:p>
        </w:tc>
        <w:tc>
          <w:tcPr>
            <w:tcW w:type="dxa" w:w="1080"/>
            <w:tcMar>
              <w:top w:w="90" w:type="dxa"/>
              <w:start w:w="100" w:type="dxa"/>
              <w:bottom w:w="90" w:type="dxa"/>
              <w:end w:w="100" w:type="dxa"/>
            </w:tcMar>
            <w:vAlign w:val="top"/>
          </w:tcPr>
          <w:p>
            <w:pPr>
              <w:spacing w:after="40"/>
            </w:pPr>
            <w:r>
              <w:rPr>
                <w:sz w:val="17"/>
              </w:rPr>
              <w:t>Modify</w:t>
            </w:r>
          </w:p>
        </w:tc>
        <w:tc>
          <w:tcPr>
            <w:tcW w:type="dxa" w:w="4968"/>
            <w:tcMar>
              <w:top w:w="90" w:type="dxa"/>
              <w:start w:w="100" w:type="dxa"/>
              <w:bottom w:w="90" w:type="dxa"/>
              <w:end w:w="100" w:type="dxa"/>
            </w:tcMar>
            <w:vAlign w:val="top"/>
          </w:tcPr>
          <w:p>
            <w:pPr>
              <w:spacing w:after="40"/>
            </w:pPr>
            <w:r>
              <w:rPr>
                <w:sz w:val="17"/>
              </w:rPr>
              <w:t>Document CSP delivery, allowed development exception, and default-deny permissions.</w:t>
            </w:r>
          </w:p>
        </w:tc>
      </w:tr>
      <w:tr>
        <w:trPr>
          <w:cantSplit/>
        </w:trPr>
        <w:tc>
          <w:tcPr>
            <w:tcW w:type="dxa" w:w="3528"/>
            <w:tcMar>
              <w:top w:w="90" w:type="dxa"/>
              <w:start w:w="100" w:type="dxa"/>
              <w:bottom w:w="90" w:type="dxa"/>
              <w:end w:w="100" w:type="dxa"/>
            </w:tcMar>
            <w:vAlign w:val="top"/>
          </w:tcPr>
          <w:p>
            <w:pPr>
              <w:spacing w:after="40"/>
            </w:pPr>
            <w:r>
              <w:rPr>
                <w:sz w:val="17"/>
              </w:rPr>
              <w:t>README.md</w:t>
            </w:r>
          </w:p>
        </w:tc>
        <w:tc>
          <w:tcPr>
            <w:tcW w:type="dxa" w:w="1080"/>
            <w:tcMar>
              <w:top w:w="90" w:type="dxa"/>
              <w:start w:w="100" w:type="dxa"/>
              <w:bottom w:w="90" w:type="dxa"/>
              <w:end w:w="100" w:type="dxa"/>
            </w:tcMar>
            <w:vAlign w:val="top"/>
          </w:tcPr>
          <w:p>
            <w:pPr>
              <w:spacing w:after="40"/>
            </w:pPr>
            <w:r>
              <w:rPr>
                <w:sz w:val="17"/>
              </w:rPr>
              <w:t>Modify only if needed</w:t>
            </w:r>
          </w:p>
        </w:tc>
        <w:tc>
          <w:tcPr>
            <w:tcW w:type="dxa" w:w="4968"/>
            <w:tcMar>
              <w:top w:w="90" w:type="dxa"/>
              <w:start w:w="100" w:type="dxa"/>
              <w:bottom w:w="90" w:type="dxa"/>
              <w:end w:w="100" w:type="dxa"/>
            </w:tcMar>
            <w:vAlign w:val="top"/>
          </w:tcPr>
          <w:p>
            <w:pPr>
              <w:spacing w:after="40"/>
            </w:pPr>
            <w:r>
              <w:rPr>
                <w:sz w:val="17"/>
              </w:rPr>
              <w:t>Add concise verification commands; do not add feature claims.</w:t>
            </w:r>
          </w:p>
        </w:tc>
      </w:tr>
    </w:tbl>
    <w:p>
      <w:r>
        <w:t>Codex may choose equivalent names inside src/main/security, but the separation between pure policy logic and Electron API wiring is mandatory.</w:t>
      </w:r>
    </w:p>
    <w:p>
      <w:pPr>
        <w:pStyle w:val="Heading1"/>
        <w:keepNext/>
        <w:keepNext/>
      </w:pPr>
      <w:r>
        <w:t>7. Required CSP Model</w:t>
      </w:r>
    </w:p>
    <w:p>
      <w:pPr>
        <w:pStyle w:val="Heading2"/>
        <w:keepNext/>
        <w:keepNext/>
      </w:pPr>
      <w:r>
        <w:t>7.1 Production policy</w:t>
      </w:r>
    </w:p>
    <w:p>
      <w:r>
        <w:t>The generated production policy must be equivalent in intent to the following baseline:</w:t>
      </w:r>
    </w:p>
    <w:p>
      <w:pPr>
        <w:pStyle w:val="CodeBlock"/>
        <w:keepLines/>
      </w:pPr>
      <w:r>
        <w:t>default-src 'none';</w:t>
      </w:r>
      <w:r>
        <w:br/>
      </w:r>
      <w:r>
        <w:t>base-uri 'none';</w:t>
      </w:r>
      <w:r>
        <w:br/>
      </w:r>
      <w:r>
        <w:t>form-action 'none';</w:t>
      </w:r>
      <w:r>
        <w:br/>
      </w:r>
      <w:r>
        <w:t>object-src 'none';</w:t>
      </w:r>
      <w:r>
        <w:br/>
      </w:r>
      <w:r>
        <w:t>frame-src 'none';</w:t>
      </w:r>
      <w:r>
        <w:br/>
      </w:r>
      <w:r>
        <w:t>script-src 'self';</w:t>
      </w:r>
      <w:r>
        <w:br/>
      </w:r>
      <w:r>
        <w:t>style-src 'self';</w:t>
      </w:r>
      <w:r>
        <w:br/>
      </w:r>
      <w:r>
        <w:t>img-src 'self' data:;</w:t>
      </w:r>
      <w:r>
        <w:br/>
      </w:r>
      <w:r>
        <w:t>font-src 'self';</w:t>
      </w:r>
      <w:r>
        <w:br/>
      </w:r>
      <w:r>
        <w:t>connect-src 'none';</w:t>
      </w:r>
      <w:r>
        <w:br/>
      </w:r>
      <w:r>
        <w:t>worker-src 'none';</w:t>
      </w:r>
      <w:r>
        <w:br/>
      </w:r>
      <w:r>
        <w:t>media-src 'none';</w:t>
      </w:r>
      <w:r>
        <w:br/>
      </w:r>
      <w:r>
        <w:t>manifest-src 'none'</w:t>
      </w:r>
    </w:p>
    <w:p>
      <w:pPr>
        <w:pStyle w:val="ListBullet"/>
      </w:pPr>
      <w:r>
        <w:t>No '*' source expression.</w:t>
      </w:r>
    </w:p>
    <w:p>
      <w:pPr>
        <w:pStyle w:val="ListBullet"/>
      </w:pPr>
      <w:r>
        <w:t>No 'unsafe-inline' in script-src or style-src.</w:t>
      </w:r>
    </w:p>
    <w:p>
      <w:pPr>
        <w:pStyle w:val="ListBullet"/>
      </w:pPr>
      <w:r>
        <w:t>No 'unsafe-eval'.</w:t>
      </w:r>
    </w:p>
    <w:p>
      <w:pPr>
        <w:pStyle w:val="ListBullet"/>
      </w:pPr>
      <w:r>
        <w:t>No HTTP, HTTPS, WS, WSS, CDN, analytics, or telemetry origin.</w:t>
      </w:r>
    </w:p>
    <w:p>
      <w:pPr>
        <w:pStyle w:val="ListBullet"/>
      </w:pPr>
      <w:r>
        <w:t>data: is permitted only for img-src in this task.</w:t>
      </w:r>
    </w:p>
    <w:p>
      <w:pPr>
        <w:pStyle w:val="ListBullet"/>
      </w:pPr>
      <w:r>
        <w:t>The policy must be produced from code, not duplicated as unrelated string literals across files.</w:t>
      </w:r>
    </w:p>
    <w:p>
      <w:pPr>
        <w:pStyle w:val="Heading2"/>
        <w:keepNext/>
        <w:keepNext/>
      </w:pPr>
      <w:r>
        <w:t>7.2 Development policy</w:t>
      </w:r>
    </w:p>
    <w:p>
      <w:r>
        <w:t>The development policy must remain restrictive while supporting the existing Vite renderer and HMR:</w:t>
      </w:r>
    </w:p>
    <w:p>
      <w:pPr>
        <w:pStyle w:val="CodeBlock"/>
        <w:keepLines/>
      </w:pPr>
      <w:r>
        <w:t>default-src 'none';</w:t>
      </w:r>
      <w:r>
        <w:br/>
      </w:r>
      <w:r>
        <w:t>base-uri 'none';</w:t>
      </w:r>
      <w:r>
        <w:br/>
      </w:r>
      <w:r>
        <w:t>form-action 'none';</w:t>
      </w:r>
      <w:r>
        <w:br/>
      </w:r>
      <w:r>
        <w:t>object-src 'none';</w:t>
      </w:r>
      <w:r>
        <w:br/>
      </w:r>
      <w:r>
        <w:t>frame-src 'none';</w:t>
      </w:r>
      <w:r>
        <w:br/>
      </w:r>
      <w:r>
        <w:t>script-src 'self';</w:t>
      </w:r>
      <w:r>
        <w:br/>
      </w:r>
      <w:r>
        <w:t>style-src 'self' 'unsafe-inline';</w:t>
      </w:r>
      <w:r>
        <w:br/>
      </w:r>
      <w:r>
        <w:t>img-src 'self' data:;</w:t>
      </w:r>
      <w:r>
        <w:br/>
      </w:r>
      <w:r>
        <w:t>font-src 'self';</w:t>
      </w:r>
      <w:r>
        <w:br/>
      </w:r>
      <w:r>
        <w:t>connect-src 'self' &lt;exact-websocket-origin&gt;;</w:t>
      </w:r>
      <w:r>
        <w:br/>
      </w:r>
      <w:r>
        <w:t>worker-src 'none';</w:t>
      </w:r>
      <w:r>
        <w:br/>
      </w:r>
      <w:r>
        <w:t>media-src 'none';</w:t>
      </w:r>
      <w:r>
        <w:br/>
      </w:r>
      <w:r>
        <w:t>manifest-src 'none'</w:t>
      </w:r>
    </w:p>
    <w:p>
      <w:pPr>
        <w:pStyle w:val="ListBullet"/>
      </w:pPr>
      <w:r>
        <w:t>The development renderer URL has already been constrained by HSD-003 to HTTP(S) loopback origins.</w:t>
      </w:r>
    </w:p>
    <w:p>
      <w:pPr>
        <w:pStyle w:val="ListBullet"/>
      </w:pPr>
      <w:r>
        <w:t>Convert http://host:port to ws://host:port and https://host:port to wss://host:port.</w:t>
      </w:r>
    </w:p>
    <w:p>
      <w:pPr>
        <w:pStyle w:val="ListBullet"/>
      </w:pPr>
      <w:r>
        <w:t>Preserve IPv6 bracket syntax for [::1].</w:t>
      </w:r>
    </w:p>
    <w:p>
      <w:pPr>
        <w:pStyle w:val="ListBullet"/>
      </w:pPr>
      <w:r>
        <w:t>Do not allow ws:, wss:, http:, or https: as broad scheme sources.</w:t>
      </w:r>
    </w:p>
    <w:p>
      <w:pPr>
        <w:pStyle w:val="ListBullet"/>
      </w:pPr>
      <w:r>
        <w:t>Do not allow all localhost ports. Permit only the exact configured renderer port.</w:t>
      </w:r>
    </w:p>
    <w:p>
      <w:pPr>
        <w:pStyle w:val="ListBullet"/>
      </w:pPr>
      <w:r>
        <w:t>Do not add 'unsafe-eval'. If the current toolchain cannot run without it, stop and report the failure rather than silently weakening the policy.</w:t>
      </w:r>
    </w:p>
    <w:p>
      <w:pPr>
        <w:pStyle w:val="Heading2"/>
        <w:keepNext/>
        <w:keepNext/>
      </w:pPr>
      <w:r>
        <w:t>7.3 CSP delivery</w:t>
      </w:r>
    </w:p>
    <w:p>
      <w:pPr>
        <w:pStyle w:val="ListNumber"/>
      </w:pPr>
      <w:r>
        <w:t>Development: install Content-Security-Policy through the main process using session.webRequest.onHeadersReceived for the approved renderer origin.</w:t>
      </w:r>
    </w:p>
    <w:p>
      <w:pPr>
        <w:pStyle w:val="ListNumber"/>
      </w:pPr>
      <w:r>
        <w:t>Preserve unrelated response headers and replace any pre-existing Content-Security-Policy header case-insensitively so exactly one effective application CSP header is returned.</w:t>
      </w:r>
    </w:p>
    <w:p>
      <w:pPr>
        <w:pStyle w:val="ListNumber"/>
      </w:pPr>
      <w:r>
        <w:t>Production: use a production-only Vite HTML transform to add exactly one meta element in the document head.</w:t>
      </w:r>
    </w:p>
    <w:p>
      <w:pPr>
        <w:pStyle w:val="ListNumber"/>
      </w:pPr>
      <w:r>
        <w:t>Do not add the production meta policy during development because multiple policies combine restrictively and would block the Vite WebSocket connection.</w:t>
      </w:r>
    </w:p>
    <w:p>
      <w:pPr>
        <w:pStyle w:val="ListNumber"/>
      </w:pPr>
      <w:r>
        <w:t>Do not weaken production merely to share one static policy between development and production.</w:t>
      </w:r>
    </w:p>
    <w:p>
      <w:pPr>
        <w:pStyle w:val="CodeBlock"/>
        <w:keepLines/>
      </w:pPr>
      <w:r>
        <w:t>&lt;meta http-equiv="Content-Security-Policy" content="&lt;generated-production-policy&gt;"&gt;</w:t>
      </w:r>
    </w:p>
    <w:p>
      <w:pPr>
        <w:pStyle w:val="Heading1"/>
        <w:keepNext/>
        <w:keepNext/>
      </w:pPr>
      <w:r>
        <w:t>8. Default-Deny Session Permissions</w:t>
      </w:r>
    </w:p>
    <w:p>
      <w:r>
        <w:t>Configure the same Electron session used by the main BrowserWindow before renderer loading begins.</w:t>
      </w:r>
    </w:p>
    <w:p>
      <w:pPr>
        <w:pStyle w:val="CodeBlock"/>
        <w:keepLines/>
      </w:pPr>
      <w:r>
        <w:t>session.setPermissionCheckHandler(() =&gt; false)</w:t>
      </w:r>
      <w:r>
        <w:br/>
      </w:r>
      <w:r>
        <w:t>session.setPermissionRequestHandler((_webContents, _permission, callback) =&gt; {</w:t>
      </w:r>
      <w:r>
        <w:br/>
      </w:r>
      <w:r>
        <w:t xml:space="preserve">  callback(false)</w:t>
      </w:r>
      <w:r>
        <w:br/>
      </w:r>
      <w:r>
        <w:t>})</w:t>
      </w:r>
    </w:p>
    <w:p>
      <w:pPr>
        <w:pStyle w:val="ListBullet"/>
      </w:pPr>
      <w:r>
        <w:t>The decision must be deny-by-default rather than an allowlist that accidentally defaults to true.</w:t>
      </w:r>
    </w:p>
    <w:p>
      <w:pPr>
        <w:pStyle w:val="ListBullet"/>
      </w:pPr>
      <w:r>
        <w:t>Known permissions such as notifications, geolocation, media, clipboard-read, display-capture, MIDI, serial, HID, USB, and Bluetooth must be denied.</w:t>
      </w:r>
    </w:p>
    <w:p>
      <w:pPr>
        <w:pStyle w:val="ListBullet"/>
      </w:pPr>
      <w:r>
        <w:t>Unknown permission strings must also be denied.</w:t>
      </w:r>
    </w:p>
    <w:p>
      <w:pPr>
        <w:pStyle w:val="ListBullet"/>
      </w:pPr>
      <w:r>
        <w:t>Do not introduce permission prompts, UI settings, or remembered grants.</w:t>
      </w:r>
    </w:p>
    <w:p>
      <w:pPr>
        <w:pStyle w:val="ListBullet"/>
      </w:pPr>
      <w:r>
        <w:t>Do not call shell.openExternal or enable downloads as part of this task.</w:t>
      </w:r>
    </w:p>
    <w:p>
      <w:pPr>
        <w:pStyle w:val="ListBullet"/>
      </w:pPr>
      <w:r>
        <w:t>Install handlers before createOrFocusMainWindow loads the renderer.</w:t>
      </w:r>
    </w:p>
    <w:p>
      <w:pPr>
        <w:pStyle w:val="Heading1"/>
        <w:keepNext/>
        <w:keepNext/>
      </w:pPr>
      <w:r>
        <w:t>9. Installation and Idempotency Requirements</w:t>
      </w:r>
    </w:p>
    <w:p>
      <w:pPr>
        <w:pStyle w:val="ListBullet"/>
      </w:pPr>
      <w:r>
        <w:t>Session hardening must be installed once per Electron Session object or safely replace the previous application-owned handlers without accumulating listeners.</w:t>
      </w:r>
    </w:p>
    <w:p>
      <w:pPr>
        <w:pStyle w:val="ListBullet"/>
      </w:pPr>
      <w:r>
        <w:t>Remember that Electron WebRequest uses only the last listener for a given event. Do not create competing onHeadersReceived listeners.</w:t>
      </w:r>
    </w:p>
    <w:p>
      <w:pPr>
        <w:pStyle w:val="ListBullet"/>
      </w:pPr>
      <w:r>
        <w:t>The CSP response-header filter must be limited to the approved development renderer origin where practical.</w:t>
      </w:r>
    </w:p>
    <w:p>
      <w:pPr>
        <w:pStyle w:val="ListBullet"/>
      </w:pPr>
      <w:r>
        <w:t>Production startup must not install a development HTTP CSP listener when there is no development renderer URL.</w:t>
      </w:r>
    </w:p>
    <w:p>
      <w:pPr>
        <w:pStyle w:val="ListBullet"/>
      </w:pPr>
      <w:r>
        <w:t>Failure to configure session security must fail startup visibly and quit rather than loading an unprotected renderer.</w:t>
      </w:r>
    </w:p>
    <w:p>
      <w:pPr>
        <w:pStyle w:val="ListBullet"/>
      </w:pPr>
      <w:r>
        <w:t>Error output must contain only operational context; never include application data or secrets.</w:t>
      </w:r>
    </w:p>
    <w:p>
      <w:pPr>
        <w:pStyle w:val="Heading1"/>
        <w:keepNext/>
        <w:keepNext/>
      </w:pPr>
      <w:r>
        <w:t>10. Unit Test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tcMar>
              <w:top w:w="90" w:type="dxa"/>
              <w:start w:w="100" w:type="dxa"/>
              <w:bottom w:w="90" w:type="dxa"/>
              <w:end w:w="100" w:type="dxa"/>
            </w:tcMar>
            <w:vAlign w:val="center"/>
          </w:tcPr>
          <w:p>
            <w:r>
              <w:rPr>
                <w:b/>
                <w:color w:val="FFFFFF"/>
                <w:sz w:val="18"/>
              </w:rPr>
              <w:t>Test group</w:t>
            </w:r>
          </w:p>
        </w:tc>
        <w:tc>
          <w:tcPr>
            <w:tcW w:type="dxa" w:w="7272"/>
            <w:shd w:fill="1F4E78"/>
            <w:tcMar>
              <w:top w:w="90" w:type="dxa"/>
              <w:start w:w="100" w:type="dxa"/>
              <w:bottom w:w="90" w:type="dxa"/>
              <w:end w:w="100" w:type="dxa"/>
            </w:tcMar>
            <w:vAlign w:val="center"/>
          </w:tcPr>
          <w:p>
            <w:r>
              <w:rPr>
                <w:b/>
                <w:color w:val="FFFFFF"/>
                <w:sz w:val="18"/>
              </w:rPr>
              <w:t>Minimum required cases</w:t>
            </w:r>
          </w:p>
        </w:tc>
      </w:tr>
      <w:tr>
        <w:trPr>
          <w:cantSplit/>
        </w:trPr>
        <w:tc>
          <w:tcPr>
            <w:tcW w:type="dxa" w:w="2232"/>
            <w:tcMar>
              <w:top w:w="90" w:type="dxa"/>
              <w:start w:w="100" w:type="dxa"/>
              <w:bottom w:w="90" w:type="dxa"/>
              <w:end w:w="100" w:type="dxa"/>
            </w:tcMar>
            <w:vAlign w:val="top"/>
          </w:tcPr>
          <w:p>
            <w:pPr>
              <w:spacing w:after="40"/>
            </w:pPr>
            <w:r>
              <w:rPr>
                <w:sz w:val="17"/>
              </w:rPr>
              <w:t>Production policy</w:t>
            </w:r>
          </w:p>
        </w:tc>
        <w:tc>
          <w:tcPr>
            <w:tcW w:type="dxa" w:w="7272"/>
            <w:tcMar>
              <w:top w:w="90" w:type="dxa"/>
              <w:start w:w="100" w:type="dxa"/>
              <w:bottom w:w="90" w:type="dxa"/>
              <w:end w:w="100" w:type="dxa"/>
            </w:tcMar>
            <w:vAlign w:val="top"/>
          </w:tcPr>
          <w:p>
            <w:pPr>
              <w:spacing w:after="40"/>
            </w:pPr>
            <w:r>
              <w:rPr>
                <w:sz w:val="17"/>
              </w:rPr>
              <w:t>Contains script-src 'self', style-src 'self', connect-src 'none', object-src 'none', and frame-src 'none'; excludes wildcard, unsafe-inline, unsafe-eval, HTTP(S), and WS(S) origins.</w:t>
            </w:r>
          </w:p>
        </w:tc>
      </w:tr>
      <w:tr>
        <w:trPr>
          <w:cantSplit/>
        </w:trPr>
        <w:tc>
          <w:tcPr>
            <w:tcW w:type="dxa" w:w="2232"/>
            <w:tcMar>
              <w:top w:w="90" w:type="dxa"/>
              <w:start w:w="100" w:type="dxa"/>
              <w:bottom w:w="90" w:type="dxa"/>
              <w:end w:w="100" w:type="dxa"/>
            </w:tcMar>
            <w:vAlign w:val="top"/>
          </w:tcPr>
          <w:p>
            <w:pPr>
              <w:spacing w:after="40"/>
            </w:pPr>
            <w:r>
              <w:rPr>
                <w:sz w:val="17"/>
              </w:rPr>
              <w:t>Development policy</w:t>
            </w:r>
          </w:p>
        </w:tc>
        <w:tc>
          <w:tcPr>
            <w:tcW w:type="dxa" w:w="7272"/>
            <w:tcMar>
              <w:top w:w="90" w:type="dxa"/>
              <w:start w:w="100" w:type="dxa"/>
              <w:bottom w:w="90" w:type="dxa"/>
              <w:end w:w="100" w:type="dxa"/>
            </w:tcMar>
            <w:vAlign w:val="top"/>
          </w:tcPr>
          <w:p>
            <w:pPr>
              <w:spacing w:after="40"/>
            </w:pPr>
            <w:r>
              <w:rPr>
                <w:sz w:val="17"/>
              </w:rPr>
              <w:t>Produces exact ws:// origin from HTTP and exact wss:// origin from HTTPS for localhost, 127.0.0.1, and [::1]; includes unsafe-inline only in style-src; excludes unsafe-eval and broad schemes.</w:t>
            </w:r>
          </w:p>
        </w:tc>
      </w:tr>
      <w:tr>
        <w:trPr>
          <w:cantSplit/>
        </w:trPr>
        <w:tc>
          <w:tcPr>
            <w:tcW w:type="dxa" w:w="2232"/>
            <w:tcMar>
              <w:top w:w="90" w:type="dxa"/>
              <w:start w:w="100" w:type="dxa"/>
              <w:bottom w:w="90" w:type="dxa"/>
              <w:end w:w="100" w:type="dxa"/>
            </w:tcMar>
            <w:vAlign w:val="top"/>
          </w:tcPr>
          <w:p>
            <w:pPr>
              <w:spacing w:after="40"/>
            </w:pPr>
            <w:r>
              <w:rPr>
                <w:sz w:val="17"/>
              </w:rPr>
              <w:t>Header replacement</w:t>
            </w:r>
          </w:p>
        </w:tc>
        <w:tc>
          <w:tcPr>
            <w:tcW w:type="dxa" w:w="7272"/>
            <w:tcMar>
              <w:top w:w="90" w:type="dxa"/>
              <w:start w:w="100" w:type="dxa"/>
              <w:bottom w:w="90" w:type="dxa"/>
              <w:end w:w="100" w:type="dxa"/>
            </w:tcMar>
            <w:vAlign w:val="top"/>
          </w:tcPr>
          <w:p>
            <w:pPr>
              <w:spacing w:after="40"/>
            </w:pPr>
            <w:r>
              <w:rPr>
                <w:sz w:val="17"/>
              </w:rPr>
              <w:t>Preserves unrelated headers; replaces Content-Security-Policy regardless of header-name casing; returns one application CSP header.</w:t>
            </w:r>
          </w:p>
        </w:tc>
      </w:tr>
      <w:tr>
        <w:trPr>
          <w:cantSplit/>
        </w:trPr>
        <w:tc>
          <w:tcPr>
            <w:tcW w:type="dxa" w:w="2232"/>
            <w:tcMar>
              <w:top w:w="90" w:type="dxa"/>
              <w:start w:w="100" w:type="dxa"/>
              <w:bottom w:w="90" w:type="dxa"/>
              <w:end w:w="100" w:type="dxa"/>
            </w:tcMar>
            <w:vAlign w:val="top"/>
          </w:tcPr>
          <w:p>
            <w:pPr>
              <w:spacing w:after="40"/>
            </w:pPr>
            <w:r>
              <w:rPr>
                <w:sz w:val="17"/>
              </w:rPr>
              <w:t>HTML injection</w:t>
            </w:r>
          </w:p>
        </w:tc>
        <w:tc>
          <w:tcPr>
            <w:tcW w:type="dxa" w:w="7272"/>
            <w:tcMar>
              <w:top w:w="90" w:type="dxa"/>
              <w:start w:w="100" w:type="dxa"/>
              <w:bottom w:w="90" w:type="dxa"/>
              <w:end w:w="100" w:type="dxa"/>
            </w:tcMar>
            <w:vAlign w:val="top"/>
          </w:tcPr>
          <w:p>
            <w:pPr>
              <w:spacing w:after="40"/>
            </w:pPr>
            <w:r>
              <w:rPr>
                <w:sz w:val="17"/>
              </w:rPr>
              <w:t>Adds one CSP meta element inside head; does not duplicate an existing application-generated CSP tag; fails deterministically for malformed input or enforces a documented behavior.</w:t>
            </w:r>
          </w:p>
        </w:tc>
      </w:tr>
      <w:tr>
        <w:trPr>
          <w:cantSplit/>
        </w:trPr>
        <w:tc>
          <w:tcPr>
            <w:tcW w:type="dxa" w:w="2232"/>
            <w:tcMar>
              <w:top w:w="90" w:type="dxa"/>
              <w:start w:w="100" w:type="dxa"/>
              <w:bottom w:w="90" w:type="dxa"/>
              <w:end w:w="100" w:type="dxa"/>
            </w:tcMar>
            <w:vAlign w:val="top"/>
          </w:tcPr>
          <w:p>
            <w:pPr>
              <w:spacing w:after="40"/>
            </w:pPr>
            <w:r>
              <w:rPr>
                <w:sz w:val="17"/>
              </w:rPr>
              <w:t>Permission policy</w:t>
            </w:r>
          </w:p>
        </w:tc>
        <w:tc>
          <w:tcPr>
            <w:tcW w:type="dxa" w:w="7272"/>
            <w:tcMar>
              <w:top w:w="90" w:type="dxa"/>
              <w:start w:w="100" w:type="dxa"/>
              <w:bottom w:w="90" w:type="dxa"/>
              <w:end w:w="100" w:type="dxa"/>
            </w:tcMar>
            <w:vAlign w:val="top"/>
          </w:tcPr>
          <w:p>
            <w:pPr>
              <w:spacing w:after="40"/>
            </w:pPr>
            <w:r>
              <w:rPr>
                <w:sz w:val="17"/>
              </w:rPr>
              <w:t>Returns false for all representative known permissions and an unknown permission string.</w:t>
            </w:r>
          </w:p>
        </w:tc>
      </w:tr>
      <w:tr>
        <w:trPr>
          <w:cantSplit/>
        </w:trPr>
        <w:tc>
          <w:tcPr>
            <w:tcW w:type="dxa" w:w="2232"/>
            <w:tcMar>
              <w:top w:w="90" w:type="dxa"/>
              <w:start w:w="100" w:type="dxa"/>
              <w:bottom w:w="90" w:type="dxa"/>
              <w:end w:w="100" w:type="dxa"/>
            </w:tcMar>
            <w:vAlign w:val="top"/>
          </w:tcPr>
          <w:p>
            <w:pPr>
              <w:spacing w:after="40"/>
            </w:pPr>
            <w:r>
              <w:rPr>
                <w:sz w:val="17"/>
              </w:rPr>
              <w:t>Regression</w:t>
            </w:r>
          </w:p>
        </w:tc>
        <w:tc>
          <w:tcPr>
            <w:tcW w:type="dxa" w:w="7272"/>
            <w:tcMar>
              <w:top w:w="90" w:type="dxa"/>
              <w:start w:w="100" w:type="dxa"/>
              <w:bottom w:w="90" w:type="dxa"/>
              <w:end w:w="100" w:type="dxa"/>
            </w:tcMar>
            <w:vAlign w:val="top"/>
          </w:tcPr>
          <w:p>
            <w:pPr>
              <w:spacing w:after="40"/>
            </w:pPr>
            <w:r>
              <w:rPr>
                <w:sz w:val="17"/>
              </w:rPr>
              <w:t>All existing HSD-001 through HSD-003 tests remain green.</w:t>
            </w:r>
          </w:p>
        </w:tc>
      </w:tr>
    </w:tbl>
    <w:p>
      <w:r>
        <w:t>Tests must run in the Node Vitest environment and must not launch Electron or make network requests.</w:t>
      </w:r>
    </w:p>
    <w:p>
      <w:pPr>
        <w:pStyle w:val="Heading1"/>
        <w:keepNext/>
        <w:keepNext/>
      </w:pPr>
      <w:r>
        <w:t>11. Build-Output Verification</w:t>
      </w:r>
    </w:p>
    <w:p>
      <w:r>
        <w:t>After pnpm build, inspect the packaged renderer HTML:</w:t>
      </w:r>
    </w:p>
    <w:p>
      <w:pPr>
        <w:pStyle w:val="CodeBlock"/>
        <w:keepLines/>
      </w:pPr>
      <w:r>
        <w:t>grep -o 'Content-Security-Policy' out/renderer/index.html</w:t>
      </w:r>
      <w:r>
        <w:br/>
      </w:r>
      <w:r>
        <w:t>grep -o "unsafe-eval\|unsafe-inline\|connect-src[^;]*" out/renderer/index.html</w:t>
      </w:r>
    </w:p>
    <w:p>
      <w:pPr>
        <w:pStyle w:val="ListBullet"/>
      </w:pPr>
      <w:r>
        <w:t>The first command should identify exactly one production CSP meta declaration.</w:t>
      </w:r>
    </w:p>
    <w:p>
      <w:pPr>
        <w:pStyle w:val="ListBullet"/>
      </w:pPr>
      <w:r>
        <w:t>The production policy must not contain unsafe-eval or unsafe-inline.</w:t>
      </w:r>
    </w:p>
    <w:p>
      <w:pPr>
        <w:pStyle w:val="ListBullet"/>
      </w:pPr>
      <w:r>
        <w:t>The production connect-src directive must be 'none'.</w:t>
      </w:r>
    </w:p>
    <w:p>
      <w:pPr>
        <w:pStyle w:val="ListBullet"/>
      </w:pPr>
      <w:r>
        <w:t>The renderer JavaScript and CSS bundle references must remain local relative assets.</w:t>
      </w:r>
    </w:p>
    <w:p>
      <w:pPr>
        <w:pStyle w:val="Heading1"/>
        <w:keepNext/>
        <w:keepNext/>
      </w:pPr>
      <w:r>
        <w:t>12. Required Commands</w:t>
      </w:r>
    </w:p>
    <w:p>
      <w:pPr>
        <w:pStyle w:val="CodeBlock"/>
        <w:keepLines/>
      </w:pPr>
      <w:r>
        <w:t>pnpm install</w:t>
      </w:r>
      <w:r>
        <w:br/>
      </w:r>
      <w:r>
        <w:t>pnpm format:check</w:t>
      </w:r>
      <w:r>
        <w:br/>
      </w:r>
      <w:r>
        <w:t>pnpm lint</w:t>
      </w:r>
      <w:r>
        <w:br/>
      </w:r>
      <w:r>
        <w:t>pnpm typecheck</w:t>
      </w:r>
      <w:r>
        <w:br/>
      </w:r>
      <w:r>
        <w:t>pnpm test</w:t>
      </w:r>
      <w:r>
        <w:br/>
      </w:r>
      <w:r>
        <w:t>pnpm verify</w:t>
      </w:r>
      <w:r>
        <w:br/>
      </w:r>
      <w:r>
        <w:t>pnpm build</w:t>
      </w:r>
      <w:r>
        <w:br/>
      </w:r>
      <w:r>
        <w:t>pnpm dev</w:t>
      </w:r>
    </w:p>
    <w:p>
      <w:r>
        <w:t>After development verification, stop the process and run the built application preview:</w:t>
      </w:r>
    </w:p>
    <w:p>
      <w:pPr>
        <w:pStyle w:val="CodeBlock"/>
        <w:keepLines/>
      </w:pPr>
      <w:r>
        <w:t>pnpm start</w:t>
      </w:r>
    </w:p>
    <w:p>
      <w:pPr>
        <w:pStyle w:val="Heading1"/>
        <w:keepNext/>
        <w:keepNext/>
      </w:pPr>
      <w:r>
        <w:t>13. Manual Verification</w:t>
      </w:r>
    </w:p>
    <w:p>
      <w:pPr>
        <w:ind w:left="403" w:hanging="317"/>
      </w:pPr>
      <w:r>
        <w:rPr>
          <w:b/>
        </w:rPr>
        <w:t xml:space="preserve">1. </w:t>
      </w:r>
      <w:r>
        <w:t>Run pnpm dev. Confirm the existing placeholder window opens normally.</w:t>
      </w:r>
    </w:p>
    <w:p>
      <w:pPr>
        <w:ind w:left="403" w:hanging="317"/>
      </w:pPr>
      <w:r>
        <w:rPr>
          <w:b/>
        </w:rPr>
        <w:t xml:space="preserve">2. </w:t>
      </w:r>
      <w:r>
        <w:t>Confirm the terminal and renderer console show no CSP violation during normal startup.</w:t>
      </w:r>
    </w:p>
    <w:p>
      <w:pPr>
        <w:ind w:left="403" w:hanging="317"/>
      </w:pPr>
      <w:r>
        <w:rPr>
          <w:b/>
        </w:rPr>
        <w:t xml:space="preserve">3. </w:t>
      </w:r>
      <w:r>
        <w:t>Confirm Vite development refresh remains functional without adding unsafe-eval.</w:t>
      </w:r>
    </w:p>
    <w:p>
      <w:pPr>
        <w:ind w:left="403" w:hanging="317"/>
      </w:pPr>
      <w:r>
        <w:rPr>
          <w:b/>
        </w:rPr>
        <w:t xml:space="preserve">4. </w:t>
      </w:r>
      <w:r>
        <w:t>Confirm the app does not display any browser permission prompt.</w:t>
      </w:r>
    </w:p>
    <w:p>
      <w:pPr>
        <w:ind w:left="403" w:hanging="317"/>
      </w:pPr>
      <w:r>
        <w:rPr>
          <w:b/>
        </w:rPr>
        <w:t xml:space="preserve">5. </w:t>
      </w:r>
      <w:r>
        <w:t>Run pnpm build and inspect out/renderer/index.html for exactly one strict production CSP meta element.</w:t>
      </w:r>
    </w:p>
    <w:p>
      <w:pPr>
        <w:ind w:left="403" w:hanging="317"/>
      </w:pPr>
      <w:r>
        <w:rPr>
          <w:b/>
        </w:rPr>
        <w:t xml:space="preserve">6. </w:t>
      </w:r>
      <w:r>
        <w:t>Run pnpm start. Confirm the packaged renderer preview displays normally with no CSP violation during startup.</w:t>
      </w:r>
    </w:p>
    <w:p>
      <w:pPr>
        <w:ind w:left="403" w:hanging="317"/>
      </w:pPr>
      <w:r>
        <w:rPr>
          <w:b/>
        </w:rPr>
        <w:t xml:space="preserve">7. </w:t>
      </w:r>
      <w:r>
        <w:t>Confirm HSD-003 single-instance, close, navigation, popup, and webview behavior remains unchanged.</w:t>
      </w:r>
    </w:p>
    <w:p>
      <w:pPr>
        <w:pStyle w:val="Heading1"/>
        <w:keepNext/>
        <w:keepNext/>
      </w:pPr>
      <w:r>
        <w:t>14. Acceptance Criteria</w:t>
      </w:r>
    </w:p>
    <w:p>
      <w:pPr>
        <w:pStyle w:val="ListBullet"/>
      </w:pPr>
      <w:r>
        <w:t>The branch starts from the approved HSD-003 merge on main.</w:t>
      </w:r>
    </w:p>
    <w:p>
      <w:pPr>
        <w:pStyle w:val="ListBullet"/>
      </w:pPr>
      <w:r>
        <w:t>Development CSP is delivered through an HTTP response header and is restricted to the exact approved loopback origin and exact HMR WebSocket origin.</w:t>
      </w:r>
    </w:p>
    <w:p>
      <w:pPr>
        <w:pStyle w:val="ListBullet"/>
      </w:pPr>
      <w:r>
        <w:t>Production CSP is injected at build time as exactly one meta element and does not appear in development HTML.</w:t>
      </w:r>
    </w:p>
    <w:p>
      <w:pPr>
        <w:pStyle w:val="ListBullet"/>
      </w:pPr>
      <w:r>
        <w:t>Production has no wildcard, unsafe-inline, unsafe-eval, remote origin, or network connection source.</w:t>
      </w:r>
    </w:p>
    <w:p>
      <w:pPr>
        <w:pStyle w:val="ListBullet"/>
      </w:pPr>
      <w:r>
        <w:t>Development uses unsafe-inline only for style-src and does not use unsafe-eval.</w:t>
      </w:r>
    </w:p>
    <w:p>
      <w:pPr>
        <w:pStyle w:val="ListBullet"/>
      </w:pPr>
      <w:r>
        <w:t>Existing response headers are preserved and duplicate CSP headers are not emitted.</w:t>
      </w:r>
    </w:p>
    <w:p>
      <w:pPr>
        <w:pStyle w:val="ListBullet"/>
      </w:pPr>
      <w:r>
        <w:t>Permission checks and requests are denied by default, including unknown permissions.</w:t>
      </w:r>
    </w:p>
    <w:p>
      <w:pPr>
        <w:pStyle w:val="ListBullet"/>
      </w:pPr>
      <w:r>
        <w:t>Session security is configured before renderer loading and does not accumulate competing listeners.</w:t>
      </w:r>
    </w:p>
    <w:p>
      <w:pPr>
        <w:pStyle w:val="ListBullet"/>
      </w:pPr>
      <w:r>
        <w:t>The renderer UI and preload API remain functionally unchanged.</w:t>
      </w:r>
    </w:p>
    <w:p>
      <w:pPr>
        <w:pStyle w:val="ListBullet"/>
      </w:pPr>
      <w:r>
        <w:t>All tests, verification commands, build, development launch, and production preview pass.</w:t>
      </w:r>
    </w:p>
    <w:p>
      <w:pPr>
        <w:pStyle w:val="ListBullet"/>
      </w:pPr>
      <w:r>
        <w:t>The working tree is clean and the required commit is pushed.</w:t>
      </w:r>
    </w:p>
    <w:p>
      <w:pPr>
        <w:pStyle w:val="Heading1"/>
        <w:keepNext/>
        <w:keepNext/>
      </w:pPr>
      <w:r>
        <w:t>15. Explicit Prohibitions</w:t>
      </w:r>
    </w:p>
    <w:p>
      <w:pPr>
        <w:pStyle w:val="ListBullet"/>
      </w:pPr>
      <w:r>
        <w:t>Do not add patient, screening, referral, clinical protocol, or reporting code.</w:t>
      </w:r>
    </w:p>
    <w:p>
      <w:pPr>
        <w:pStyle w:val="ListBullet"/>
      </w:pPr>
      <w:r>
        <w:t>Do not add SQLite, better-sqlite3, migrations, repositories, or persistent storage.</w:t>
      </w:r>
    </w:p>
    <w:p>
      <w:pPr>
        <w:pStyle w:val="ListBullet"/>
      </w:pPr>
      <w:r>
        <w:t>Do not add authentication, role-based access, first-run setup, or session-lock features.</w:t>
      </w:r>
    </w:p>
    <w:p>
      <w:pPr>
        <w:pStyle w:val="ListBullet"/>
      </w:pPr>
      <w:r>
        <w:t>Do not expose ipcRenderer, ipcMain, Electron Session, WebRequest, shell, or raw Electron APIs to the renderer.</w:t>
      </w:r>
    </w:p>
    <w:p>
      <w:pPr>
        <w:pStyle w:val="ListBullet"/>
      </w:pPr>
      <w:r>
        <w:t>Do not add a generic preload bridge or any new business IPC operation.</w:t>
      </w:r>
    </w:p>
    <w:p>
      <w:pPr>
        <w:pStyle w:val="ListBullet"/>
      </w:pPr>
      <w:r>
        <w:t>Do not add remote fonts, CDN scripts, analytics, telemetry, error-reporting services, or outbound API calls.</w:t>
      </w:r>
    </w:p>
    <w:p>
      <w:pPr>
        <w:pStyle w:val="ListBullet"/>
      </w:pPr>
      <w:r>
        <w:t>Do not add a custom protocol in this task.</w:t>
      </w:r>
    </w:p>
    <w:p>
      <w:pPr>
        <w:pStyle w:val="ListBullet"/>
      </w:pPr>
      <w:r>
        <w:t>Do not enable webSecurity exceptions, allowRunningInsecureContent, experimentalFeatures, webview, or Node integration.</w:t>
      </w:r>
    </w:p>
    <w:p>
      <w:pPr>
        <w:pStyle w:val="ListBullet"/>
      </w:pPr>
      <w:r>
        <w:t>Do not add unsafe-eval. Do not add script-src unsafe-inline.</w:t>
      </w:r>
    </w:p>
    <w:p>
      <w:pPr>
        <w:pStyle w:val="ListBullet"/>
      </w:pPr>
      <w:r>
        <w:t>Do not redesign the placeholder application.</w:t>
      </w:r>
    </w:p>
    <w:p>
      <w:pPr>
        <w:pStyle w:val="Heading1"/>
        <w:keepNext/>
        <w:keepNext/>
      </w:pPr>
      <w:r>
        <w:t>16. Documentation Requirements</w:t>
      </w:r>
    </w:p>
    <w:p>
      <w:r>
        <w:t>Update docs/engineering-standards.md with:</w:t>
      </w:r>
    </w:p>
    <w:p>
      <w:pPr>
        <w:pStyle w:val="ListBullet"/>
      </w:pPr>
      <w:r>
        <w:t>Why development and production use different CSP delivery mechanisms.</w:t>
      </w:r>
    </w:p>
    <w:p>
      <w:pPr>
        <w:pStyle w:val="ListBullet"/>
      </w:pPr>
      <w:r>
        <w:t>The exact development exception for Vite style injection and same-origin HMR WebSocket access.</w:t>
      </w:r>
    </w:p>
    <w:p>
      <w:pPr>
        <w:pStyle w:val="ListBullet"/>
      </w:pPr>
      <w:r>
        <w:t>The production no-network policy at this stage of implementation.</w:t>
      </w:r>
    </w:p>
    <w:p>
      <w:pPr>
        <w:pStyle w:val="ListBullet"/>
      </w:pPr>
      <w:r>
        <w:t>The default-deny permission rule and requirement for a future reviewed task before any permission can be enabled.</w:t>
      </w:r>
    </w:p>
    <w:p>
      <w:pPr>
        <w:pStyle w:val="ListBullet"/>
      </w:pPr>
      <w:r>
        <w:t>The rule that later backend connectivity must be added through a narrowly reviewed connect-src change rather than a wildcard.</w:t>
      </w:r>
    </w:p>
    <w:p>
      <w:pPr>
        <w:pStyle w:val="ListBullet"/>
      </w:pPr>
      <w:r>
        <w:t>The commands used to verify CSP and the packaged output.</w:t>
      </w:r>
    </w:p>
    <w:p>
      <w:pPr>
        <w:pStyle w:val="Heading1"/>
        <w:keepNext/>
        <w:keepNext/>
      </w:pPr>
      <w:r>
        <w:t>17. Commit and Handoff</w:t>
      </w:r>
    </w:p>
    <w:p>
      <w:r>
        <w:t>Create the primary task commit with exactly:</w:t>
      </w:r>
    </w:p>
    <w:p>
      <w:pPr>
        <w:pStyle w:val="CodeBlock"/>
        <w:keepLines/>
      </w:pPr>
      <w:r>
        <w:t>feat: enforce renderer content security policy</w:t>
      </w:r>
    </w:p>
    <w:p>
      <w:r>
        <w:t>Push the branch:</w:t>
      </w:r>
    </w:p>
    <w:p>
      <w:pPr>
        <w:pStyle w:val="CodeBlock"/>
        <w:keepLines/>
      </w:pPr>
      <w:r>
        <w:t>git push -u origin feature/hsd-004-renderer-csp</w:t>
      </w:r>
    </w:p>
    <w:p>
      <w:r>
        <w:t>Provide the following evidence for review:</w:t>
      </w:r>
    </w:p>
    <w:p>
      <w:pPr>
        <w:pStyle w:val="CodeBlock"/>
        <w:keepLines/>
      </w:pPr>
      <w:r>
        <w:t>git status</w:t>
      </w:r>
      <w:r>
        <w:br/>
      </w:r>
      <w:r>
        <w:t>git log -3 --oneline</w:t>
      </w:r>
      <w:r>
        <w:br/>
      </w:r>
      <w:r>
        <w:t>pnpm verify</w:t>
      </w:r>
      <w:r>
        <w:br/>
      </w:r>
      <w:r>
        <w:t>pnpm build</w:t>
      </w:r>
    </w:p>
    <w:p>
      <w:pPr>
        <w:pStyle w:val="ListBullet"/>
      </w:pPr>
      <w:r>
        <w:t>Test file count and total passing test count.</w:t>
      </w:r>
    </w:p>
    <w:p>
      <w:pPr>
        <w:pStyle w:val="ListBullet"/>
      </w:pPr>
      <w:r>
        <w:t>Confirmation that pnpm dev displayed the placeholder window.</w:t>
      </w:r>
    </w:p>
    <w:p>
      <w:pPr>
        <w:pStyle w:val="ListBullet"/>
      </w:pPr>
      <w:r>
        <w:t>Confirmation that pnpm start displayed the built placeholder window.</w:t>
      </w:r>
    </w:p>
    <w:p>
      <w:pPr>
        <w:pStyle w:val="ListBullet"/>
      </w:pPr>
      <w:r>
        <w:t>The production CSP meta line from out/renderer/index.html.</w:t>
      </w:r>
    </w:p>
    <w:p>
      <w:pPr>
        <w:pStyle w:val="ListBullet"/>
      </w:pPr>
      <w:r>
        <w:t>Confirmation that no permission prompt or CSP startup violation appeared.</w:t>
      </w:r>
    </w:p>
    <w:p>
      <w:r>
        <w:t>Do not merge HSD-004 and do not begin HSD-005 until the remote branch has been reviewed and approved.</w:t>
      </w:r>
    </w:p>
    <w:p>
      <w:pPr>
        <w:pStyle w:val="Heading1"/>
        <w:keepNext/>
        <w:keepNext/>
      </w:pPr>
      <w:r>
        <w:t>18. Review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tcMar>
              <w:top w:w="90" w:type="dxa"/>
              <w:start w:w="100" w:type="dxa"/>
              <w:bottom w:w="90" w:type="dxa"/>
              <w:end w:w="100" w:type="dxa"/>
            </w:tcMar>
            <w:vAlign w:val="center"/>
          </w:tcPr>
          <w:p>
            <w:r>
              <w:rPr>
                <w:b/>
                <w:color w:val="FFFFFF"/>
                <w:sz w:val="18"/>
              </w:rPr>
              <w:t>Reviewer check</w:t>
            </w:r>
          </w:p>
        </w:tc>
        <w:tc>
          <w:tcPr>
            <w:tcW w:type="dxa" w:w="7128"/>
            <w:shd w:fill="1F4E78"/>
            <w:tcMar>
              <w:top w:w="90" w:type="dxa"/>
              <w:start w:w="100" w:type="dxa"/>
              <w:bottom w:w="90" w:type="dxa"/>
              <w:end w:w="100" w:type="dxa"/>
            </w:tcMar>
            <w:vAlign w:val="center"/>
          </w:tcPr>
          <w:p>
            <w:r>
              <w:rPr>
                <w:b/>
                <w:color w:val="FFFFFF"/>
                <w:sz w:val="18"/>
              </w:rPr>
              <w:t>Pass condition</w:t>
            </w:r>
          </w:p>
        </w:tc>
      </w:tr>
      <w:tr>
        <w:trPr>
          <w:cantSplit/>
        </w:trPr>
        <w:tc>
          <w:tcPr>
            <w:tcW w:type="dxa" w:w="2376"/>
            <w:tcMar>
              <w:top w:w="90" w:type="dxa"/>
              <w:start w:w="100" w:type="dxa"/>
              <w:bottom w:w="90" w:type="dxa"/>
              <w:end w:w="100" w:type="dxa"/>
            </w:tcMar>
            <w:vAlign w:val="top"/>
          </w:tcPr>
          <w:p>
            <w:pPr>
              <w:spacing w:after="40"/>
            </w:pPr>
            <w:r>
              <w:rPr>
                <w:sz w:val="17"/>
              </w:rPr>
              <w:t>Branch ancestry</w:t>
            </w:r>
          </w:p>
        </w:tc>
        <w:tc>
          <w:tcPr>
            <w:tcW w:type="dxa" w:w="7128"/>
            <w:tcMar>
              <w:top w:w="90" w:type="dxa"/>
              <w:start w:w="100" w:type="dxa"/>
              <w:bottom w:w="90" w:type="dxa"/>
              <w:end w:w="100" w:type="dxa"/>
            </w:tcMar>
            <w:vAlign w:val="top"/>
          </w:tcPr>
          <w:p>
            <w:pPr>
              <w:spacing w:after="40"/>
            </w:pPr>
            <w:r>
              <w:rPr>
                <w:sz w:val="17"/>
              </w:rPr>
              <w:t>Exactly based on approved HSD-003 main baseline.</w:t>
            </w:r>
          </w:p>
        </w:tc>
      </w:tr>
      <w:tr>
        <w:trPr>
          <w:cantSplit/>
        </w:trPr>
        <w:tc>
          <w:tcPr>
            <w:tcW w:type="dxa" w:w="2376"/>
            <w:tcMar>
              <w:top w:w="90" w:type="dxa"/>
              <w:start w:w="100" w:type="dxa"/>
              <w:bottom w:w="90" w:type="dxa"/>
              <w:end w:w="100" w:type="dxa"/>
            </w:tcMar>
            <w:vAlign w:val="top"/>
          </w:tcPr>
          <w:p>
            <w:pPr>
              <w:spacing w:after="40"/>
            </w:pPr>
            <w:r>
              <w:rPr>
                <w:sz w:val="17"/>
              </w:rPr>
              <w:t>Policy separation</w:t>
            </w:r>
          </w:p>
        </w:tc>
        <w:tc>
          <w:tcPr>
            <w:tcW w:type="dxa" w:w="7128"/>
            <w:tcMar>
              <w:top w:w="90" w:type="dxa"/>
              <w:start w:w="100" w:type="dxa"/>
              <w:bottom w:w="90" w:type="dxa"/>
              <w:end w:w="100" w:type="dxa"/>
            </w:tcMar>
            <w:vAlign w:val="top"/>
          </w:tcPr>
          <w:p>
            <w:pPr>
              <w:spacing w:after="40"/>
            </w:pPr>
            <w:r>
              <w:rPr>
                <w:sz w:val="17"/>
              </w:rPr>
              <w:t>Development and production policies differ only where tooling requires it; production is stricter.</w:t>
            </w:r>
          </w:p>
        </w:tc>
      </w:tr>
      <w:tr>
        <w:trPr>
          <w:cantSplit/>
        </w:trPr>
        <w:tc>
          <w:tcPr>
            <w:tcW w:type="dxa" w:w="2376"/>
            <w:tcMar>
              <w:top w:w="90" w:type="dxa"/>
              <w:start w:w="100" w:type="dxa"/>
              <w:bottom w:w="90" w:type="dxa"/>
              <w:end w:w="100" w:type="dxa"/>
            </w:tcMar>
            <w:vAlign w:val="top"/>
          </w:tcPr>
          <w:p>
            <w:pPr>
              <w:spacing w:after="40"/>
            </w:pPr>
            <w:r>
              <w:rPr>
                <w:sz w:val="17"/>
              </w:rPr>
              <w:t>CSP integrity</w:t>
            </w:r>
          </w:p>
        </w:tc>
        <w:tc>
          <w:tcPr>
            <w:tcW w:type="dxa" w:w="7128"/>
            <w:tcMar>
              <w:top w:w="90" w:type="dxa"/>
              <w:start w:w="100" w:type="dxa"/>
              <w:bottom w:w="90" w:type="dxa"/>
              <w:end w:w="100" w:type="dxa"/>
            </w:tcMar>
            <w:vAlign w:val="top"/>
          </w:tcPr>
          <w:p>
            <w:pPr>
              <w:spacing w:after="40"/>
            </w:pPr>
            <w:r>
              <w:rPr>
                <w:sz w:val="17"/>
              </w:rPr>
              <w:t>No duplicate policy, broad source, unsafe-eval, remote script, or production network permission.</w:t>
            </w:r>
          </w:p>
        </w:tc>
      </w:tr>
      <w:tr>
        <w:trPr>
          <w:cantSplit/>
        </w:trPr>
        <w:tc>
          <w:tcPr>
            <w:tcW w:type="dxa" w:w="2376"/>
            <w:tcMar>
              <w:top w:w="90" w:type="dxa"/>
              <w:start w:w="100" w:type="dxa"/>
              <w:bottom w:w="90" w:type="dxa"/>
              <w:end w:w="100" w:type="dxa"/>
            </w:tcMar>
            <w:vAlign w:val="top"/>
          </w:tcPr>
          <w:p>
            <w:pPr>
              <w:spacing w:after="40"/>
            </w:pPr>
            <w:r>
              <w:rPr>
                <w:sz w:val="17"/>
              </w:rPr>
              <w:t>Session permission model</w:t>
            </w:r>
          </w:p>
        </w:tc>
        <w:tc>
          <w:tcPr>
            <w:tcW w:type="dxa" w:w="7128"/>
            <w:tcMar>
              <w:top w:w="90" w:type="dxa"/>
              <w:start w:w="100" w:type="dxa"/>
              <w:bottom w:w="90" w:type="dxa"/>
              <w:end w:w="100" w:type="dxa"/>
            </w:tcMar>
            <w:vAlign w:val="top"/>
          </w:tcPr>
          <w:p>
            <w:pPr>
              <w:spacing w:after="40"/>
            </w:pPr>
            <w:r>
              <w:rPr>
                <w:sz w:val="17"/>
              </w:rPr>
              <w:t>Check and request handlers both deny all permissions.</w:t>
            </w:r>
          </w:p>
        </w:tc>
      </w:tr>
      <w:tr>
        <w:trPr>
          <w:cantSplit/>
        </w:trPr>
        <w:tc>
          <w:tcPr>
            <w:tcW w:type="dxa" w:w="2376"/>
            <w:tcMar>
              <w:top w:w="90" w:type="dxa"/>
              <w:start w:w="100" w:type="dxa"/>
              <w:bottom w:w="90" w:type="dxa"/>
              <w:end w:w="100" w:type="dxa"/>
            </w:tcMar>
            <w:vAlign w:val="top"/>
          </w:tcPr>
          <w:p>
            <w:pPr>
              <w:spacing w:after="40"/>
            </w:pPr>
            <w:r>
              <w:rPr>
                <w:sz w:val="17"/>
              </w:rPr>
              <w:t>Electron boundary</w:t>
            </w:r>
          </w:p>
        </w:tc>
        <w:tc>
          <w:tcPr>
            <w:tcW w:type="dxa" w:w="7128"/>
            <w:tcMar>
              <w:top w:w="90" w:type="dxa"/>
              <w:start w:w="100" w:type="dxa"/>
              <w:bottom w:w="90" w:type="dxa"/>
              <w:end w:w="100" w:type="dxa"/>
            </w:tcMar>
            <w:vAlign w:val="top"/>
          </w:tcPr>
          <w:p>
            <w:pPr>
              <w:spacing w:after="40"/>
            </w:pPr>
            <w:r>
              <w:rPr>
                <w:sz w:val="17"/>
              </w:rPr>
              <w:t>Session and webRequest APIs remain main-process only.</w:t>
            </w:r>
          </w:p>
        </w:tc>
      </w:tr>
      <w:tr>
        <w:trPr>
          <w:cantSplit/>
        </w:trPr>
        <w:tc>
          <w:tcPr>
            <w:tcW w:type="dxa" w:w="2376"/>
            <w:tcMar>
              <w:top w:w="90" w:type="dxa"/>
              <w:start w:w="100" w:type="dxa"/>
              <w:bottom w:w="90" w:type="dxa"/>
              <w:end w:w="100" w:type="dxa"/>
            </w:tcMar>
            <w:vAlign w:val="top"/>
          </w:tcPr>
          <w:p>
            <w:pPr>
              <w:spacing w:after="40"/>
            </w:pPr>
            <w:r>
              <w:rPr>
                <w:sz w:val="17"/>
              </w:rPr>
              <w:t>Tests</w:t>
            </w:r>
          </w:p>
        </w:tc>
        <w:tc>
          <w:tcPr>
            <w:tcW w:type="dxa" w:w="7128"/>
            <w:tcMar>
              <w:top w:w="90" w:type="dxa"/>
              <w:start w:w="100" w:type="dxa"/>
              <w:bottom w:w="90" w:type="dxa"/>
              <w:end w:w="100" w:type="dxa"/>
            </w:tcMar>
            <w:vAlign w:val="top"/>
          </w:tcPr>
          <w:p>
            <w:pPr>
              <w:spacing w:after="40"/>
            </w:pPr>
            <w:r>
              <w:rPr>
                <w:sz w:val="17"/>
              </w:rPr>
              <w:t>Meaningful deterministic coverage; no Electron launch or network dependency.</w:t>
            </w:r>
          </w:p>
        </w:tc>
      </w:tr>
      <w:tr>
        <w:trPr>
          <w:cantSplit/>
        </w:trPr>
        <w:tc>
          <w:tcPr>
            <w:tcW w:type="dxa" w:w="2376"/>
            <w:tcMar>
              <w:top w:w="90" w:type="dxa"/>
              <w:start w:w="100" w:type="dxa"/>
              <w:bottom w:w="90" w:type="dxa"/>
              <w:end w:w="100" w:type="dxa"/>
            </w:tcMar>
            <w:vAlign w:val="top"/>
          </w:tcPr>
          <w:p>
            <w:pPr>
              <w:spacing w:after="40"/>
            </w:pPr>
            <w:r>
              <w:rPr>
                <w:sz w:val="17"/>
              </w:rPr>
              <w:t>Runtime</w:t>
            </w:r>
          </w:p>
        </w:tc>
        <w:tc>
          <w:tcPr>
            <w:tcW w:type="dxa" w:w="7128"/>
            <w:tcMar>
              <w:top w:w="90" w:type="dxa"/>
              <w:start w:w="100" w:type="dxa"/>
              <w:bottom w:w="90" w:type="dxa"/>
              <w:end w:w="100" w:type="dxa"/>
            </w:tcMar>
            <w:vAlign w:val="top"/>
          </w:tcPr>
          <w:p>
            <w:pPr>
              <w:spacing w:after="40"/>
            </w:pPr>
            <w:r>
              <w:rPr>
                <w:sz w:val="17"/>
              </w:rPr>
              <w:t>Development and built preview work without startup CSP errors.</w:t>
            </w:r>
          </w:p>
        </w:tc>
      </w:tr>
      <w:tr>
        <w:trPr>
          <w:cantSplit/>
        </w:trPr>
        <w:tc>
          <w:tcPr>
            <w:tcW w:type="dxa" w:w="2376"/>
            <w:tcMar>
              <w:top w:w="90" w:type="dxa"/>
              <w:start w:w="100" w:type="dxa"/>
              <w:bottom w:w="90" w:type="dxa"/>
              <w:end w:w="100" w:type="dxa"/>
            </w:tcMar>
            <w:vAlign w:val="top"/>
          </w:tcPr>
          <w:p>
            <w:pPr>
              <w:spacing w:after="40"/>
            </w:pPr>
            <w:r>
              <w:rPr>
                <w:sz w:val="17"/>
              </w:rPr>
              <w:t>Scope</w:t>
            </w:r>
          </w:p>
        </w:tc>
        <w:tc>
          <w:tcPr>
            <w:tcW w:type="dxa" w:w="7128"/>
            <w:tcMar>
              <w:top w:w="90" w:type="dxa"/>
              <w:start w:w="100" w:type="dxa"/>
              <w:bottom w:w="90" w:type="dxa"/>
              <w:end w:w="100" w:type="dxa"/>
            </w:tcMar>
            <w:vAlign w:val="top"/>
          </w:tcPr>
          <w:p>
            <w:pPr>
              <w:spacing w:after="40"/>
            </w:pPr>
            <w:r>
              <w:rPr>
                <w:sz w:val="17"/>
              </w:rPr>
              <w:t>No clinical, persistence, authentication, routing, sync, CI, or packaging work.</w:t>
            </w:r>
          </w:p>
        </w:tc>
      </w:tr>
    </w:tbl>
    <w:p>
      <w:pPr>
        <w:pStyle w:val="Heading1"/>
        <w:keepNext/>
        <w:keepNext/>
      </w:pPr>
      <w:r>
        <w:t>19. Reference Basis</w:t>
      </w:r>
    </w:p>
    <w:p>
      <w:r>
        <w:t>Use the current official documentation as the implementation reference:</w:t>
      </w:r>
    </w:p>
    <w:p>
      <w:pPr>
        <w:pStyle w:val="ListBullet"/>
      </w:pPr>
      <w:r>
        <w:rPr>
          <w:b/>
        </w:rPr>
        <w:t xml:space="preserve">Electron Security Checklist: </w:t>
      </w:r>
      <w:r>
        <w:t>https://www.electronjs.org/docs/latest/tutorial/security</w:t>
      </w:r>
    </w:p>
    <w:p>
      <w:pPr>
        <w:pStyle w:val="ListBullet"/>
      </w:pPr>
      <w:r>
        <w:rPr>
          <w:b/>
        </w:rPr>
        <w:t xml:space="preserve">Electron WebRequest API: </w:t>
      </w:r>
      <w:r>
        <w:t>https://www.electronjs.org/docs/latest/api/web-request</w:t>
      </w:r>
    </w:p>
    <w:p>
      <w:pPr>
        <w:pStyle w:val="ListBullet"/>
      </w:pPr>
      <w:r>
        <w:rPr>
          <w:b/>
        </w:rPr>
        <w:t xml:space="preserve">Electron Session API: </w:t>
      </w:r>
      <w:r>
        <w:t>https://www.electronjs.org/docs/latest/api/session</w:t>
      </w:r>
    </w:p>
    <w:p>
      <w:pPr>
        <w:pStyle w:val="ListBullet"/>
      </w:pPr>
      <w:r>
        <w:rPr>
          <w:b/>
        </w:rPr>
        <w:t xml:space="preserve">Vite Features - Content Security Policy and CSS development behavior: </w:t>
      </w:r>
      <w:r>
        <w:t>https://vite.dev/guide/features</w:t>
      </w:r>
    </w:p>
    <w:p>
      <w:r>
        <w:t>The design plan requires a restrictive CSP, local bundled content, disabled arbitrary navigation and new-window creation, no webview use, validated process boundaries, and no patient data in routine errors. HSD-004 implements only the CSP and session-permission portion of that security baseline.</w:t>
      </w:r>
    </w:p>
    <w:p>
      <w:pPr>
        <w:spacing w:before="200" w:after="0"/>
      </w:pPr>
      <w:r>
        <w:rPr>
          <w:b/>
          <w:color w:val="163A5F"/>
          <w:sz w:val="24"/>
        </w:rPr>
        <w:t>HSD-004 Definition of Done</w:t>
      </w:r>
    </w:p>
    <w:tbl>
      <w:tblPr>
        <w:tblStyle w:val="TableGrid"/>
        <w:tblW w:type="auto" w:w="0"/>
        <w:jc w:val="center"/>
        <w:tblLook w:firstColumn="1" w:firstRow="1" w:lastColumn="0" w:lastRow="0" w:noHBand="0" w:noVBand="1" w:val="04A0"/>
      </w:tblPr>
      <w:tblGrid>
        <w:gridCol w:w="10080"/>
      </w:tblGrid>
      <w:tr>
        <w:trPr>
          <w:tblHeader w:val="true"/>
          <w:cantSplit/>
        </w:trPr>
        <w:tc>
          <w:tcPr>
            <w:tcW w:type="dxa" w:w="9504"/>
            <w:shd w:fill="1F4E78"/>
            <w:tcMar>
              <w:top w:w="90" w:type="dxa"/>
              <w:start w:w="100" w:type="dxa"/>
              <w:bottom w:w="90" w:type="dxa"/>
              <w:end w:w="100" w:type="dxa"/>
            </w:tcMar>
            <w:vAlign w:val="center"/>
          </w:tcPr>
          <w:p>
            <w:r>
              <w:rPr>
                <w:b/>
                <w:color w:val="FFFFFF"/>
                <w:sz w:val="18"/>
              </w:rPr>
              <w:t>Result</w:t>
            </w:r>
          </w:p>
        </w:tc>
      </w:tr>
      <w:tr>
        <w:trPr>
          <w:cantSplit/>
        </w:trPr>
        <w:tc>
          <w:tcPr>
            <w:tcW w:type="dxa" w:w="9504"/>
            <w:tcMar>
              <w:top w:w="90" w:type="dxa"/>
              <w:start w:w="100" w:type="dxa"/>
              <w:bottom w:w="90" w:type="dxa"/>
              <w:end w:w="100" w:type="dxa"/>
            </w:tcMar>
            <w:vAlign w:val="top"/>
            <w:shd w:fill="EAF2F8"/>
          </w:tcPr>
          <w:p>
            <w:pPr>
              <w:spacing w:after="40"/>
            </w:pPr>
            <w:r>
              <w:rPr>
                <w:sz w:val="17"/>
              </w:rPr>
              <w:t>The renderer loads under explicit, tested, environment-appropriate CSP rules; Electron permissions are denied by default; all prior behavior remains intact; automated and manual verification pass; and the clean branch is pushed for review.</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B6573"/>
        <w:sz w:val="16"/>
      </w:rPr>
      <w:t>HEALTH SCREENING OFFLINE DESKTOP APPLICATION  |  CODEX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ptos" w:hAnsi="Aptos"/>
      <w:b/>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ascadia Mono" w:hAnsi="Cascadia Mono"/>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HSD-004 Renderer Content Security Policy and Session Permissions - Codex Task</dc:title>
  <dc:subject>Health Screening Offline Desktop Application implementation task</dc:subject>
  <dc:creator>OpenAI</dc:creator>
  <cp:keywords>Electron, CSP, Content Security Policy, session permissions, Vitest, Codex, HSD-004</cp:keywords>
  <dc:description>generated by python-docx</dc:description>
  <cp:lastModifiedBy/>
  <cp:revision>1</cp:revision>
  <dcterms:created xsi:type="dcterms:W3CDTF">2013-12-23T23:15:00Z</dcterms:created>
  <dcterms:modified xsi:type="dcterms:W3CDTF">2013-12-23T23:15:00Z</dcterms:modified>
  <cp:category/>
</cp:coreProperties>
</file>