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HSD-003</w:t>
      </w:r>
    </w:p>
    <w:p>
      <w:pPr>
        <w:jc w:val="center"/>
      </w:pPr>
      <w:r>
        <w:rPr>
          <w:rFonts w:ascii="Aptos Display" w:hAnsi="Aptos Display"/>
          <w:b/>
          <w:color w:val="2F5597"/>
          <w:sz w:val="36"/>
        </w:rPr>
        <w:t>Electron BrowserWindow Hardening and Lifecycle</w:t>
      </w:r>
    </w:p>
    <w:p>
      <w:pPr>
        <w:pStyle w:val="Subtitle"/>
        <w:jc w:val="center"/>
      </w:pPr>
      <w:r>
        <w:t>Implementation task for OpenAI Codex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8064"/>
      </w:tblGrid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b/>
              </w:rPr>
              <w:t>Task ID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HSD-003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b/>
              </w:rPr>
              <w:t>Required branch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feature/hsd-003-window-hardening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b/>
              </w:rPr>
              <w:t>Starting point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Latest approved main containing HSD-001 and HSD-002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b/>
              </w:rPr>
              <w:t>Primary area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Electron main process only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b/>
              </w:rPr>
              <w:t>Required commit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feat: harden electron window lifecycle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r>
              <w:rPr>
                <w:b/>
              </w:rPr>
              <w:t>Review gate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Do not merge or begin HSD-004 until HSD-003 is reviewed and approved</w:t>
            </w:r>
          </w:p>
        </w:tc>
      </w:tr>
    </w:tbl>
    <w:p>
      <w:pPr>
        <w:pStyle w:val="Heading1"/>
        <w:keepNext/>
      </w:pPr>
      <w:r>
        <w:t>1. Goal</w:t>
      </w:r>
    </w:p>
    <w:p>
      <w:r>
        <w:t>Refactor and harden the Electron main-window bootstrap so the desktop application has an explicit, testable, single-window lifecycle and a defensive navigation policy. Preserve the HSD-001 placeholder renderer and the HSD-002 quality gates. This task must not introduce clinical workflows, persistence, authentication, routing, synchronization, or business IPC.</w:t>
      </w:r>
    </w:p>
    <w:p>
      <w:pPr>
        <w:pStyle w:val="Heading1"/>
        <w:keepNext/>
      </w:pPr>
      <w:r>
        <w:t>2. Preconditions</w:t>
      </w:r>
    </w:p>
    <w:p>
      <w:pPr>
        <w:pStyle w:val="ListNumber"/>
      </w:pPr>
      <w:r>
        <w:t>Confirm HSD-002 has been merged into main and pushed to GitHub.</w:t>
      </w:r>
    </w:p>
    <w:p>
      <w:pPr>
        <w:pStyle w:val="ListNumber"/>
      </w:pPr>
      <w:r>
        <w:t>Create the task branch from the latest remote main, not from the HSD-002 feature branch.</w:t>
      </w:r>
    </w:p>
    <w:p>
      <w:pPr>
        <w:pStyle w:val="CodeBlock"/>
        <w:keepLines/>
      </w:pPr>
      <w:r>
        <w:t>git switch main</w:t>
        <w:br/>
        <w:t>git pull origin main</w:t>
        <w:br/>
        <w:t>git switch -c feature/hsd-003-window-hardening</w:t>
      </w:r>
    </w:p>
    <w:p>
      <w:pPr>
        <w:pStyle w:val="ListNumber"/>
      </w:pPr>
      <w:r>
        <w:t>Confirm the working tree is clean before implementation.</w:t>
      </w:r>
    </w:p>
    <w:p>
      <w:pPr>
        <w:pStyle w:val="CodeBlock"/>
        <w:keepLines/>
      </w:pPr>
      <w:r>
        <w:t>git status</w:t>
        <w:br/>
        <w:t>git log -3 --oneline</w:t>
      </w:r>
    </w:p>
    <w:p>
      <w:pPr>
        <w:pStyle w:val="Heading1"/>
        <w:keepNext/>
      </w:pPr>
      <w:r>
        <w:t>3. Intended Structure</w:t>
      </w:r>
    </w:p>
    <w:p>
      <w:r>
        <w:t>Use the existing src/main/app area to separate policy, window construction, and lifecycle coordination. A suitable structure is:</w:t>
      </w:r>
    </w:p>
    <w:p>
      <w:pPr>
        <w:pStyle w:val="CodeBlock"/>
        <w:keepLines/>
      </w:pPr>
      <w:r>
        <w:t>src/main/</w:t>
        <w:br/>
        <w:t>├── app/</w:t>
        <w:br/>
        <w:t>│   ├── lifecycle.ts</w:t>
        <w:br/>
        <w:t>│   ├── main-window.ts</w:t>
        <w:br/>
        <w:t>│   ├── navigation-policy.ts</w:t>
        <w:br/>
        <w:t>│   └── window-options.ts</w:t>
        <w:br/>
        <w:t>└── index.ts</w:t>
        <w:br/>
        <w:br/>
        <w:t>tests/unit/main/</w:t>
        <w:br/>
        <w:t>├── navigation-policy.test.ts</w:t>
        <w:br/>
        <w:t>└── window-options.test.ts</w:t>
      </w:r>
    </w:p>
    <w:p>
      <w:r>
        <w:t>Equivalent filenames are acceptable when responsibilities remain clearly separated and src/main/index.ts becomes a thin bootstrap entry point.</w:t>
      </w:r>
    </w:p>
    <w:p>
      <w:pPr>
        <w:pStyle w:val="Heading1"/>
        <w:keepNext/>
      </w:pPr>
      <w:r>
        <w:t>4. Implementation Requirements</w:t>
      </w:r>
    </w:p>
    <w:p>
      <w:pPr>
        <w:pStyle w:val="Heading2"/>
        <w:keepNext/>
      </w:pPr>
      <w:r>
        <w:t>4.1 Thin main entry point</w:t>
      </w:r>
    </w:p>
    <w:p>
      <w:pPr>
        <w:pStyle w:val="ListBullet"/>
      </w:pPr>
      <w:r>
        <w:t>Keep src/main/index.ts focused on starting the application lifecycle.</w:t>
      </w:r>
    </w:p>
    <w:p>
      <w:pPr>
        <w:pStyle w:val="ListBullet"/>
      </w:pPr>
      <w:r>
        <w:t>Move BrowserWindow creation, window state, navigation rules, and app-event wiring into src/main/app modules.</w:t>
      </w:r>
    </w:p>
    <w:p>
      <w:pPr>
        <w:pStyle w:val="ListBullet"/>
      </w:pPr>
      <w:r>
        <w:t>Do not place database, authentication, clinical, synchronization, or generic IPC logic in these modules.</w:t>
      </w:r>
    </w:p>
    <w:p>
      <w:pPr>
        <w:pStyle w:val="Heading2"/>
        <w:keepNext/>
      </w:pPr>
      <w:r>
        <w:t>4.2 Secure BrowserWindow options</w:t>
      </w:r>
    </w:p>
    <w:p>
      <w:r>
        <w:t>Create the main window with explicit, centrally defined options. At minimum, webPreferences must include:</w:t>
      </w:r>
    </w:p>
    <w:p>
      <w:pPr>
        <w:pStyle w:val="ListBullet"/>
      </w:pPr>
      <w:r>
        <w:t>preload set to the built preload entry point</w:t>
      </w:r>
    </w:p>
    <w:p>
      <w:pPr>
        <w:pStyle w:val="ListBullet"/>
      </w:pPr>
      <w:r>
        <w:t>contextIsolation: true</w:t>
      </w:r>
    </w:p>
    <w:p>
      <w:pPr>
        <w:pStyle w:val="ListBullet"/>
      </w:pPr>
      <w:r>
        <w:t>nodeIntegration: false</w:t>
      </w:r>
    </w:p>
    <w:p>
      <w:pPr>
        <w:pStyle w:val="ListBullet"/>
      </w:pPr>
      <w:r>
        <w:t>sandbox: true</w:t>
      </w:r>
    </w:p>
    <w:p>
      <w:pPr>
        <w:pStyle w:val="ListBullet"/>
      </w:pPr>
      <w:r>
        <w:t>webSecurity: true</w:t>
      </w:r>
    </w:p>
    <w:p>
      <w:pPr>
        <w:pStyle w:val="ListBullet"/>
      </w:pPr>
      <w:r>
        <w:t>webviewTag: false</w:t>
      </w:r>
    </w:p>
    <w:p>
      <w:pPr>
        <w:pStyle w:val="ListBullet"/>
      </w:pPr>
      <w:r>
        <w:t>navigateOnDragDrop: false</w:t>
      </w:r>
    </w:p>
    <w:p>
      <w:pPr>
        <w:pStyle w:val="ListBullet"/>
      </w:pPr>
      <w:r>
        <w:t>devTools enabled only in development and disabled in packaged production</w:t>
      </w:r>
    </w:p>
    <w:p>
      <w:pPr>
        <w:pStyle w:val="ListBullet"/>
      </w:pPr>
      <w:r>
        <w:t>Keep the existing minimum window dimensions, application title, delayed show behavior, and platform icon behavior unless a small documented correction is necessary.</w:t>
      </w:r>
    </w:p>
    <w:p>
      <w:pPr>
        <w:pStyle w:val="ListBullet"/>
      </w:pPr>
      <w:r>
        <w:t>Do not use experimental Electron flags, disable web security, or expose Node.js to the renderer.</w:t>
      </w:r>
    </w:p>
    <w:p>
      <w:pPr>
        <w:pStyle w:val="Heading2"/>
        <w:keepNext/>
      </w:pPr>
      <w:r>
        <w:t>4.3 Single-window lifecycle</w:t>
      </w:r>
    </w:p>
    <w:p>
      <w:pPr>
        <w:pStyle w:val="ListBullet"/>
      </w:pPr>
      <w:r>
        <w:t>Request the single-instance lock synchronously before app readiness.</w:t>
      </w:r>
    </w:p>
    <w:p>
      <w:pPr>
        <w:pStyle w:val="ListBullet"/>
      </w:pPr>
      <w:r>
        <w:t>Quit immediately when the lock is not acquired.</w:t>
      </w:r>
    </w:p>
    <w:p>
      <w:pPr>
        <w:pStyle w:val="ListBullet"/>
      </w:pPr>
      <w:r>
        <w:t>Maintain one module-owned BrowserWindow reference.</w:t>
      </w:r>
    </w:p>
    <w:p>
      <w:pPr>
        <w:pStyle w:val="ListBullet"/>
      </w:pPr>
      <w:r>
        <w:t>createOrFocusMainWindow must focus the existing window instead of constructing a second one.</w:t>
      </w:r>
    </w:p>
    <w:p>
      <w:pPr>
        <w:pStyle w:val="ListBullet"/>
      </w:pPr>
      <w:r>
        <w:t>When the existing window is minimized, restore it before focusing it.</w:t>
      </w:r>
    </w:p>
    <w:p>
      <w:pPr>
        <w:pStyle w:val="ListBullet"/>
      </w:pPr>
      <w:r>
        <w:t>Set the reference to null when the main window closes.</w:t>
      </w:r>
    </w:p>
    <w:p>
      <w:pPr>
        <w:pStyle w:val="ListBullet"/>
      </w:pPr>
      <w:r>
        <w:t>On the second-instance event, restore and focus the primary window.</w:t>
      </w:r>
    </w:p>
    <w:p>
      <w:pPr>
        <w:pStyle w:val="ListBullet"/>
      </w:pPr>
      <w:r>
        <w:t>On macOS activate, recreate the window only when no window exists.</w:t>
      </w:r>
    </w:p>
    <w:p>
      <w:pPr>
        <w:pStyle w:val="ListBullet"/>
      </w:pPr>
      <w:r>
        <w:t>On Windows and Linux, quit after all windows close; preserve normal macOS behavior.</w:t>
      </w:r>
    </w:p>
    <w:p>
      <w:pPr>
        <w:pStyle w:val="Heading2"/>
        <w:keepNext/>
      </w:pPr>
      <w:r>
        <w:t>4.4 Loading policy</w:t>
      </w:r>
    </w:p>
    <w:p>
      <w:pPr>
        <w:pStyle w:val="ListBullet"/>
      </w:pPr>
      <w:r>
        <w:t>Development may load only the configured ELECTRON_RENDERER_URL.</w:t>
      </w:r>
    </w:p>
    <w:p>
      <w:pPr>
        <w:pStyle w:val="ListBullet"/>
      </w:pPr>
      <w:r>
        <w:t>Production must load the packaged local renderer index.html file.</w:t>
      </w:r>
    </w:p>
    <w:p>
      <w:pPr>
        <w:pStyle w:val="ListBullet"/>
      </w:pPr>
      <w:r>
        <w:t>Do not add remote production content, fallback websites, or externally hosted UI.</w:t>
      </w:r>
    </w:p>
    <w:p>
      <w:pPr>
        <w:pStyle w:val="ListBullet"/>
      </w:pPr>
      <w:r>
        <w:t>Return or await the load promise so failures can be observed and handled rather than silently ignored.</w:t>
      </w:r>
    </w:p>
    <w:p>
      <w:pPr>
        <w:pStyle w:val="Heading2"/>
        <w:keepNext/>
      </w:pPr>
      <w:r>
        <w:t>4.5 Navigation and child-window protection</w:t>
      </w:r>
    </w:p>
    <w:p>
      <w:pPr>
        <w:pStyle w:val="ListBullet"/>
      </w:pPr>
      <w:r>
        <w:t>Deny every renderer-created child window through webContents.setWindowOpenHandler.</w:t>
      </w:r>
    </w:p>
    <w:p>
      <w:pPr>
        <w:pStyle w:val="ListBullet"/>
      </w:pPr>
      <w:r>
        <w:t>Prevent unexpected top-level navigation through the will-navigate event.</w:t>
      </w:r>
    </w:p>
    <w:p>
      <w:pPr>
        <w:pStyle w:val="ListBullet"/>
      </w:pPr>
      <w:r>
        <w:t>In development, allow only navigation within the configured renderer development origin.</w:t>
      </w:r>
    </w:p>
    <w:p>
      <w:pPr>
        <w:pStyle w:val="ListBullet"/>
      </w:pPr>
      <w:r>
        <w:t>In production, allow only the packaged local application document or its same-document/in-page navigation.</w:t>
      </w:r>
    </w:p>
    <w:p>
      <w:pPr>
        <w:pStyle w:val="ListBullet"/>
      </w:pPr>
      <w:r>
        <w:t>Deny http, https, file paths outside the packaged renderer, javascript, data, and custom schemes unless explicitly identified as the active application URL.</w:t>
      </w:r>
    </w:p>
    <w:p>
      <w:pPr>
        <w:pStyle w:val="ListBullet"/>
      </w:pPr>
      <w:r>
        <w:t>Prevent webview attachment defensively through will-attach-webview even though webviewTag is disabled.</w:t>
      </w:r>
    </w:p>
    <w:p>
      <w:pPr>
        <w:pStyle w:val="ListBullet"/>
      </w:pPr>
      <w:r>
        <w:t>Do not call shell.openExternal in HSD-003; external-link policy belongs to a later reviewed task.</w:t>
      </w:r>
    </w:p>
    <w:p>
      <w:pPr>
        <w:pStyle w:val="Heading2"/>
        <w:keepNext/>
      </w:pPr>
      <w:r>
        <w:t>4.6 Failure visibility</w:t>
      </w:r>
    </w:p>
    <w:p>
      <w:pPr>
        <w:pStyle w:val="ListBullet"/>
      </w:pPr>
      <w:r>
        <w:t>Attach minimal handlers for render-process-gone and unresponsive so failures are visible in the main-process console.</w:t>
      </w:r>
    </w:p>
    <w:p>
      <w:pPr>
        <w:pStyle w:val="ListBullet"/>
      </w:pPr>
      <w:r>
        <w:t>Do not implement automatic reload loops, telemetry, crash reporting services, or user-facing recovery dialogs in this task.</w:t>
      </w:r>
    </w:p>
    <w:p>
      <w:pPr>
        <w:pStyle w:val="ListBullet"/>
      </w:pPr>
      <w:r>
        <w:t>Avoid logging PHI, credentials, local file contents, or environment values.</w:t>
      </w:r>
    </w:p>
    <w:p>
      <w:pPr>
        <w:pStyle w:val="Heading1"/>
        <w:keepNext/>
      </w:pPr>
      <w:r>
        <w:t>5. Test Requirements</w:t>
      </w:r>
    </w:p>
    <w:p>
      <w:r>
        <w:t>Keep unit tests deterministic and runnable in the existing Vitest Node environment without launching Electron.</w:t>
      </w:r>
    </w:p>
    <w:p>
      <w:pPr>
        <w:pStyle w:val="Heading2"/>
        <w:keepNext/>
      </w:pPr>
      <w:r>
        <w:t>5.1 Navigation-policy tests</w:t>
      </w:r>
    </w:p>
    <w:p>
      <w:pPr>
        <w:pStyle w:val="ListBullet"/>
      </w:pPr>
      <w:r>
        <w:t>Allow the exact development renderer URL.</w:t>
      </w:r>
    </w:p>
    <w:p>
      <w:pPr>
        <w:pStyle w:val="ListBullet"/>
      </w:pPr>
      <w:r>
        <w:t>Allow another path on the same development origin when the policy is origin-based.</w:t>
      </w:r>
    </w:p>
    <w:p>
      <w:pPr>
        <w:pStyle w:val="ListBullet"/>
      </w:pPr>
      <w:r>
        <w:t>Reject a different HTTP or HTTPS origin.</w:t>
      </w:r>
    </w:p>
    <w:p>
      <w:pPr>
        <w:pStyle w:val="ListBullet"/>
      </w:pPr>
      <w:r>
        <w:t>Reject javascript: and data: URLs.</w:t>
      </w:r>
    </w:p>
    <w:p>
      <w:pPr>
        <w:pStyle w:val="ListBullet"/>
      </w:pPr>
      <w:r>
        <w:t>Allow the intended packaged renderer file URL.</w:t>
      </w:r>
    </w:p>
    <w:p>
      <w:pPr>
        <w:pStyle w:val="ListBullet"/>
      </w:pPr>
      <w:r>
        <w:t>Reject unrelated local file URLs.</w:t>
      </w:r>
    </w:p>
    <w:p>
      <w:pPr>
        <w:pStyle w:val="ListBullet"/>
      </w:pPr>
      <w:r>
        <w:t>Handle malformed URLs by denying them instead of throwing.</w:t>
      </w:r>
    </w:p>
    <w:p>
      <w:pPr>
        <w:pStyle w:val="Heading2"/>
        <w:keepNext/>
      </w:pPr>
      <w:r>
        <w:t>5.2 Window-options tests</w:t>
      </w:r>
    </w:p>
    <w:p>
      <w:pPr>
        <w:pStyle w:val="ListBullet"/>
      </w:pPr>
      <w:r>
        <w:t>Assert contextIsolation is true.</w:t>
      </w:r>
    </w:p>
    <w:p>
      <w:pPr>
        <w:pStyle w:val="ListBullet"/>
      </w:pPr>
      <w:r>
        <w:t>Assert nodeIntegration is false.</w:t>
      </w:r>
    </w:p>
    <w:p>
      <w:pPr>
        <w:pStyle w:val="ListBullet"/>
      </w:pPr>
      <w:r>
        <w:t>Assert sandbox and webSecurity are true.</w:t>
      </w:r>
    </w:p>
    <w:p>
      <w:pPr>
        <w:pStyle w:val="ListBullet"/>
      </w:pPr>
      <w:r>
        <w:t>Assert webviewTag and navigateOnDragDrop are false.</w:t>
      </w:r>
    </w:p>
    <w:p>
      <w:pPr>
        <w:pStyle w:val="ListBullet"/>
      </w:pPr>
      <w:r>
        <w:t>Assert the expected preload path is used.</w:t>
      </w:r>
    </w:p>
    <w:p>
      <w:pPr>
        <w:pStyle w:val="ListBullet"/>
      </w:pPr>
      <w:r>
        <w:t>Assert production devTools are disabled and development devTools are enabled.</w:t>
      </w:r>
    </w:p>
    <w:p>
      <w:pPr>
        <w:pStyle w:val="Heading2"/>
        <w:keepNext/>
      </w:pPr>
      <w:r>
        <w:t>5.3 Testability constraint</w:t>
      </w:r>
    </w:p>
    <w:p>
      <w:r>
        <w:t>Extract pure policy and option-building functions. Do not solve the tests by launching BrowserWindow, relying on a graphical display, or adding a heavy Electron mocking framework.</w:t>
      </w:r>
    </w:p>
    <w:p>
      <w:pPr>
        <w:pStyle w:val="Heading1"/>
        <w:keepNext/>
      </w:pPr>
      <w:r>
        <w:t>6. Required Verification</w:t>
      </w:r>
    </w:p>
    <w:p>
      <w:r>
        <w:t>Run every command from the repository root and include the complete result in the Codex completion report:</w:t>
      </w:r>
    </w:p>
    <w:p>
      <w:pPr>
        <w:pStyle w:val="CodeBlock"/>
        <w:keepLines/>
      </w:pPr>
      <w:r>
        <w:t>pnpm format:check</w:t>
        <w:br/>
        <w:t>pnpm lint</w:t>
        <w:br/>
        <w:t>pnpm typecheck</w:t>
        <w:br/>
        <w:t>pnpm test</w:t>
        <w:br/>
        <w:t>pnpm verify</w:t>
        <w:br/>
        <w:t>pnpm build</w:t>
        <w:br/>
        <w:t>pnpm dev</w:t>
      </w:r>
    </w:p>
    <w:p>
      <w:r>
        <w:t>After pnpm dev starts, manually verify:</w:t>
      </w:r>
    </w:p>
    <w:p>
      <w:pPr>
        <w:pStyle w:val="ListBullet"/>
      </w:pPr>
      <w:r>
        <w:t>The placeholder application window still renders correctly.</w:t>
      </w:r>
    </w:p>
    <w:p>
      <w:pPr>
        <w:pStyle w:val="ListBullet"/>
      </w:pPr>
      <w:r>
        <w:t>Only one main window opens.</w:t>
      </w:r>
    </w:p>
    <w:p>
      <w:pPr>
        <w:pStyle w:val="ListBullet"/>
      </w:pPr>
      <w:r>
        <w:t>Closing the window exits the application on Windows.</w:t>
      </w:r>
    </w:p>
    <w:p>
      <w:pPr>
        <w:pStyle w:val="ListBullet"/>
      </w:pPr>
      <w:r>
        <w:t>Starting a second application instance does not leave a second window; the existing window is restored and focused.</w:t>
      </w:r>
    </w:p>
    <w:p>
      <w:pPr>
        <w:pStyle w:val="ListBullet"/>
      </w:pPr>
      <w:r>
        <w:t>No red runtime error appears in the terminal.</w:t>
      </w:r>
    </w:p>
    <w:p>
      <w:pPr>
        <w:pStyle w:val="ListBullet"/>
      </w:pPr>
      <w:r>
        <w:t>No external page or unexpected navigation opens from the application.</w:t>
      </w:r>
    </w:p>
    <w:p>
      <w:pPr>
        <w:pStyle w:val="Heading1"/>
        <w:keepNext/>
      </w:pPr>
      <w:r>
        <w:t>7.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440"/>
        <w:gridCol w:w="7776"/>
      </w:tblGrid>
      <w:tr>
        <w:trPr>
          <w:tblHeader w:val="true"/>
        </w:trPr>
        <w:tc>
          <w:tcPr>
            <w:tcW w:type="dxa" w:w="3360"/>
            <w:shd w:fill="2F5597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60"/>
            <w:shd w:fill="2F5597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60"/>
            <w:shd w:fill="2F5597"/>
          </w:tcPr>
          <w:p>
            <w:r>
              <w:rPr>
                <w:b/>
                <w:color w:val="FFFFFF"/>
              </w:rPr>
              <w:t>Criterion</w:t>
            </w:r>
          </w:p>
        </w:tc>
      </w:tr>
      <w:tr>
        <w:tc>
          <w:tcPr>
            <w:tcW w:type="dxa" w:w="115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AC-01</w:t>
            </w:r>
          </w:p>
        </w:tc>
        <w:tc>
          <w:tcPr>
            <w:tcW w:type="dxa" w:w="144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777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The branch is based on the latest approved main and contains only HSD-003 work.</w:t>
            </w:r>
          </w:p>
        </w:tc>
      </w:tr>
      <w:tr>
        <w:tc>
          <w:tcPr>
            <w:tcW w:type="dxa" w:w="115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AC-02</w:t>
            </w:r>
          </w:p>
        </w:tc>
        <w:tc>
          <w:tcPr>
            <w:tcW w:type="dxa" w:w="144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777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src/main/index.ts is a thin application bootstrap.</w:t>
            </w:r>
          </w:p>
        </w:tc>
      </w:tr>
      <w:tr>
        <w:tc>
          <w:tcPr>
            <w:tcW w:type="dxa" w:w="115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AC-03</w:t>
            </w:r>
          </w:p>
        </w:tc>
        <w:tc>
          <w:tcPr>
            <w:tcW w:type="dxa" w:w="144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777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BrowserWindow construction and lifecycle responsibilities are separated into focused main-process modules.</w:t>
            </w:r>
          </w:p>
        </w:tc>
      </w:tr>
      <w:tr>
        <w:tc>
          <w:tcPr>
            <w:tcW w:type="dxa" w:w="115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AC-04</w:t>
            </w:r>
          </w:p>
        </w:tc>
        <w:tc>
          <w:tcPr>
            <w:tcW w:type="dxa" w:w="144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777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The renderer remains sandboxed, isolated, and without Node integration.</w:t>
            </w:r>
          </w:p>
        </w:tc>
      </w:tr>
      <w:tr>
        <w:tc>
          <w:tcPr>
            <w:tcW w:type="dxa" w:w="115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AC-05</w:t>
            </w:r>
          </w:p>
        </w:tc>
        <w:tc>
          <w:tcPr>
            <w:tcW w:type="dxa" w:w="144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777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Popups, webviews, and unauthorized navigation are denied.</w:t>
            </w:r>
          </w:p>
        </w:tc>
      </w:tr>
      <w:tr>
        <w:tc>
          <w:tcPr>
            <w:tcW w:type="dxa" w:w="115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AC-06</w:t>
            </w:r>
          </w:p>
        </w:tc>
        <w:tc>
          <w:tcPr>
            <w:tcW w:type="dxa" w:w="144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777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The application enforces one primary instance and restores/focuses its existing window on a second launch.</w:t>
            </w:r>
          </w:p>
        </w:tc>
      </w:tr>
      <w:tr>
        <w:tc>
          <w:tcPr>
            <w:tcW w:type="dxa" w:w="115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AC-07</w:t>
            </w:r>
          </w:p>
        </w:tc>
        <w:tc>
          <w:tcPr>
            <w:tcW w:type="dxa" w:w="144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777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Window closing and macOS activation behavior are correct and platform-aware.</w:t>
            </w:r>
          </w:p>
        </w:tc>
      </w:tr>
      <w:tr>
        <w:tc>
          <w:tcPr>
            <w:tcW w:type="dxa" w:w="115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AC-08</w:t>
            </w:r>
          </w:p>
        </w:tc>
        <w:tc>
          <w:tcPr>
            <w:tcW w:type="dxa" w:w="144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777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Development loads only the configured local development origin; production loads only packaged local UI.</w:t>
            </w:r>
          </w:p>
        </w:tc>
      </w:tr>
      <w:tr>
        <w:tc>
          <w:tcPr>
            <w:tcW w:type="dxa" w:w="115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AC-09</w:t>
            </w:r>
          </w:p>
        </w:tc>
        <w:tc>
          <w:tcPr>
            <w:tcW w:type="dxa" w:w="144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777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Navigation and window-option policies have deterministic unit coverage.</w:t>
            </w:r>
          </w:p>
        </w:tc>
      </w:tr>
      <w:tr>
        <w:tc>
          <w:tcPr>
            <w:tcW w:type="dxa" w:w="115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AC-10</w:t>
            </w:r>
          </w:p>
        </w:tc>
        <w:tc>
          <w:tcPr>
            <w:tcW w:type="dxa" w:w="144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777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All HSD-002 quality gates and the production build pass.</w:t>
            </w:r>
          </w:p>
        </w:tc>
      </w:tr>
      <w:tr>
        <w:tc>
          <w:tcPr>
            <w:tcW w:type="dxa" w:w="115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AC-11</w:t>
            </w:r>
          </w:p>
        </w:tc>
        <w:tc>
          <w:tcPr>
            <w:tcW w:type="dxa" w:w="144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777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The existing placeholder renderer behavior is unchanged.</w:t>
            </w:r>
          </w:p>
        </w:tc>
      </w:tr>
      <w:tr>
        <w:tc>
          <w:tcPr>
            <w:tcW w:type="dxa" w:w="1152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AC-12</w:t>
            </w:r>
          </w:p>
        </w:tc>
        <w:tc>
          <w:tcPr>
            <w:tcW w:type="dxa" w:w="1440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7776"/>
            <w:tcMar>
              <w:top w:w="60" w:type="dxa"/>
              <w:start w:w="100" w:type="dxa"/>
              <w:bottom w:w="60" w:type="dxa"/>
              <w:end w:w="100" w:type="dxa"/>
            </w:tcMar>
            <w:vAlign w:val="center"/>
          </w:tcPr>
          <w:p>
            <w:r>
              <w:t>No out-of-scope clinical, database, authentication, routing, sync, print, or business IPC functionality is added.</w:t>
            </w:r>
          </w:p>
        </w:tc>
      </w:tr>
    </w:tbl>
    <w:p>
      <w:pPr>
        <w:pStyle w:val="Heading1"/>
        <w:keepNext/>
      </w:pPr>
      <w:r>
        <w:t>8. Explicitly Out of Scope</w:t>
      </w:r>
    </w:p>
    <w:p>
      <w:pPr>
        <w:pStyle w:val="ListBullet"/>
      </w:pPr>
      <w:r>
        <w:t>Typed business IPC contracts or IPC handlers (HSD-004)</w:t>
      </w:r>
    </w:p>
    <w:p>
      <w:pPr>
        <w:pStyle w:val="ListBullet"/>
      </w:pPr>
      <w:r>
        <w:t>Application shell, menus, or clinical workspace UI (HSD-005 and later)</w:t>
      </w:r>
    </w:p>
    <w:p>
      <w:pPr>
        <w:pStyle w:val="ListBullet"/>
      </w:pPr>
      <w:r>
        <w:t>Tailwind or final design-system work</w:t>
      </w:r>
    </w:p>
    <w:p>
      <w:pPr>
        <w:pStyle w:val="ListBullet"/>
      </w:pPr>
      <w:r>
        <w:t>Routing or protected routes</w:t>
      </w:r>
    </w:p>
    <w:p>
      <w:pPr>
        <w:pStyle w:val="ListBullet"/>
      </w:pPr>
      <w:r>
        <w:t>SQLite, migrations, repositories, or local persistence</w:t>
      </w:r>
    </w:p>
    <w:p>
      <w:pPr>
        <w:pStyle w:val="ListBullet"/>
      </w:pPr>
      <w:r>
        <w:t>Authentication, users, sessions, or inactivity lock</w:t>
      </w:r>
    </w:p>
    <w:p>
      <w:pPr>
        <w:pStyle w:val="ListBullet"/>
      </w:pPr>
      <w:r>
        <w:t>Patient, screening, referral, follow-up, reporting, sync, backup, or FHIR features</w:t>
      </w:r>
    </w:p>
    <w:p>
      <w:pPr>
        <w:pStyle w:val="ListBullet"/>
      </w:pPr>
      <w:r>
        <w:t>GitHub Actions CI</w:t>
      </w:r>
    </w:p>
    <w:p>
      <w:pPr>
        <w:pStyle w:val="ListBullet"/>
      </w:pPr>
      <w:r>
        <w:t>External-link opening, auto-update, crash-reporting services, or installer behavior</w:t>
      </w:r>
    </w:p>
    <w:p>
      <w:pPr>
        <w:pStyle w:val="Heading1"/>
        <w:keepNext/>
      </w:pPr>
      <w:r>
        <w:t>9. Commit and Push</w:t>
      </w:r>
    </w:p>
    <w:p>
      <w:pPr>
        <w:pStyle w:val="CodeBlock"/>
        <w:keepLines/>
      </w:pPr>
      <w:r>
        <w:t>git status</w:t>
        <w:br/>
        <w:t>git add .</w:t>
        <w:br/>
        <w:t>git commit -m "feat: harden electron window lifecycle"</w:t>
        <w:br/>
        <w:t>git push -u origin feature/hsd-003-window-hardening</w:t>
      </w:r>
    </w:p>
    <w:p>
      <w:pPr>
        <w:pStyle w:val="Heading1"/>
        <w:keepNext/>
      </w:pPr>
      <w:r>
        <w:t>10. Required Codex Completion Report</w:t>
      </w:r>
    </w:p>
    <w:p>
      <w:r>
        <w:t>Codex must finish with a concise report containing:</w:t>
      </w:r>
    </w:p>
    <w:p>
      <w:pPr>
        <w:pStyle w:val="ListBullet"/>
      </w:pPr>
      <w:r>
        <w:t>Files created and modified</w:t>
      </w:r>
    </w:p>
    <w:p>
      <w:pPr>
        <w:pStyle w:val="ListBullet"/>
      </w:pPr>
      <w:r>
        <w:t>Lifecycle design summary</w:t>
      </w:r>
    </w:p>
    <w:p>
      <w:pPr>
        <w:pStyle w:val="ListBullet"/>
      </w:pPr>
      <w:r>
        <w:t>Exact BrowserWindow security settings</w:t>
      </w:r>
    </w:p>
    <w:p>
      <w:pPr>
        <w:pStyle w:val="ListBullet"/>
      </w:pPr>
      <w:r>
        <w:t>Navigation policy summary</w:t>
      </w:r>
    </w:p>
    <w:p>
      <w:pPr>
        <w:pStyle w:val="ListBullet"/>
      </w:pPr>
      <w:r>
        <w:t>Unit tests added and number of passing tests</w:t>
      </w:r>
    </w:p>
    <w:p>
      <w:pPr>
        <w:pStyle w:val="ListBullet"/>
      </w:pPr>
      <w:r>
        <w:t>Results for format:check, lint, typecheck, test, verify, build, and dev</w:t>
      </w:r>
    </w:p>
    <w:p>
      <w:pPr>
        <w:pStyle w:val="ListBullet"/>
      </w:pPr>
      <w:r>
        <w:t>Manual single-instance and window-close verification result</w:t>
      </w:r>
    </w:p>
    <w:p>
      <w:pPr>
        <w:pStyle w:val="ListBullet"/>
      </w:pPr>
      <w:r>
        <w:t>Final branch name and full commit SHA</w:t>
      </w:r>
    </w:p>
    <w:p>
      <w:pPr>
        <w:pStyle w:val="ListBullet"/>
      </w:pPr>
      <w:r>
        <w:t>Any limitation or deviation from this task, stated explicitly</w:t>
      </w:r>
    </w:p>
    <w:p>
      <w:pPr>
        <w:pStyle w:val="Heading1"/>
        <w:keepNext/>
      </w:pPr>
      <w:r>
        <w:t>11. Copy-Paste Instruction for Codex</w:t>
      </w:r>
    </w:p>
    <w:p>
      <w:pPr>
        <w:pStyle w:val="CodeBlock"/>
        <w:keepLines/>
      </w:pPr>
      <w:r>
        <w:t>Implement HSD-003 exactly as specified in this document.</w:t>
        <w:br/>
        <w:br/>
        <w:t>Work only on branch feature/hsd-003-window-hardening created from the latest approved main. Refactor the Electron main-process bootstrap into focused lifecycle, main-window, navigation-policy, and window-options modules. Preserve the existing renderer and preload behavior. Enforce one application instance, secure BrowserWindow defaults, denied child windows and webviews, and a testable allowlist-based navigation policy. Add deterministic Vitest unit tests without launching Electron. Do not add clinical workflows, database access, authentication, routing, synchronization, business IPC, external-link opening, CI, or installer work.</w:t>
        <w:br/>
        <w:br/>
        <w:t>Run all required verification commands, manually validate the desktop window and single-instance behavior, commit with feat: harden electron window lifecycle, push the branch, and provide the required completion report.</w:t>
      </w:r>
    </w:p>
    <w:p>
      <w:pPr>
        <w:pStyle w:val="Heading1"/>
        <w:keepNext/>
      </w:pPr>
      <w:r>
        <w:t>12. Implementation Reference</w:t>
      </w:r>
    </w:p>
    <w:p>
      <w:r>
        <w:t>Use the Electron documentation for BrowserWindow/WebPreferences, app single-instance lifecycle, webContents navigation events, window-open handling, process sandboxing, and the Electron security checklist. Do not copy deprecated APIs from old examples.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HSD-003 | Electron Window Hardening and Lifecycle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Health Screening Offline Desktop | Controlled Codex Task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173"/>
      <w:shd w:fill="F3F6FA"/>
    </w:pPr>
    <w:rPr>
      <w:rFonts w:ascii="Cascadia Mono" w:hAnsi="Cascadia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