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80"/>
        <w:jc w:val="center"/>
      </w:pPr>
      <w:r>
        <w:rPr>
          <w:rFonts w:ascii="Aptos Display" w:hAnsi="Aptos Display"/>
          <w:b/>
          <w:color w:val="4472C4"/>
          <w:sz w:val="76"/>
        </w:rPr>
        <w:t>HSD-005</w:t>
      </w:r>
    </w:p>
    <w:p>
      <w:pPr>
        <w:pStyle w:val="Title"/>
        <w:jc w:val="center"/>
      </w:pPr>
      <w:r>
        <w:t>Typed IPC Contracts and</w:t>
        <w:br/>
        <w:t>Secure Preload Bridge</w:t>
      </w:r>
    </w:p>
    <w:p>
      <w:pPr>
        <w:pStyle w:val="Subtitle"/>
        <w:jc w:val="center"/>
      </w:pPr>
      <w:r>
        <w:t>Bounded Codex Implementation Task</w:t>
      </w:r>
    </w:p>
    <w:p>
      <w:pPr>
        <w:spacing w:before="480"/>
        <w:jc w:val="center"/>
      </w:pPr>
      <w:r>
        <w:rPr>
          <w:b/>
          <w:color w:val="163A5F"/>
          <w:sz w:val="26"/>
        </w:rPr>
        <w:t>Health Screening Offline Desktop Application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4824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24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Required value</w:t>
            </w:r>
          </w:p>
        </w:tc>
      </w:tr>
      <w:tr>
        <w:trPr>
          <w:cantSplit/>
        </w:trPr>
        <w:tc>
          <w:tcPr>
            <w:tcW w:type="dxa" w:w="48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Task ID</w:t>
            </w:r>
          </w:p>
        </w:tc>
        <w:tc>
          <w:tcPr>
            <w:tcW w:type="dxa" w:w="48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HSD-005</w:t>
            </w:r>
          </w:p>
        </w:tc>
      </w:tr>
      <w:tr>
        <w:trPr>
          <w:cantSplit/>
        </w:trPr>
        <w:tc>
          <w:tcPr>
            <w:tcW w:type="dxa" w:w="48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Status</w:t>
            </w:r>
          </w:p>
        </w:tc>
        <w:tc>
          <w:tcPr>
            <w:tcW w:type="dxa" w:w="48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Ready for implementation after HSD-004 is merged into main</w:t>
            </w:r>
          </w:p>
        </w:tc>
      </w:tr>
      <w:tr>
        <w:trPr>
          <w:cantSplit/>
        </w:trPr>
        <w:tc>
          <w:tcPr>
            <w:tcW w:type="dxa" w:w="48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Branch</w:t>
            </w:r>
          </w:p>
        </w:tc>
        <w:tc>
          <w:tcPr>
            <w:tcW w:type="dxa" w:w="48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feature/hsd-005-typed-ipc-foundation</w:t>
            </w:r>
          </w:p>
        </w:tc>
      </w:tr>
      <w:tr>
        <w:trPr>
          <w:cantSplit/>
        </w:trPr>
        <w:tc>
          <w:tcPr>
            <w:tcW w:type="dxa" w:w="48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Primary commit</w:t>
            </w:r>
          </w:p>
        </w:tc>
        <w:tc>
          <w:tcPr>
            <w:tcW w:type="dxa" w:w="48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feat: establish typed ipc foundation</w:t>
            </w:r>
          </w:p>
        </w:tc>
      </w:tr>
      <w:tr>
        <w:trPr>
          <w:cantSplit/>
        </w:trPr>
        <w:tc>
          <w:tcPr>
            <w:tcW w:type="dxa" w:w="48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Delivery boundary</w:t>
            </w:r>
          </w:p>
        </w:tc>
        <w:tc>
          <w:tcPr>
            <w:tcW w:type="dxa" w:w="48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Secure desktop engineering foundation only; no clinical workflow or persistence</w:t>
            </w:r>
          </w:p>
        </w:tc>
      </w:tr>
      <w:tr>
        <w:trPr>
          <w:cantSplit/>
        </w:trPr>
        <w:tc>
          <w:tcPr>
            <w:tcW w:type="dxa" w:w="48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Target platform</w:t>
            </w:r>
          </w:p>
        </w:tc>
        <w:tc>
          <w:tcPr>
            <w:tcW w:type="dxa" w:w="48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Windows-first Electron desktop application</w:t>
            </w:r>
          </w:p>
        </w:tc>
      </w:tr>
    </w:tbl>
    <w:p/>
    <w:p>
      <w:pPr>
        <w:spacing w:before="160"/>
        <w:jc w:val="center"/>
      </w:pPr>
      <w:r>
        <w:rPr>
          <w:i/>
          <w:color w:val="5B6573"/>
          <w:sz w:val="18"/>
        </w:rPr>
        <w:t>Implementation must preserve the approved HSD-001 through HSD-004 baseline.</w:t>
      </w:r>
    </w:p>
    <w:p>
      <w:r>
        <w:br w:type="page"/>
      </w:r>
    </w:p>
    <w:p>
      <w:pPr>
        <w:pStyle w:val="Heading1"/>
      </w:pPr>
      <w:r>
        <w:t>1. Task Brief</w:t>
      </w:r>
    </w:p>
    <w:p>
      <w:r>
        <w:t>HSD-005 replaces the direct synchronous bootstrap object with a narrowly allowlisted, asynchronous, typed IPC boundary. The task introduces shared request/response schemas, explicit application information and health operations, main-process sender validation, safe error envelopes, deterministic handler registration, and a secure contextBridge API. It must not introduce patient data, authentication, SQLite, business workflows, generic IPC, or renderer access to Electron primitives.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3024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6624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Required outcome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Shared contracts</w:t>
            </w:r>
          </w:p>
        </w:tc>
        <w:tc>
          <w:tcPr>
            <w:tcW w:type="dxa" w:w="66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One source of truth defines channel names, request schemas, response schemas, result envelopes, and safe error codes.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Main process</w:t>
            </w:r>
          </w:p>
        </w:tc>
        <w:tc>
          <w:tcPr>
            <w:tcW w:type="dxa" w:w="66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Only explicit app.getInfo and app.getHealth handlers are registered. Each request is validated, sender-authorized, safely executed, and response-validated.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Preload bridge</w:t>
            </w:r>
          </w:p>
        </w:tc>
        <w:tc>
          <w:tcPr>
            <w:tcW w:type="dxa" w:w="66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window.healthScreening exposes only app.getInfo() and app.getHealth(). No raw ipcRenderer, channel argument, callback registration, or generic invoke method is exposed.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Renderer</w:t>
            </w:r>
          </w:p>
        </w:tc>
        <w:tc>
          <w:tcPr>
            <w:tcW w:type="dxa" w:w="66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The existing engineering-foundation screen consumes the asynchronous preload API without a visual redesign or feature claim.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Testing</w:t>
            </w:r>
          </w:p>
        </w:tc>
        <w:tc>
          <w:tcPr>
            <w:tcW w:type="dxa" w:w="66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Pure deterministic tests cover schemas, sender policy, safe errors, handler registration, preload wrappers, and regression behavior without launching Electron.</w:t>
            </w:r>
          </w:p>
        </w:tc>
      </w:tr>
    </w:tbl>
    <w:p/>
    <w:p>
      <w:pPr>
        <w:pStyle w:val="Heading1"/>
      </w:pPr>
      <w:r>
        <w:t>2. Prerequisite and Branch Setup</w:t>
      </w:r>
    </w:p>
    <w:p>
      <w:r>
        <w:t>HSD-004 must be fully approved and merged before this task begins.</w:t>
      </w:r>
    </w:p>
    <w:p>
      <w:pPr>
        <w:pStyle w:val="CodeBlock"/>
      </w:pPr>
      <w:r>
        <w:rPr>
          <w:sz w:val="17"/>
        </w:rPr>
        <w:t>git switch main</w:t>
        <w:br/>
        <w:t>git pull origin main</w:t>
        <w:br/>
        <w:t>git merge --no-ff feature/hsd-004-renderer-csp -m "merge: complete HSD-004 renderer CSP and session permissions"</w:t>
        <w:br/>
        <w:t>git push origin main</w:t>
        <w:br/>
        <w:t>git switch -c feature/hsd-005-typed-ipc-foundation</w:t>
      </w:r>
    </w:p>
    <w:p>
      <w:r>
        <w:t>Before implementation, record the baseline:</w:t>
      </w:r>
    </w:p>
    <w:p>
      <w:pPr>
        <w:pStyle w:val="CodeBlock"/>
      </w:pPr>
      <w:r>
        <w:rPr>
          <w:sz w:val="17"/>
        </w:rPr>
        <w:t>git status</w:t>
        <w:br/>
        <w:t>git log -5 --oneline</w:t>
      </w:r>
    </w:p>
    <w:p>
      <w:pPr>
        <w:pStyle w:val="ListBullet"/>
      </w:pPr>
      <w:r>
        <w:t>The working tree must be clean.</w:t>
      </w:r>
    </w:p>
    <w:p>
      <w:pPr>
        <w:pStyle w:val="ListBullet"/>
      </w:pPr>
      <w:r>
        <w:t>The branch must start from the HSD-004 merge commit on main.</w:t>
      </w:r>
    </w:p>
    <w:p>
      <w:pPr>
        <w:pStyle w:val="ListBullet"/>
      </w:pPr>
      <w:r>
        <w:t>Do not branch from feature/hsd-004-renderer-csp.</w:t>
      </w:r>
    </w:p>
    <w:p>
      <w:pPr>
        <w:pStyle w:val="ListBullet"/>
      </w:pPr>
      <w:r>
        <w:t>Copy this task document into doc/ without editing its requirements.</w:t>
      </w:r>
    </w:p>
    <w:p>
      <w:pPr>
        <w:pStyle w:val="Heading1"/>
      </w:pPr>
      <w:r>
        <w:t>3. Goal</w:t>
      </w:r>
    </w:p>
    <w:p>
      <w:r>
        <w:t>Create the smallest secure IPC foundation needed for later offline application modules. The renderer must be able to request safe application metadata and shell-health information through a typed preload API, while the trusted main process remains authoritative for validation, sender authorization, execution, and error mapping.</w:t>
      </w:r>
    </w:p>
    <w:p>
      <w:pPr>
        <w:pStyle w:val="Heading1"/>
      </w:pPr>
      <w:r>
        <w:t>4. Architectural and Security Invariants</w:t>
      </w:r>
    </w:p>
    <w:p>
      <w:pPr>
        <w:pStyle w:val="ListBullet"/>
      </w:pPr>
      <w:r>
        <w:t>The renderer remains an untrusted presentation layer and cannot import Electron, Node.js, main-process modules, filesystem APIs, or database code.</w:t>
      </w:r>
    </w:p>
    <w:p>
      <w:pPr>
        <w:pStyle w:val="ListBullet"/>
      </w:pPr>
      <w:r>
        <w:t>Every renderer-to-main operation has one explicit, namespaced channel and one explicit preload method.</w:t>
      </w:r>
    </w:p>
    <w:p>
      <w:pPr>
        <w:pStyle w:val="ListBullet"/>
      </w:pPr>
      <w:r>
        <w:t>No renderer-controlled channel string is accepted anywhere in the exposed API.</w:t>
      </w:r>
    </w:p>
    <w:p>
      <w:pPr>
        <w:pStyle w:val="ListBullet"/>
      </w:pPr>
      <w:r>
        <w:t>Use ipcRenderer.invoke paired with ipcMain.handle for request/response operations. Do not use synchronous IPC.</w:t>
      </w:r>
    </w:p>
    <w:p>
      <w:pPr>
        <w:pStyle w:val="ListBullet"/>
      </w:pPr>
      <w:r>
        <w:t>Every main-process handler validates the sender frame before processing the request.</w:t>
      </w:r>
    </w:p>
    <w:p>
      <w:pPr>
        <w:pStyle w:val="ListBullet"/>
      </w:pPr>
      <w:r>
        <w:t>Every request and response is runtime-validated at the trusted boundary.</w:t>
      </w:r>
    </w:p>
    <w:p>
      <w:pPr>
        <w:pStyle w:val="ListBullet"/>
      </w:pPr>
      <w:r>
        <w:t>Renderer-visible failures use stable codes and safe messages; stacks, paths, raw exceptions, and payloads remain in the trusted process.</w:t>
      </w:r>
    </w:p>
    <w:p>
      <w:pPr>
        <w:pStyle w:val="ListBullet"/>
      </w:pPr>
      <w:r>
        <w:t>The bridge exposes structured-clone-safe plain data only. Do not expose Electron event objects, functions received from main, class instances, Node objects, or mutable privileged references.</w:t>
      </w:r>
    </w:p>
    <w:p>
      <w:pPr>
        <w:pStyle w:val="ListBullet"/>
      </w:pPr>
      <w:r>
        <w:t>Handler registration is deterministic and cannot accumulate duplicate handlers across tests, reloads, or lifecycle re-entry.</w:t>
      </w:r>
    </w:p>
    <w:p>
      <w:pPr>
        <w:pStyle w:val="ListBullet"/>
      </w:pPr>
      <w:r>
        <w:t>HSD-003 window/navigation hardening and HSD-004 CSP/session security must not be relaxed.</w:t>
      </w:r>
    </w:p>
    <w:p>
      <w:pPr>
        <w:pStyle w:val="Heading1"/>
      </w:pPr>
      <w:r>
        <w:t>5. Scope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4824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In scope</w:t>
            </w:r>
          </w:p>
        </w:tc>
        <w:tc>
          <w:tcPr>
            <w:tcW w:type="dxa" w:w="4824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Out of scope</w:t>
            </w:r>
          </w:p>
        </w:tc>
      </w:tr>
      <w:tr>
        <w:trPr>
          <w:cantSplit/>
        </w:trPr>
        <w:tc>
          <w:tcPr>
            <w:tcW w:type="dxa" w:w="48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Shared IPC channel constants and Zod schemas</w:t>
            </w:r>
          </w:p>
        </w:tc>
        <w:tc>
          <w:tcPr>
            <w:tcW w:type="dxa" w:w="48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Patient, screening, referral, follow-up, report, sync, backup, or settings operations</w:t>
            </w:r>
          </w:p>
        </w:tc>
      </w:tr>
      <w:tr>
        <w:trPr>
          <w:cantSplit/>
        </w:trPr>
        <w:tc>
          <w:tcPr>
            <w:tcW w:type="dxa" w:w="48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Typed success/failure result envelope and safe error codes</w:t>
            </w:r>
          </w:p>
        </w:tc>
        <w:tc>
          <w:tcPr>
            <w:tcW w:type="dxa" w:w="48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Authentication, users, roles, permissions, session lock, or first-run setup</w:t>
            </w:r>
          </w:p>
        </w:tc>
      </w:tr>
      <w:tr>
        <w:trPr>
          <w:cantSplit/>
        </w:trPr>
        <w:tc>
          <w:tcPr>
            <w:tcW w:type="dxa" w:w="48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Explicit app.getInfo and app.getHealth operations</w:t>
            </w:r>
          </w:p>
        </w:tc>
        <w:tc>
          <w:tcPr>
            <w:tcW w:type="dxa" w:w="48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SQLite, better-sqlite3, migrations, repositories, transactions, audit, or outbox</w:t>
            </w:r>
          </w:p>
        </w:tc>
      </w:tr>
      <w:tr>
        <w:trPr>
          <w:cantSplit/>
        </w:trPr>
        <w:tc>
          <w:tcPr>
            <w:tcW w:type="dxa" w:w="48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Main-frame and trusted-origin sender validation</w:t>
            </w:r>
          </w:p>
        </w:tc>
        <w:tc>
          <w:tcPr>
            <w:tcW w:type="dxa" w:w="48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Custom protocol, additional BrowserWindows, shell integration, downloads, or notifications</w:t>
            </w:r>
          </w:p>
        </w:tc>
      </w:tr>
      <w:tr>
        <w:trPr>
          <w:cantSplit/>
        </w:trPr>
        <w:tc>
          <w:tcPr>
            <w:tcW w:type="dxa" w:w="48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Safe ipcMain.handle registration and removal</w:t>
            </w:r>
          </w:p>
        </w:tc>
        <w:tc>
          <w:tcPr>
            <w:tcW w:type="dxa" w:w="48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Generic RPC framework, dynamic channel dispatch, event bus, subscriptions, streaming, or push events</w:t>
            </w:r>
          </w:p>
        </w:tc>
      </w:tr>
      <w:tr>
        <w:trPr>
          <w:cantSplit/>
        </w:trPr>
        <w:tc>
          <w:tcPr>
            <w:tcW w:type="dxa" w:w="48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Secure preload wrappers using ipcRenderer.invoke</w:t>
            </w:r>
          </w:p>
        </w:tc>
        <w:tc>
          <w:tcPr>
            <w:tcW w:type="dxa" w:w="48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Exposing ipcRenderer, ipcMain, contextBridge, WebContents, Session, process, or Node globals to the renderer</w:t>
            </w:r>
          </w:p>
        </w:tc>
      </w:tr>
      <w:tr>
        <w:trPr>
          <w:cantSplit/>
        </w:trPr>
        <w:tc>
          <w:tcPr>
            <w:tcW w:type="dxa" w:w="48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Minimal asynchronous renderer integration</w:t>
            </w:r>
          </w:p>
        </w:tc>
        <w:tc>
          <w:tcPr>
            <w:tcW w:type="dxa" w:w="48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React Router, Tailwind, state libraries, component libraries, or application redesign</w:t>
            </w:r>
          </w:p>
        </w:tc>
      </w:tr>
      <w:tr>
        <w:trPr>
          <w:cantSplit/>
        </w:trPr>
        <w:tc>
          <w:tcPr>
            <w:tcW w:type="dxa" w:w="48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Unit tests and IPC documentation</w:t>
            </w:r>
          </w:p>
        </w:tc>
        <w:tc>
          <w:tcPr>
            <w:tcW w:type="dxa" w:w="482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CI, installer, code signing, packaging changes, telemetry, or remote services</w:t>
            </w:r>
          </w:p>
        </w:tc>
      </w:tr>
    </w:tbl>
    <w:p/>
    <w:p>
      <w:pPr>
        <w:pStyle w:val="Heading1"/>
      </w:pPr>
      <w:r>
        <w:t>6. Required Files</w:t>
      </w:r>
    </w:p>
    <w:p>
      <w:r>
        <w:t>Equivalent names are acceptable only when the same separation of responsibilities is preserved. Do not collapse contracts, Electron wiring, and renderer code into one file.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3528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1152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4968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rPr>
          <w:cantSplit/>
        </w:trPr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package.json and pnpm-lock.yaml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Modify</w:t>
            </w:r>
          </w:p>
        </w:tc>
        <w:tc>
          <w:tcPr>
            <w:tcW w:type="dxa" w:w="49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Add Zod as a runtime dependency and preserve the pinned package-manager and existing dependency policy.</w:t>
            </w:r>
          </w:p>
        </w:tc>
      </w:tr>
      <w:tr>
        <w:trPr>
          <w:cantSplit/>
        </w:trPr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src/shared/ipc/channels.ts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Create</w:t>
            </w:r>
          </w:p>
        </w:tc>
        <w:tc>
          <w:tcPr>
            <w:tcW w:type="dxa" w:w="49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Readonly namespaced channel catalog for app:get-info and app:get-health only.</w:t>
            </w:r>
          </w:p>
        </w:tc>
      </w:tr>
      <w:tr>
        <w:trPr>
          <w:cantSplit/>
        </w:trPr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src/shared/ipc/result.ts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Create</w:t>
            </w:r>
          </w:p>
        </w:tc>
        <w:tc>
          <w:tcPr>
            <w:tcW w:type="dxa" w:w="49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Typed success/failure envelope, safe IPC error schema, and result-schema factory.</w:t>
            </w:r>
          </w:p>
        </w:tc>
      </w:tr>
      <w:tr>
        <w:trPr>
          <w:cantSplit/>
        </w:trPr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src/shared/ipc/app-contracts.ts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Create</w:t>
            </w:r>
          </w:p>
        </w:tc>
        <w:tc>
          <w:tcPr>
            <w:tcW w:type="dxa" w:w="49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Strict request and response schemas plus inferred TypeScript types for the two app operations.</w:t>
            </w:r>
          </w:p>
        </w:tc>
      </w:tr>
      <w:tr>
        <w:trPr>
          <w:cantSplit/>
        </w:trPr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src/shared/ipc/index.ts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Create</w:t>
            </w:r>
          </w:p>
        </w:tc>
        <w:tc>
          <w:tcPr>
            <w:tcW w:type="dxa" w:w="49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Narrow public exports for shared IPC contracts.</w:t>
            </w:r>
          </w:p>
        </w:tc>
      </w:tr>
      <w:tr>
        <w:trPr>
          <w:cantSplit/>
        </w:trPr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src/main/ipc/sender-policy.ts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Create</w:t>
            </w:r>
          </w:p>
        </w:tc>
        <w:tc>
          <w:tcPr>
            <w:tcW w:type="dxa" w:w="49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Pure main-frame and navigation-policy sender decision logic.</w:t>
            </w:r>
          </w:p>
        </w:tc>
      </w:tr>
      <w:tr>
        <w:trPr>
          <w:cantSplit/>
        </w:trPr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src/main/ipc/register-handlers.ts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Create</w:t>
            </w:r>
          </w:p>
        </w:tc>
        <w:tc>
          <w:tcPr>
            <w:tcW w:type="dxa" w:w="49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Register and dispose the exact application handlers without duplicate accumulation.</w:t>
            </w:r>
          </w:p>
        </w:tc>
      </w:tr>
      <w:tr>
        <w:trPr>
          <w:cantSplit/>
        </w:trPr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src/main/ipc/handlers/app-handlers.ts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Create</w:t>
            </w:r>
          </w:p>
        </w:tc>
        <w:tc>
          <w:tcPr>
            <w:tcW w:type="dxa" w:w="49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Validated app.getInfo and app.getHealth handler implementations with safe result mapping.</w:t>
            </w:r>
          </w:p>
        </w:tc>
      </w:tr>
      <w:tr>
        <w:trPr>
          <w:cantSplit/>
        </w:trPr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src/main/app/application-info.ts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Create</w:t>
            </w:r>
          </w:p>
        </w:tc>
        <w:tc>
          <w:tcPr>
            <w:tcW w:type="dxa" w:w="49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Build safe metadata and shell-health responses without exposing paths, hostnames, identifiers, or secrets.</w:t>
            </w:r>
          </w:p>
        </w:tc>
      </w:tr>
      <w:tr>
        <w:trPr>
          <w:cantSplit/>
        </w:trPr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src/main/app/lifecycle.ts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Modify</w:t>
            </w:r>
          </w:p>
        </w:tc>
        <w:tc>
          <w:tcPr>
            <w:tcW w:type="dxa" w:w="49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Create one navigation policy, configure security, register IPC, and only then create/load the main window.</w:t>
            </w:r>
          </w:p>
        </w:tc>
      </w:tr>
      <w:tr>
        <w:trPr>
          <w:cantSplit/>
        </w:trPr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src/main/app/main-window.ts or navigation-policy.ts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Modify if needed</w:t>
            </w:r>
          </w:p>
        </w:tc>
        <w:tc>
          <w:tcPr>
            <w:tcW w:type="dxa" w:w="49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Share the same approved navigation policy with window guards and IPC sender validation; do not duplicate trust rules.</w:t>
            </w:r>
          </w:p>
        </w:tc>
      </w:tr>
      <w:tr>
        <w:trPr>
          <w:cantSplit/>
        </w:trPr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src/preload/api.ts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Create</w:t>
            </w:r>
          </w:p>
        </w:tc>
        <w:tc>
          <w:tcPr>
            <w:tcW w:type="dxa" w:w="49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Pure factory that builds the fixed HealthScreeningApi from an injected invoke function for deterministic tests.</w:t>
            </w:r>
          </w:p>
        </w:tc>
      </w:tr>
      <w:tr>
        <w:trPr>
          <w:cantSplit/>
        </w:trPr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src/preload/index.ts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Modify</w:t>
            </w:r>
          </w:p>
        </w:tc>
        <w:tc>
          <w:tcPr>
            <w:tcW w:type="dxa" w:w="49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Expose the fixed API through contextBridge; Electron imports remain here.</w:t>
            </w:r>
          </w:p>
        </w:tc>
      </w:tr>
      <w:tr>
        <w:trPr>
          <w:cantSplit/>
        </w:trPr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src/preload/index.d.ts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Modify</w:t>
            </w:r>
          </w:p>
        </w:tc>
        <w:tc>
          <w:tcPr>
            <w:tcW w:type="dxa" w:w="49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Declare window.healthScreening from the shared API type.</w:t>
            </w:r>
          </w:p>
        </w:tc>
      </w:tr>
      <w:tr>
        <w:trPr>
          <w:cantSplit/>
        </w:trPr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src/renderer/src/app/App.tsx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Modify minimally</w:t>
            </w:r>
          </w:p>
        </w:tc>
        <w:tc>
          <w:tcPr>
            <w:tcW w:type="dxa" w:w="49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Consume app.getInfo and app.getHealth asynchronously while preserving the existing foundation screen.</w:t>
            </w:r>
          </w:p>
        </w:tc>
      </w:tr>
      <w:tr>
        <w:trPr>
          <w:cantSplit/>
        </w:trPr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tests/unit/shared/ipc-contracts.test.ts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Create</w:t>
            </w:r>
          </w:p>
        </w:tc>
        <w:tc>
          <w:tcPr>
            <w:tcW w:type="dxa" w:w="49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Schema, envelope, strict-object, and serialization-safe contract tests.</w:t>
            </w:r>
          </w:p>
        </w:tc>
      </w:tr>
      <w:tr>
        <w:trPr>
          <w:cantSplit/>
        </w:trPr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tests/unit/main/ipc-sender-policy.test.ts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Create</w:t>
            </w:r>
          </w:p>
        </w:tc>
        <w:tc>
          <w:tcPr>
            <w:tcW w:type="dxa" w:w="49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Trusted main-frame and rejected sender cases.</w:t>
            </w:r>
          </w:p>
        </w:tc>
      </w:tr>
      <w:tr>
        <w:trPr>
          <w:cantSplit/>
        </w:trPr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tests/unit/main/app-ipc-handlers.test.ts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Create</w:t>
            </w:r>
          </w:p>
        </w:tc>
        <w:tc>
          <w:tcPr>
            <w:tcW w:type="dxa" w:w="49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Handler success, validation, forbidden sender, exception mapping, and response validation tests.</w:t>
            </w:r>
          </w:p>
        </w:tc>
      </w:tr>
      <w:tr>
        <w:trPr>
          <w:cantSplit/>
        </w:trPr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tests/unit/preload/preload-api.test.ts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Create</w:t>
            </w:r>
          </w:p>
        </w:tc>
        <w:tc>
          <w:tcPr>
            <w:tcW w:type="dxa" w:w="49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Fixed-channel wrapper tests with a mocked invoke function.</w:t>
            </w:r>
          </w:p>
        </w:tc>
      </w:tr>
      <w:tr>
        <w:trPr>
          <w:cantSplit/>
        </w:trPr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docs/ipc/ipc-foundation.md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Create</w:t>
            </w:r>
          </w:p>
        </w:tc>
        <w:tc>
          <w:tcPr>
            <w:tcW w:type="dxa" w:w="49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Catalog, lifecycle, trust model, error envelope, extension rules, and review requirements.</w:t>
            </w:r>
          </w:p>
        </w:tc>
      </w:tr>
      <w:tr>
        <w:trPr>
          <w:cantSplit/>
        </w:trPr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docs/engineering-standards.md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Modify</w:t>
            </w:r>
          </w:p>
        </w:tc>
        <w:tc>
          <w:tcPr>
            <w:tcW w:type="dxa" w:w="49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Document the IPC rules and prohibitions introduced by HSD-005.</w:t>
            </w:r>
          </w:p>
        </w:tc>
      </w:tr>
    </w:tbl>
    <w:p/>
    <w:p>
      <w:pPr>
        <w:pStyle w:val="Heading1"/>
      </w:pPr>
      <w:r>
        <w:t>7. Shared Contract Model</w:t>
      </w:r>
    </w:p>
    <w:p>
      <w:pPr>
        <w:pStyle w:val="Heading2"/>
      </w:pPr>
      <w:r>
        <w:t>7.1 Channel catalog</w:t>
      </w:r>
    </w:p>
    <w:p>
      <w:pPr>
        <w:pStyle w:val="CodeBlock"/>
      </w:pPr>
      <w:r>
        <w:rPr>
          <w:sz w:val="17"/>
        </w:rPr>
        <w:t>export const ipcChannels = {</w:t>
        <w:br/>
        <w:t xml:space="preserve">  app: {</w:t>
        <w:br/>
        <w:t xml:space="preserve">    getInfo: 'health-screening:app:get-info',</w:t>
        <w:br/>
        <w:t xml:space="preserve">    getHealth: 'health-screening:app:get-health'</w:t>
        <w:br/>
        <w:t xml:space="preserve">  }</w:t>
        <w:br/>
        <w:t>} as const</w:t>
      </w:r>
    </w:p>
    <w:p>
      <w:pPr>
        <w:pStyle w:val="ListBullet"/>
      </w:pPr>
      <w:r>
        <w:t>Channel names must be namespaced and stable.</w:t>
      </w:r>
    </w:p>
    <w:p>
      <w:pPr>
        <w:pStyle w:val="ListBullet"/>
      </w:pPr>
      <w:r>
        <w:t>Only the two channels above may be added in HSD-005.</w:t>
      </w:r>
    </w:p>
    <w:p>
      <w:pPr>
        <w:pStyle w:val="ListBullet"/>
      </w:pPr>
      <w:r>
        <w:t>Do not export a list that permits the renderer to choose an arbitrary channel.</w:t>
      </w:r>
    </w:p>
    <w:p>
      <w:pPr>
        <w:pStyle w:val="ListBullet"/>
      </w:pPr>
      <w:r>
        <w:t>Do not use human-readable UI labels as channel identifiers.</w:t>
      </w:r>
    </w:p>
    <w:p>
      <w:pPr>
        <w:pStyle w:val="Heading2"/>
      </w:pPr>
      <w:r>
        <w:t>7.2 Result envelope</w:t>
      </w:r>
    </w:p>
    <w:p>
      <w:r>
        <w:t>Every operation resolves to one discriminated result. The renderer must not depend on Electron-thrown error serialization.</w:t>
      </w:r>
    </w:p>
    <w:p>
      <w:pPr>
        <w:pStyle w:val="CodeBlock"/>
      </w:pPr>
      <w:r>
        <w:rPr>
          <w:sz w:val="17"/>
        </w:rPr>
        <w:t>type IpcResult&lt;T&gt; =</w:t>
        <w:br/>
        <w:t xml:space="preserve">  | { ok: true; data: T }</w:t>
        <w:br/>
        <w:t xml:space="preserve">  | { ok: false; error: { code: IpcErrorCode; message: string } }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088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3672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Used for</w:t>
            </w:r>
          </w:p>
        </w:tc>
        <w:tc>
          <w:tcPr>
            <w:tcW w:type="dxa" w:w="3888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Renderer-safe message requirement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VALIDATION_FAILED</w:t>
            </w:r>
          </w:p>
        </w:tc>
        <w:tc>
          <w:tcPr>
            <w:tcW w:type="dxa" w:w="36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Malformed request or invalid response contract</w:t>
            </w:r>
          </w:p>
        </w:tc>
        <w:tc>
          <w:tcPr>
            <w:tcW w:type="dxa" w:w="38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State that the request could not be processed; do not echo invalid values.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IPC_FORBIDDEN</w:t>
            </w:r>
          </w:p>
        </w:tc>
        <w:tc>
          <w:tcPr>
            <w:tcW w:type="dxa" w:w="36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Sender frame or origin is not trusted</w:t>
            </w:r>
          </w:p>
        </w:tc>
        <w:tc>
          <w:tcPr>
            <w:tcW w:type="dxa" w:w="38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State that the operation is unavailable from the current window.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IPC_UNAVAILABLE</w:t>
            </w:r>
          </w:p>
        </w:tc>
        <w:tc>
          <w:tcPr>
            <w:tcW w:type="dxa" w:w="36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Preload transport invocation failed or returned an unreadable envelope</w:t>
            </w:r>
          </w:p>
        </w:tc>
        <w:tc>
          <w:tcPr>
            <w:tcW w:type="dxa" w:w="38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State that the desktop service is unavailable.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INTERNAL_ERROR</w:t>
            </w:r>
          </w:p>
        </w:tc>
        <w:tc>
          <w:tcPr>
            <w:tcW w:type="dxa" w:w="36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Unexpected trusted-process failure</w:t>
            </w:r>
          </w:p>
        </w:tc>
        <w:tc>
          <w:tcPr>
            <w:tcW w:type="dxa" w:w="38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State that the application could not complete the request.</w:t>
            </w:r>
          </w:p>
        </w:tc>
      </w:tr>
    </w:tbl>
    <w:p/>
    <w:p>
      <w:pPr>
        <w:pStyle w:val="ListBullet"/>
      </w:pPr>
      <w:r>
        <w:t>The error object must not contain stack, cause, filesystem path, channel arguments, request payload, hostname, device ID, username, or environment variables.</w:t>
      </w:r>
    </w:p>
    <w:p>
      <w:pPr>
        <w:pStyle w:val="ListBullet"/>
      </w:pPr>
      <w:r>
        <w:t>Unknown failures map to INTERNAL_ERROR in main and IPC_UNAVAILABLE in preload when the transport itself fails.</w:t>
      </w:r>
    </w:p>
    <w:p>
      <w:pPr>
        <w:pStyle w:val="ListBullet"/>
      </w:pPr>
      <w:r>
        <w:t>Technical logs may include channel name, safe error code, and exception type only. Do not log full payloads.</w:t>
      </w:r>
    </w:p>
    <w:p>
      <w:pPr>
        <w:pStyle w:val="Heading2"/>
      </w:pPr>
      <w:r>
        <w:t>7.3 app.getInfo contract</w:t>
      </w:r>
    </w:p>
    <w:p>
      <w:r>
        <w:t>Request: an empty strict object. Extra keys must be rejected.</w:t>
      </w:r>
    </w:p>
    <w:p>
      <w:pPr>
        <w:pStyle w:val="CodeBlock"/>
      </w:pPr>
      <w:r>
        <w:rPr>
          <w:sz w:val="17"/>
        </w:rPr>
        <w:t>{}</w:t>
      </w:r>
    </w:p>
    <w:p>
      <w:r>
        <w:t>Success data:</w:t>
      </w:r>
    </w:p>
    <w:p>
      <w:pPr>
        <w:pStyle w:val="CodeBlock"/>
      </w:pPr>
      <w:r>
        <w:rPr>
          <w:sz w:val="17"/>
        </w:rPr>
        <w:t>{</w:t>
        <w:br/>
        <w:t xml:space="preserve">  applicationName: 'Health Screening Offline Desktop',</w:t>
        <w:br/>
        <w:t xml:space="preserve">  applicationVersion: string,</w:t>
        <w:br/>
        <w:t xml:space="preserve">  platform: string,</w:t>
        <w:br/>
        <w:t xml:space="preserve">  architecture: string,</w:t>
        <w:br/>
        <w:t xml:space="preserve">  packaged: boolean</w:t>
        <w:br/>
        <w:t>}</w:t>
      </w:r>
    </w:p>
    <w:p>
      <w:pPr>
        <w:pStyle w:val="ListBullet"/>
      </w:pPr>
      <w:r>
        <w:t>applicationVersion comes from Electron app metadata or an injected provider.</w:t>
      </w:r>
    </w:p>
    <w:p>
      <w:pPr>
        <w:pStyle w:val="ListBullet"/>
      </w:pPr>
      <w:r>
        <w:t>Do not expose userData path, executable path, database path, hostname, username, installation UUID, command line, environment variables, or update endpoint.</w:t>
      </w:r>
    </w:p>
    <w:p>
      <w:pPr>
        <w:pStyle w:val="Heading2"/>
      </w:pPr>
      <w:r>
        <w:t>7.4 app.getHealth contract</w:t>
      </w:r>
    </w:p>
    <w:p>
      <w:r>
        <w:t>Request: an empty strict object. Success data:</w:t>
      </w:r>
    </w:p>
    <w:p>
      <w:pPr>
        <w:pStyle w:val="CodeBlock"/>
      </w:pPr>
      <w:r>
        <w:rPr>
          <w:sz w:val="17"/>
        </w:rPr>
        <w:t>{</w:t>
        <w:br/>
        <w:t xml:space="preserve">  status: 'ready',</w:t>
        <w:br/>
        <w:t xml:space="preserve">  ipc: 'available',</w:t>
        <w:br/>
        <w:t xml:space="preserve">  database: 'not-configured',</w:t>
        <w:br/>
        <w:t xml:space="preserve">  clinicalFeatures: 'not-implemented'</w:t>
        <w:br/>
        <w:t>}</w:t>
      </w:r>
    </w:p>
    <w:p>
      <w:pPr>
        <w:pStyle w:val="ListBullet"/>
      </w:pPr>
      <w:r>
        <w:t>This is shell-health information only, not a clinical, database, sync, or network health check.</w:t>
      </w:r>
    </w:p>
    <w:p>
      <w:pPr>
        <w:pStyle w:val="ListBullet"/>
      </w:pPr>
      <w:r>
        <w:t>Do not add timestamps, random identifiers, process uptime, memory values, filesystem details, or network probes in this task.</w:t>
      </w:r>
    </w:p>
    <w:p>
      <w:pPr>
        <w:pStyle w:val="Heading1"/>
      </w:pPr>
      <w:r>
        <w:t>8. Trusted Sender Validation</w:t>
      </w:r>
    </w:p>
    <w:p>
      <w:r>
        <w:t>Every ipcMain.handle implementation must validate the invoking frame before request parsing or application execution.</w:t>
      </w:r>
    </w:p>
    <w:p>
      <w:pPr>
        <w:ind w:left="360" w:hanging="259"/>
      </w:pPr>
      <w:r>
        <w:t>1.  Reject when event.senderFrame is null.</w:t>
      </w:r>
    </w:p>
    <w:p>
      <w:pPr>
        <w:ind w:left="360" w:hanging="259"/>
      </w:pPr>
      <w:r>
        <w:t>2.  Reject when event.senderFrame is not the WebContents mainFrame. This blocks iframe-originated IPC even if it shares the same WebContents.</w:t>
      </w:r>
    </w:p>
    <w:p>
      <w:pPr>
        <w:ind w:left="360" w:hanging="259"/>
      </w:pPr>
      <w:r>
        <w:t>3.  Reject when the sender frame URL is not allowed by the same HSD-003 NavigationPolicy used by the main window.</w:t>
      </w:r>
    </w:p>
    <w:p>
      <w:pPr>
        <w:ind w:left="360" w:hanging="259"/>
      </w:pPr>
      <w:r>
        <w:t>4.  Reject malformed sender URLs without throwing to the renderer.</w:t>
      </w:r>
    </w:p>
    <w:p>
      <w:pPr>
        <w:ind w:left="360" w:hanging="259"/>
      </w:pPr>
      <w:r>
        <w:t>5.  Return IPC_FORBIDDEN through the safe result envelope and log only safe operational context.</w:t>
      </w:r>
    </w:p>
    <w:p>
      <w:pPr>
        <w:pStyle w:val="ListBullet"/>
      </w:pPr>
      <w:r>
        <w:t>Development accepts only the configured loopback origin already approved by HSD-003.</w:t>
      </w:r>
    </w:p>
    <w:p>
      <w:pPr>
        <w:pStyle w:val="ListBullet"/>
      </w:pPr>
      <w:r>
        <w:t>Production accepts only the packaged renderer document, including same-document hash navigation permitted by the existing policy.</w:t>
      </w:r>
    </w:p>
    <w:p>
      <w:pPr>
        <w:pStyle w:val="ListBullet"/>
      </w:pPr>
      <w:r>
        <w:t>Do not authorize solely by channel name, process ID, a Boolean development flag, or the fact that one BrowserWindow currently exists.</w:t>
      </w:r>
    </w:p>
    <w:p>
      <w:pPr>
        <w:pStyle w:val="ListBullet"/>
      </w:pPr>
      <w:r>
        <w:t>Do not weaken HSD-003 navigation rules to make IPC tests pass.</w:t>
      </w:r>
    </w:p>
    <w:p>
      <w:pPr>
        <w:pStyle w:val="Heading1"/>
      </w:pPr>
      <w:r>
        <w:t>9. Main-Process Handler Requirements</w:t>
      </w:r>
    </w:p>
    <w:p>
      <w:pPr>
        <w:ind w:left="360" w:hanging="259"/>
      </w:pPr>
      <w:r>
        <w:t>1.  Construct or obtain one approved NavigationPolicy during application startup.</w:t>
      </w:r>
    </w:p>
    <w:p>
      <w:pPr>
        <w:ind w:left="360" w:hanging="259"/>
      </w:pPr>
      <w:r>
        <w:t>2.  After app.whenReady and HSD-004 session security configuration, register the two IPC handlers before loading the renderer.</w:t>
      </w:r>
    </w:p>
    <w:p>
      <w:pPr>
        <w:ind w:left="360" w:hanging="259"/>
      </w:pPr>
      <w:r>
        <w:t>3.  For each request: validate sender, validate the strict request schema, execute the injected operation, validate the success response schema, and return an IpcResult.</w:t>
      </w:r>
    </w:p>
    <w:p>
      <w:pPr>
        <w:ind w:left="360" w:hanging="259"/>
      </w:pPr>
      <w:r>
        <w:t>4.  Catch unexpected exceptions and return INTERNAL_ERROR without rethrowing technical details across IPC.</w:t>
      </w:r>
    </w:p>
    <w:p>
      <w:pPr>
        <w:ind w:left="360" w:hanging="259"/>
      </w:pPr>
      <w:r>
        <w:t>5.  Provide a disposer that removes only the application-owned HSD-005 handlers.</w:t>
      </w:r>
    </w:p>
    <w:p>
      <w:pPr>
        <w:ind w:left="360" w:hanging="259"/>
      </w:pPr>
      <w:r>
        <w:t>6.  On re-registration in tests or lifecycle recovery, remove or replace only these exact namespaced handlers so duplicate ipcMain.handle registration cannot occur.</w:t>
      </w:r>
    </w:p>
    <w:p>
      <w:pPr>
        <w:pStyle w:val="ListBullet"/>
      </w:pPr>
      <w:r>
        <w:t>Do not use ipcMain.on, event.reply, synchronous IPC, MessagePort, or renderer push events in this task.</w:t>
      </w:r>
    </w:p>
    <w:p>
      <w:pPr>
        <w:pStyle w:val="ListBullet"/>
      </w:pPr>
      <w:r>
        <w:t>Do not create one generic handler that accepts operation names or dispatches arbitrary methods from renderer input.</w:t>
      </w:r>
    </w:p>
    <w:p>
      <w:pPr>
        <w:pStyle w:val="ListBullet"/>
      </w:pPr>
      <w:r>
        <w:t>Do not trust TypeScript types as runtime validation.</w:t>
      </w:r>
    </w:p>
    <w:p>
      <w:pPr>
        <w:pStyle w:val="ListBullet"/>
      </w:pPr>
      <w:r>
        <w:t>Do not expose raw Electron Error messages. Electron invoke error serialization is not the application error contract.</w:t>
      </w:r>
    </w:p>
    <w:p>
      <w:pPr>
        <w:pStyle w:val="Heading1"/>
      </w:pPr>
      <w:r>
        <w:t>10. Secure Preload API</w:t>
      </w:r>
    </w:p>
    <w:p>
      <w:r>
        <w:t>The renderer-visible type must be equivalent to:</w:t>
      </w:r>
    </w:p>
    <w:p>
      <w:pPr>
        <w:pStyle w:val="CodeBlock"/>
      </w:pPr>
      <w:r>
        <w:rPr>
          <w:sz w:val="17"/>
        </w:rPr>
        <w:t>interface HealthScreeningApi {</w:t>
        <w:br/>
        <w:t xml:space="preserve">  app: {</w:t>
        <w:br/>
        <w:t xml:space="preserve">    getInfo(): Promise&lt;IpcResult&lt;AppInfo&gt;&gt;</w:t>
        <w:br/>
        <w:t xml:space="preserve">    getHealth(): Promise&lt;IpcResult&lt;AppHealth&gt;&gt;</w:t>
        <w:br/>
        <w:t xml:space="preserve">  }</w:t>
        <w:br/>
        <w:t>}</w:t>
      </w:r>
    </w:p>
    <w:p>
      <w:pPr>
        <w:pStyle w:val="ListBullet"/>
      </w:pPr>
      <w:r>
        <w:t>Each method calls ipcRenderer.invoke with one compile-time channel constant and the empty strict request object.</w:t>
      </w:r>
    </w:p>
    <w:p>
      <w:pPr>
        <w:pStyle w:val="ListBullet"/>
      </w:pPr>
      <w:r>
        <w:t>The exposed API accepts no channel argument and no options that alter destination or privilege.</w:t>
      </w:r>
    </w:p>
    <w:p>
      <w:pPr>
        <w:pStyle w:val="ListBullet"/>
      </w:pPr>
      <w:r>
        <w:t>Validate the returned envelope before returning it to the renderer.</w:t>
      </w:r>
    </w:p>
    <w:p>
      <w:pPr>
        <w:pStyle w:val="ListBullet"/>
      </w:pPr>
      <w:r>
        <w:t>Map rejected invoke promises, malformed envelopes, and unexpected transport failures to IPC_UNAVAILABLE.</w:t>
      </w:r>
    </w:p>
    <w:p>
      <w:pPr>
        <w:pStyle w:val="ListBullet"/>
      </w:pPr>
      <w:r>
        <w:t>Expose one fixed nested object under window.healthScreening.</w:t>
      </w:r>
    </w:p>
    <w:p>
      <w:pPr>
        <w:pStyle w:val="ListBullet"/>
      </w:pPr>
      <w:r>
        <w:t>Do not expose ipcRenderer.invoke, send, sendSync, on, once, off, removeListener, postMessage, or the Electron event argument.</w:t>
      </w:r>
    </w:p>
    <w:p>
      <w:pPr>
        <w:pStyle w:val="ListBullet"/>
      </w:pPr>
      <w:r>
        <w:t>Do not expose Node globals, process, Buffer, filesystem access, shell, Session, WebContents, or contextBridge.</w:t>
      </w:r>
    </w:p>
    <w:p>
      <w:pPr>
        <w:pStyle w:val="Heading1"/>
      </w:pPr>
      <w:r>
        <w:t>11. Renderer Integration</w:t>
      </w:r>
    </w:p>
    <w:p>
      <w:r>
        <w:t>Update the existing placeholder screen only enough to prove the end-to-end typed IPC path.</w:t>
      </w:r>
    </w:p>
    <w:p>
      <w:pPr>
        <w:pStyle w:val="ListBullet"/>
      </w:pPr>
      <w:r>
        <w:t>Load app.getInfo and app.getHealth asynchronously after mount.</w:t>
      </w:r>
    </w:p>
    <w:p>
      <w:pPr>
        <w:pStyle w:val="ListBullet"/>
      </w:pPr>
      <w:r>
        <w:t>Show a stable loading state while the requests are pending.</w:t>
      </w:r>
    </w:p>
    <w:p>
      <w:pPr>
        <w:pStyle w:val="ListBullet"/>
      </w:pPr>
      <w:r>
        <w:t>On success, preserve the current engineering-foundation wording and display safe app metadata or shell status without adding application features.</w:t>
      </w:r>
    </w:p>
    <w:p>
      <w:pPr>
        <w:pStyle w:val="ListBullet"/>
      </w:pPr>
      <w:r>
        <w:t>On failure, show a short user-safe message based on the result envelope. Do not display raw Error text.</w:t>
      </w:r>
    </w:p>
    <w:p>
      <w:pPr>
        <w:pStyle w:val="ListBullet"/>
      </w:pPr>
      <w:r>
        <w:t>Avoid state updates after unmount.</w:t>
      </w:r>
    </w:p>
    <w:p>
      <w:pPr>
        <w:pStyle w:val="ListBullet"/>
      </w:pPr>
      <w:r>
        <w:t>Do not add routing, navigation, tabs, login, dashboard cards, forms, clinical content, or visual redesign.</w:t>
      </w:r>
    </w:p>
    <w:p>
      <w:pPr>
        <w:pStyle w:val="ListBullet"/>
      </w:pPr>
      <w:r>
        <w:t>Remove the direct synchronous getApplicationStatus bridge and obsolete bootstrap contract only after all replacements and tests are complete.</w:t>
      </w:r>
    </w:p>
    <w:p>
      <w:pPr>
        <w:pStyle w:val="Heading1"/>
      </w:pPr>
      <w:r>
        <w:t>12. Runtime Validation and Serialization Rules</w:t>
      </w:r>
    </w:p>
    <w:p>
      <w:pPr>
        <w:pStyle w:val="ListBullet"/>
      </w:pPr>
      <w:r>
        <w:t>Use Zod strict objects so unexpected request keys are rejected.</w:t>
      </w:r>
    </w:p>
    <w:p>
      <w:pPr>
        <w:pStyle w:val="ListBullet"/>
      </w:pPr>
      <w:r>
        <w:t>Infer TypeScript types from schemas rather than manually duplicating shapes.</w:t>
      </w:r>
    </w:p>
    <w:p>
      <w:pPr>
        <w:pStyle w:val="ListBullet"/>
      </w:pPr>
      <w:r>
        <w:t>Responses must be plain structured-clone-safe objects containing strings and booleans only for HSD-005.</w:t>
      </w:r>
    </w:p>
    <w:p>
      <w:pPr>
        <w:pStyle w:val="ListBullet"/>
      </w:pPr>
      <w:r>
        <w:t>Do not return Date, Error, Map, Set, Buffer, BigInt, class instances, functions, Electron objects, or DOM objects.</w:t>
      </w:r>
    </w:p>
    <w:p>
      <w:pPr>
        <w:pStyle w:val="ListBullet"/>
      </w:pPr>
      <w:r>
        <w:t>Validate provider output before returning success. Invalid trusted output maps to INTERNAL_ERROR and is not sent as data.</w:t>
      </w:r>
    </w:p>
    <w:p>
      <w:pPr>
        <w:pStyle w:val="ListBullet"/>
      </w:pPr>
      <w:r>
        <w:t>The preload validates the received result envelope so a malformed or missing handler response cannot become trusted renderer state.</w:t>
      </w:r>
    </w:p>
    <w:p>
      <w:pPr>
        <w:pStyle w:val="Heading1"/>
      </w:pPr>
      <w:r>
        <w:t>13. Unit Test Requirements</w:t>
      </w:r>
    </w:p>
    <w:p>
      <w:r>
        <w:t>Tests must run in the existing Node Vitest environment. They must not launch Electron, open windows, make network requests, or access the real filesystem.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880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Test group</w:t>
            </w:r>
          </w:p>
        </w:tc>
        <w:tc>
          <w:tcPr>
            <w:tcW w:type="dxa" w:w="6768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Minimum required cases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Shared contracts</w:t>
            </w:r>
          </w:p>
        </w:tc>
        <w:tc>
          <w:tcPr>
            <w:tcW w:type="dxa" w:w="67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Both channel strings are exact and unique; requests reject extra keys; valid responses parse; malformed responses fail; success and failure envelopes are discriminated and strict.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Sender policy</w:t>
            </w:r>
          </w:p>
        </w:tc>
        <w:tc>
          <w:tcPr>
            <w:tcW w:type="dxa" w:w="67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Accept approved development main frame and packaged main frame; reject null senderFrame, iframe sender, different loopback port/origin, remote origin, unrelated file, malformed URL, and mismatched navigation policy.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app.getInfo handler</w:t>
            </w:r>
          </w:p>
        </w:tc>
        <w:tc>
          <w:tcPr>
            <w:tcW w:type="dxa" w:w="67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Returns validated safe metadata; rejects malformed request; returns IPC_FORBIDDEN for untrusted sender; maps thrown provider errors to INTERNAL_ERROR; rejects invalid provider output.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app.getHealth handler</w:t>
            </w:r>
          </w:p>
        </w:tc>
        <w:tc>
          <w:tcPr>
            <w:tcW w:type="dxa" w:w="67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Returns the exact shell-health contract and no database/network probing; same validation and safe-error cases as getInfo.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Registration lifecycle</w:t>
            </w:r>
          </w:p>
        </w:tc>
        <w:tc>
          <w:tcPr>
            <w:tcW w:type="dxa" w:w="67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Registers exactly two handlers; replaces or disposes application-owned handlers deterministically; does not remove unrelated handlers; repeated setup does not accumulate duplicates.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Preload API factory</w:t>
            </w:r>
          </w:p>
        </w:tc>
        <w:tc>
          <w:tcPr>
            <w:tcW w:type="dxa" w:w="67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Exposes only app.getInfo and app.getHealth; invokes exact fixed channels with {}; validates replies; maps invoke rejection and malformed reply to IPC_UNAVAILABLE; never accepts a renderer channel string.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Regression</w:t>
            </w:r>
          </w:p>
        </w:tc>
        <w:tc>
          <w:tcPr>
            <w:tcW w:type="dxa" w:w="67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All existing HSD-001 through HSD-004 tests remain green; renderer import-boundary lint rules remain effective.</w:t>
            </w:r>
          </w:p>
        </w:tc>
      </w:tr>
    </w:tbl>
    <w:p/>
    <w:p>
      <w:pPr>
        <w:pStyle w:val="Heading1"/>
      </w:pPr>
      <w:r>
        <w:t>14. Required Commands</w:t>
      </w:r>
    </w:p>
    <w:p>
      <w:pPr>
        <w:pStyle w:val="CodeBlock"/>
      </w:pPr>
      <w:r>
        <w:rPr>
          <w:sz w:val="17"/>
        </w:rPr>
        <w:t>pnpm add zod</w:t>
        <w:br/>
        <w:t>pnpm format:check</w:t>
        <w:br/>
        <w:t>pnpm lint</w:t>
        <w:br/>
        <w:t>pnpm typecheck</w:t>
        <w:br/>
        <w:t>pnpm test</w:t>
        <w:br/>
        <w:t>pnpm verify</w:t>
        <w:br/>
        <w:t>pnpm build</w:t>
        <w:br/>
        <w:t>pnpm dev</w:t>
      </w:r>
    </w:p>
    <w:p>
      <w:r>
        <w:t>After development verification, stop the process and run the built application preview:</w:t>
      </w:r>
    </w:p>
    <w:p>
      <w:pPr>
        <w:pStyle w:val="CodeBlock"/>
      </w:pPr>
      <w:r>
        <w:rPr>
          <w:sz w:val="17"/>
        </w:rPr>
        <w:t>pnpm start</w:t>
      </w:r>
    </w:p>
    <w:p>
      <w:pPr>
        <w:pStyle w:val="Heading1"/>
      </w:pPr>
      <w:r>
        <w:t>15. Manual Verification</w:t>
      </w:r>
    </w:p>
    <w:p>
      <w:pPr>
        <w:ind w:left="360" w:hanging="259"/>
      </w:pPr>
      <w:r>
        <w:t>1.  Run pnpm dev and confirm the existing foundation window renders without CSP, preload, or IPC errors.</w:t>
      </w:r>
    </w:p>
    <w:p>
      <w:pPr>
        <w:ind w:left="360" w:hanging="259"/>
      </w:pPr>
      <w:r>
        <w:t>2.  Confirm the visible application name and version are loaded through app.getInfo rather than a direct synchronous bootstrap function.</w:t>
      </w:r>
    </w:p>
    <w:p>
      <w:pPr>
        <w:ind w:left="360" w:hanging="259"/>
      </w:pPr>
      <w:r>
        <w:t>3.  Confirm the shell status is loaded through app.getHealth and still states that the database is not configured and clinical features are not implemented.</w:t>
      </w:r>
    </w:p>
    <w:p>
      <w:pPr>
        <w:ind w:left="360" w:hanging="259"/>
      </w:pPr>
      <w:r>
        <w:t>4.  Open the developer console and evaluate Object.keys(window.healthScreening). It must return only app.</w:t>
      </w:r>
    </w:p>
    <w:p>
      <w:pPr>
        <w:ind w:left="360" w:hanging="259"/>
      </w:pPr>
      <w:r>
        <w:t>5.  Evaluate Object.keys(window.healthScreening.app). It must return only getInfo and getHealth.</w:t>
      </w:r>
    </w:p>
    <w:p>
      <w:pPr>
        <w:ind w:left="360" w:hanging="259"/>
      </w:pPr>
      <w:r>
        <w:t>6.  Confirm window.healthScreening.invoke, send, on, ipcRenderer, process, and require are undefined.</w:t>
      </w:r>
    </w:p>
    <w:p>
      <w:pPr>
        <w:ind w:left="360" w:hanging="259"/>
      </w:pPr>
      <w:r>
        <w:t>7.  Call window.healthScreening.app.getInfo() and app.getHealth(). Confirm both resolve to { ok: true, data: ... } with only the approved safe fields.</w:t>
      </w:r>
    </w:p>
    <w:p>
      <w:pPr>
        <w:ind w:left="360" w:hanging="259"/>
      </w:pPr>
      <w:r>
        <w:t>8.  Confirm no filesystem path, hostname, username, installation identifier, database path, environment variable, or Electron event object is visible.</w:t>
      </w:r>
    </w:p>
    <w:p>
      <w:pPr>
        <w:ind w:left="360" w:hanging="259"/>
      </w:pPr>
      <w:r>
        <w:t>9.  Run pnpm start and confirm the packaged preview displays the same foundation state without CSP, resource-loading, sender-validation, or IPC errors.</w:t>
      </w:r>
    </w:p>
    <w:p>
      <w:pPr>
        <w:ind w:left="360" w:hanging="259"/>
      </w:pPr>
      <w:r>
        <w:t>10.  Confirm HSD-003 single-instance behavior and HSD-004 production CSP remain unchanged.</w:t>
      </w:r>
    </w:p>
    <w:p>
      <w:pPr>
        <w:pStyle w:val="Heading1"/>
      </w:pPr>
      <w:r>
        <w:t>16. Acceptance Criteria</w:t>
      </w:r>
    </w:p>
    <w:p>
      <w:pPr>
        <w:pStyle w:val="ListBullet"/>
      </w:pPr>
      <w:r>
        <w:t>The branch starts from the approved HSD-004 merge on main.</w:t>
      </w:r>
    </w:p>
    <w:p>
      <w:pPr>
        <w:pStyle w:val="ListBullet"/>
      </w:pPr>
      <w:r>
        <w:t>Zod is a runtime dependency and the lockfile is updated.</w:t>
      </w:r>
    </w:p>
    <w:p>
      <w:pPr>
        <w:pStyle w:val="ListBullet"/>
      </w:pPr>
      <w:r>
        <w:t>Exactly two namespaced request/response channels are introduced: app.getInfo and app.getHealth.</w:t>
      </w:r>
    </w:p>
    <w:p>
      <w:pPr>
        <w:pStyle w:val="ListBullet"/>
      </w:pPr>
      <w:r>
        <w:t>Every request, success response, and result envelope has one runtime schema and inferred TypeScript type.</w:t>
      </w:r>
    </w:p>
    <w:p>
      <w:pPr>
        <w:pStyle w:val="ListBullet"/>
      </w:pPr>
      <w:r>
        <w:t>Every handler validates the sender main frame and the shared HSD-003 navigation policy.</w:t>
      </w:r>
    </w:p>
    <w:p>
      <w:pPr>
        <w:pStyle w:val="ListBullet"/>
      </w:pPr>
      <w:r>
        <w:t>Every handler validates requests and responses and returns only safe IpcResult objects.</w:t>
      </w:r>
    </w:p>
    <w:p>
      <w:pPr>
        <w:pStyle w:val="ListBullet"/>
      </w:pPr>
      <w:r>
        <w:t>Unexpected main-process failures do not reveal raw exceptions to the renderer.</w:t>
      </w:r>
    </w:p>
    <w:p>
      <w:pPr>
        <w:pStyle w:val="ListBullet"/>
      </w:pPr>
      <w:r>
        <w:t>Handler registration and disposal are deterministic and do not accumulate duplicates.</w:t>
      </w:r>
    </w:p>
    <w:p>
      <w:pPr>
        <w:pStyle w:val="ListBullet"/>
      </w:pPr>
      <w:r>
        <w:t>window.healthScreening exposes only the fixed app.getInfo and app.getHealth methods.</w:t>
      </w:r>
    </w:p>
    <w:p>
      <w:pPr>
        <w:pStyle w:val="ListBullet"/>
      </w:pPr>
      <w:r>
        <w:t>No generic invoke/send/event method, Electron module, Node global, or arbitrary channel is exposed.</w:t>
      </w:r>
    </w:p>
    <w:p>
      <w:pPr>
        <w:pStyle w:val="ListBullet"/>
      </w:pPr>
      <w:r>
        <w:t>The renderer uses the asynchronous typed API and preserves the current foundation screen and clinical non-implementation statement.</w:t>
      </w:r>
    </w:p>
    <w:p>
      <w:pPr>
        <w:pStyle w:val="ListBullet"/>
      </w:pPr>
      <w:r>
        <w:t>All tests, verification commands, build, development launch, and production preview pass.</w:t>
      </w:r>
    </w:p>
    <w:p>
      <w:pPr>
        <w:pStyle w:val="ListBullet"/>
      </w:pPr>
      <w:r>
        <w:t>The working tree is clean and the required commits are pushed.</w:t>
      </w:r>
    </w:p>
    <w:p>
      <w:pPr>
        <w:pStyle w:val="Heading1"/>
      </w:pPr>
      <w:r>
        <w:t>17. Explicit Prohibitions</w:t>
      </w:r>
    </w:p>
    <w:p>
      <w:pPr>
        <w:pStyle w:val="ListBullet"/>
      </w:pPr>
      <w:r>
        <w:t>Do not add patient, screening, referral, follow-up, protocol, report, or clinical wording beyond the existing non-implementation statement.</w:t>
      </w:r>
    </w:p>
    <w:p>
      <w:pPr>
        <w:pStyle w:val="ListBullet"/>
      </w:pPr>
      <w:r>
        <w:t>Do not add SQLite, better-sqlite3, migrations, repositories, transactions, audit records, outbox records, backup, restore, or sync.</w:t>
      </w:r>
    </w:p>
    <w:p>
      <w:pPr>
        <w:pStyle w:val="ListBullet"/>
      </w:pPr>
      <w:r>
        <w:t>Do not add authentication, local users, roles, authorization, first-run setup, password handling, session lock, or logout.</w:t>
      </w:r>
    </w:p>
    <w:p>
      <w:pPr>
        <w:pStyle w:val="ListBullet"/>
      </w:pPr>
      <w:r>
        <w:t>Do not expose raw ipcRenderer or a wrapper such as invoke(channel, payload), send(channel, payload), or on(channel, callback).</w:t>
      </w:r>
    </w:p>
    <w:p>
      <w:pPr>
        <w:pStyle w:val="ListBullet"/>
      </w:pPr>
      <w:r>
        <w:t>Do not add wildcard channels, operation-name dispatch, reflection, dynamic imports, eval, Function constructors, or unsafe IPC serialization.</w:t>
      </w:r>
    </w:p>
    <w:p>
      <w:pPr>
        <w:pStyle w:val="ListBullet"/>
      </w:pPr>
      <w:r>
        <w:t>Do not use ipcRenderer.sendSync or any blocking renderer-to-main call.</w:t>
      </w:r>
    </w:p>
    <w:p>
      <w:pPr>
        <w:pStyle w:val="ListBullet"/>
      </w:pPr>
      <w:r>
        <w:t>Do not accept IPC from subframes, unrelated windows, remote origins, different development ports, or unrelated local files.</w:t>
      </w:r>
    </w:p>
    <w:p>
      <w:pPr>
        <w:pStyle w:val="ListBullet"/>
      </w:pPr>
      <w:r>
        <w:t>Do not return technical stack traces, full Error messages, paths, hostnames, environment values, command-line arguments, or payload echoes.</w:t>
      </w:r>
    </w:p>
    <w:p>
      <w:pPr>
        <w:pStyle w:val="ListBullet"/>
      </w:pPr>
      <w:r>
        <w:t>Do not add React Router, Tailwind, React Hook Form, Zustand, Recharts, page navigation, dashboard design, or component libraries.</w:t>
      </w:r>
    </w:p>
    <w:p>
      <w:pPr>
        <w:pStyle w:val="ListBullet"/>
      </w:pPr>
      <w:r>
        <w:t>Do not modify CSP to permit remote connections and do not enable any Electron permission.</w:t>
      </w:r>
    </w:p>
    <w:p>
      <w:pPr>
        <w:pStyle w:val="ListBullet"/>
      </w:pPr>
      <w:r>
        <w:t>Do not add CI, installer, auto-update, code signing, telemetry, analytics, cloud API, PostgreSQL, FHIR, doctor portal, or AI work.</w:t>
      </w:r>
    </w:p>
    <w:p>
      <w:pPr>
        <w:pStyle w:val="Heading1"/>
      </w:pPr>
      <w:r>
        <w:t>18. Documentation Requirements</w:t>
      </w:r>
    </w:p>
    <w:p>
      <w:r>
        <w:t>Create docs/ipc/ipc-foundation.md and update docs/engineering-standards.md with:</w:t>
      </w:r>
    </w:p>
    <w:p>
      <w:pPr>
        <w:pStyle w:val="ListBullet"/>
      </w:pPr>
      <w:r>
        <w:t>The two-channel HSD-005 catalog and their request/response shapes.</w:t>
      </w:r>
    </w:p>
    <w:p>
      <w:pPr>
        <w:pStyle w:val="ListBullet"/>
      </w:pPr>
      <w:r>
        <w:t>The IpcResult envelope and safe error-code meanings.</w:t>
      </w:r>
    </w:p>
    <w:p>
      <w:pPr>
        <w:pStyle w:val="ListBullet"/>
      </w:pPr>
      <w:r>
        <w:t>The rule that schemas are authoritative and types are inferred.</w:t>
      </w:r>
    </w:p>
    <w:p>
      <w:pPr>
        <w:pStyle w:val="ListBullet"/>
      </w:pPr>
      <w:r>
        <w:t>The sender-validation sequence and shared navigation policy.</w:t>
      </w:r>
    </w:p>
    <w:p>
      <w:pPr>
        <w:pStyle w:val="ListBullet"/>
      </w:pPr>
      <w:r>
        <w:t>The rule that each renderer capability receives one explicit preload method.</w:t>
      </w:r>
    </w:p>
    <w:p>
      <w:pPr>
        <w:pStyle w:val="ListBullet"/>
      </w:pPr>
      <w:r>
        <w:t>The prohibition against raw ipcRenderer, generic invoke/send wrappers, synchronous IPC, event-object exposure, and arbitrary channels.</w:t>
      </w:r>
    </w:p>
    <w:p>
      <w:pPr>
        <w:pStyle w:val="ListBullet"/>
      </w:pPr>
      <w:r>
        <w:t>The handler registration/disposal lifecycle.</w:t>
      </w:r>
    </w:p>
    <w:p>
      <w:pPr>
        <w:pStyle w:val="ListBullet"/>
      </w:pPr>
      <w:r>
        <w:t>The process for adding a future operation: threat review, channel, schemas, allowed roles when authentication exists, handler, preload wrapper, documentation, and tests.</w:t>
      </w:r>
    </w:p>
    <w:p>
      <w:pPr>
        <w:pStyle w:val="ListBullet"/>
      </w:pPr>
      <w:r>
        <w:t>The PHI/logging rule: do not log IPC payloads or expose technical errors to the renderer.</w:t>
      </w:r>
    </w:p>
    <w:p>
      <w:pPr>
        <w:pStyle w:val="Heading1"/>
      </w:pPr>
      <w:r>
        <w:t>19. Commit and Handoff</w:t>
      </w:r>
    </w:p>
    <w:p>
      <w:r>
        <w:t>Create the primary task commit with exactly:</w:t>
      </w:r>
    </w:p>
    <w:p>
      <w:pPr>
        <w:pStyle w:val="CodeBlock"/>
      </w:pPr>
      <w:r>
        <w:rPr>
          <w:sz w:val="17"/>
        </w:rPr>
        <w:t>feat: establish typed ipc foundation</w:t>
      </w:r>
    </w:p>
    <w:p>
      <w:r>
        <w:t>If a narrowly scoped correction is required after review, use a separate fix commit rather than rewriting reviewed history.</w:t>
      </w:r>
    </w:p>
    <w:p>
      <w:r>
        <w:t>Push the branch:</w:t>
      </w:r>
    </w:p>
    <w:p>
      <w:pPr>
        <w:pStyle w:val="CodeBlock"/>
      </w:pPr>
      <w:r>
        <w:rPr>
          <w:sz w:val="17"/>
        </w:rPr>
        <w:t>git push -u origin feature/hsd-005-typed-ipc-foundation</w:t>
      </w:r>
    </w:p>
    <w:p>
      <w:r>
        <w:t>Provide the following evidence for review:</w:t>
      </w:r>
    </w:p>
    <w:p>
      <w:pPr>
        <w:pStyle w:val="CodeBlock"/>
      </w:pPr>
      <w:r>
        <w:rPr>
          <w:sz w:val="17"/>
        </w:rPr>
        <w:t>git status</w:t>
        <w:br/>
        <w:t>git log -4 --oneline</w:t>
        <w:br/>
        <w:t>pnpm verify</w:t>
        <w:br/>
        <w:t>pnpm build</w:t>
      </w:r>
    </w:p>
    <w:p>
      <w:pPr>
        <w:pStyle w:val="ListBullet"/>
      </w:pPr>
      <w:r>
        <w:t>Test file count and total passing test count.</w:t>
      </w:r>
    </w:p>
    <w:p>
      <w:pPr>
        <w:pStyle w:val="ListBullet"/>
      </w:pPr>
      <w:r>
        <w:t>Confirmation that pnpm dev displayed the foundation window and both app operations returned success.</w:t>
      </w:r>
    </w:p>
    <w:p>
      <w:pPr>
        <w:pStyle w:val="ListBullet"/>
      </w:pPr>
      <w:r>
        <w:t>The Object.keys results for window.healthScreening and window.healthScreening.app.</w:t>
      </w:r>
    </w:p>
    <w:p>
      <w:pPr>
        <w:pStyle w:val="ListBullet"/>
      </w:pPr>
      <w:r>
        <w:t>Confirmation that raw invoke/send/on/ipcRenderer/process/require are not exposed.</w:t>
      </w:r>
    </w:p>
    <w:p>
      <w:pPr>
        <w:pStyle w:val="ListBullet"/>
      </w:pPr>
      <w:r>
        <w:t>Confirmation that pnpm start displayed the built foundation window without CSP or IPC errors.</w:t>
      </w:r>
    </w:p>
    <w:p>
      <w:pPr>
        <w:pStyle w:val="ListBullet"/>
      </w:pPr>
      <w:r>
        <w:t>Confirmation that no patient, authentication, persistence, routing, sync, or feature code was added.</w:t>
      </w:r>
    </w:p>
    <w:p>
      <w:r>
        <w:t>Do not merge HSD-005 and do not begin HSD-006 until the remote branch has been reviewed and approved.</w:t>
      </w:r>
    </w:p>
    <w:p>
      <w:pPr>
        <w:pStyle w:val="Heading1"/>
      </w:pPr>
      <w:r>
        <w:t>20. Review Checklist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880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Reviewer check</w:t>
            </w:r>
          </w:p>
        </w:tc>
        <w:tc>
          <w:tcPr>
            <w:tcW w:type="dxa" w:w="6768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Pass condition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Branch ancestry</w:t>
            </w:r>
          </w:p>
        </w:tc>
        <w:tc>
          <w:tcPr>
            <w:tcW w:type="dxa" w:w="67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Exactly based on the approved HSD-004 main baseline.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Channel boundary</w:t>
            </w:r>
          </w:p>
        </w:tc>
        <w:tc>
          <w:tcPr>
            <w:tcW w:type="dxa" w:w="67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Exactly two fixed namespaced channels; no renderer-controlled channel argument.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Contracts</w:t>
            </w:r>
          </w:p>
        </w:tc>
        <w:tc>
          <w:tcPr>
            <w:tcW w:type="dxa" w:w="67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Strict Zod request/response/result schemas with inferred types and no duplicated manual shapes.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Sender authorization</w:t>
            </w:r>
          </w:p>
        </w:tc>
        <w:tc>
          <w:tcPr>
            <w:tcW w:type="dxa" w:w="67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Main-frame identity and shared navigation policy are validated before request execution.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Safe failures</w:t>
            </w:r>
          </w:p>
        </w:tc>
        <w:tc>
          <w:tcPr>
            <w:tcW w:type="dxa" w:w="67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Validation, forbidden, transport, and internal failures use stable safe codes without raw details.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Preload exposure</w:t>
            </w:r>
          </w:p>
        </w:tc>
        <w:tc>
          <w:tcPr>
            <w:tcW w:type="dxa" w:w="67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Only app.getInfo and app.getHealth are visible; no Electron or Node primitive is exposed.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Registration</w:t>
            </w:r>
          </w:p>
        </w:tc>
        <w:tc>
          <w:tcPr>
            <w:tcW w:type="dxa" w:w="67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Handlers are installed before renderer loading and can be disposed/re-registered without duplicates.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Renderer</w:t>
            </w:r>
          </w:p>
        </w:tc>
        <w:tc>
          <w:tcPr>
            <w:tcW w:type="dxa" w:w="67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Existing foundation UI remains recognizable and loads data asynchronously through the bridge.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Tests</w:t>
            </w:r>
          </w:p>
        </w:tc>
        <w:tc>
          <w:tcPr>
            <w:tcW w:type="dxa" w:w="67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Meaningful deterministic unit coverage; no Electron launch, network request, or real filesystem dependency.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Regression</w:t>
            </w:r>
          </w:p>
        </w:tc>
        <w:tc>
          <w:tcPr>
            <w:tcW w:type="dxa" w:w="67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HSD-003 lifecycle/navigation and HSD-004 CSP/session-permission behavior remain intact.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Scope</w:t>
            </w:r>
          </w:p>
        </w:tc>
        <w:tc>
          <w:tcPr>
            <w:tcW w:type="dxa" w:w="67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No clinical, persistence, authentication, routing, sync, CI, packaging, or web-platform work.</w:t>
            </w:r>
          </w:p>
        </w:tc>
      </w:tr>
    </w:tbl>
    <w:p/>
    <w:p>
      <w:pPr>
        <w:pStyle w:val="Heading1"/>
      </w:pPr>
      <w:r>
        <w:t>21. Reference Basis</w:t>
      </w:r>
    </w:p>
    <w:p>
      <w:r>
        <w:t>Use the current official implementation references:</w:t>
      </w:r>
    </w:p>
    <w:p>
      <w:pPr>
        <w:pStyle w:val="ListBullet"/>
      </w:pPr>
      <w:r>
        <w:t>Electron Inter-Process Communication tutorial: https://www.electronjs.org/docs/latest/tutorial/ipc</w:t>
      </w:r>
    </w:p>
    <w:p>
      <w:pPr>
        <w:pStyle w:val="ListBullet"/>
      </w:pPr>
      <w:r>
        <w:t>Electron contextBridge API: https://www.electronjs.org/docs/latest/api/context-bridge</w:t>
      </w:r>
    </w:p>
    <w:p>
      <w:pPr>
        <w:pStyle w:val="ListBullet"/>
      </w:pPr>
      <w:r>
        <w:t>Electron ipcRenderer API: https://www.electronjs.org/docs/latest/api/ipc-renderer</w:t>
      </w:r>
    </w:p>
    <w:p>
      <w:pPr>
        <w:pStyle w:val="ListBullet"/>
      </w:pPr>
      <w:r>
        <w:t>Electron ipcMain API: https://www.electronjs.org/docs/latest/api/ipc-main</w:t>
      </w:r>
    </w:p>
    <w:p>
      <w:pPr>
        <w:pStyle w:val="ListBullet"/>
      </w:pPr>
      <w:r>
        <w:t>Electron Security Checklist, especially sender validation and avoiding Electron API exposure: https://www.electronjs.org/docs/latest/tutorial/security</w:t>
      </w:r>
    </w:p>
    <w:p>
      <w:pPr>
        <w:pStyle w:val="ListBullet"/>
      </w:pPr>
      <w:r>
        <w:t>Zod documentation: https://zod.dev/</w:t>
      </w:r>
    </w:p>
    <w:p>
      <w:r>
        <w:t>The approved desktop design requires a small typed contextBridge API, allowlisted operations, main-process request validation, main-process authorization, typed success or safe application errors, and no raw ipcRenderer, filesystem primitives, arbitrary SQL, or generic execute methods. HSD-005 implements only the IPC foundation and two safe read-only application operations.</w:t>
      </w:r>
    </w:p>
    <w:p>
      <w:pPr>
        <w:pStyle w:val="Heading1"/>
      </w:pPr>
      <w:r>
        <w:t>HSD-005 Definition of Done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blHeader w:val="true"/>
          <w:cantSplit/>
        </w:trPr>
        <w:tc>
          <w:tcPr>
            <w:tcW w:type="dxa" w:w="9648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rPr>
          <w:cantSplit/>
        </w:trPr>
        <w:tc>
          <w:tcPr>
            <w:tcW w:type="dxa" w:w="9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The renderer obtains safe application information and shell-health data through two explicit asynchronous preload methods; the main process validates sender, request, and response contracts; failures are safely mapped; no privileged primitive or generic channel is exposed; all prior hardening remains intact; automated and manual verification pass; and the clean branch is pushed for review.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ptos" w:hAnsi="Aptos"/>
        <w:b/>
        <w:color w:val="5B6573"/>
        <w:sz w:val="16"/>
      </w:rPr>
      <w:t>HEALTH SCREENING OFFLINE DESKTOP APPLICATION  |  CODEX TASK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365F9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6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60" w:after="80"/>
    </w:pPr>
    <w:rPr>
      <w:rFonts w:asciiTheme="majorHAnsi" w:eastAsiaTheme="majorEastAsia" w:hAnsiTheme="majorHAnsi" w:cstheme="majorBidi" w:ascii="Aptos" w:hAnsi="Aptos"/>
      <w:b/>
      <w:i/>
      <w:iCs/>
      <w:color w:val="4472C4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 w:line="240" w:lineRule="auto"/>
      <w:ind w:left="259" w:right="259"/>
      <w:shd w:fill="F2F2F2"/>
    </w:pPr>
    <w:rPr>
      <w:rFonts w:ascii="Cascadia Mono" w:hAnsi="Cascadia Mono"/>
      <w:color w:val="1E1E1E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HSD-005 - Typed IPC Contracts and Secure Preload Bridge</dc:title>
  <dc:subject>Bounded Codex Implementation Task</dc:subject>
  <dc:creator>OpenAI</dc:creator>
  <cp:keywords>Electron, IPC, contextBridge, Zod, preload, health screening, HSD-005</cp:keywords>
  <dc:description>Health Screening Offline Desktop Application implementation task.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