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6B75"/>
          <w:sz w:val="24"/>
        </w:rPr>
        <w:t>HSD-009</w:t>
      </w:r>
    </w:p>
    <w:p>
      <w:pPr>
        <w:pStyle w:val="Title"/>
        <w:jc w:val="center"/>
      </w:pPr>
      <w:r>
        <w:t>Typed Installation Repository and</w:t>
        <w:br/>
        <w:t>First-Run State Detection</w:t>
      </w:r>
    </w:p>
    <w:p>
      <w:pPr>
        <w:pStyle w:val="Subtitle"/>
        <w:jc w:val="center"/>
      </w:pPr>
      <w:r>
        <w:t>Bounded Codex Implementation Task</w:t>
      </w:r>
    </w:p>
    <w:p>
      <w:pPr>
        <w:jc w:val="center"/>
      </w:pPr>
      <w:r>
        <w:rPr>
          <w:b/>
          <w:color w:val="17365D"/>
        </w:rPr>
        <w:t>Health Screening Offline Desktop Application</w:t>
      </w:r>
    </w:p>
    <w:p>
      <w:pPr>
        <w:jc w:val="center"/>
      </w:pPr>
      <w:r>
        <w:t>Implementation must preserve the approved HSD-001 through HSD-008 baseline.</w:t>
      </w:r>
    </w:p>
    <w:p/>
    <w:p/>
    <w:p/>
    <w:tbl>
      <w:tblPr>
        <w:tblStyle w:val="LightShading-Accent1"/>
        <w:tblW w:type="auto" w:w="0"/>
        <w:tblLook w:firstColumn="1" w:firstRow="1" w:lastColumn="0" w:lastRow="0" w:noHBand="0" w:noVBand="1" w:val="04A0"/>
      </w:tblPr>
      <w:tblGrid>
        <w:gridCol w:w="5040"/>
        <w:gridCol w:w="5040"/>
      </w:tblGrid>
      <w:tr>
        <w:trPr>
          <w:tblHeader w:val="true"/>
        </w:trPr>
        <w:tc>
          <w:tcPr>
            <w:tcW w:type="dxa" w:w="2880"/>
            <w:shd w:fill="0B6B75"/>
            <w:vAlign w:val="center"/>
          </w:tcPr>
          <w:p>
            <w:pPr>
              <w:spacing w:after="40" w:before="0"/>
            </w:pPr>
            <w:r>
              <w:rPr>
                <w:b/>
                <w:color w:val="FFFFFF"/>
                <w:sz w:val="17"/>
              </w:rPr>
              <w:t>Field</w:t>
            </w:r>
          </w:p>
        </w:tc>
        <w:tc>
          <w:tcPr>
            <w:tcW w:type="dxa" w:w="6768"/>
            <w:shd w:fill="0B6B75"/>
            <w:vAlign w:val="center"/>
          </w:tcPr>
          <w:p>
            <w:pPr>
              <w:spacing w:after="40" w:before="0"/>
            </w:pPr>
            <w:r>
              <w:rPr>
                <w:b/>
                <w:color w:val="FFFFFF"/>
                <w:sz w:val="17"/>
              </w:rPr>
              <w:t>Required value</w:t>
            </w:r>
          </w:p>
        </w:tc>
      </w:tr>
      <w:tr>
        <w:tc>
          <w:tcPr>
            <w:tcW w:type="dxa" w:w="2880"/>
            <w:vAlign w:val="top"/>
          </w:tcPr>
          <w:p>
            <w:pPr>
              <w:spacing w:after="40" w:before="0"/>
            </w:pPr>
            <w:r>
              <w:rPr>
                <w:sz w:val="17"/>
              </w:rPr>
              <w:t>Task ID</w:t>
            </w:r>
          </w:p>
        </w:tc>
        <w:tc>
          <w:tcPr>
            <w:tcW w:type="dxa" w:w="6768"/>
            <w:vAlign w:val="top"/>
          </w:tcPr>
          <w:p>
            <w:pPr>
              <w:spacing w:after="40" w:before="0"/>
            </w:pPr>
            <w:r>
              <w:rPr>
                <w:sz w:val="17"/>
              </w:rPr>
              <w:t>HSD-009</w:t>
            </w:r>
          </w:p>
        </w:tc>
      </w:tr>
      <w:tr>
        <w:tc>
          <w:tcPr>
            <w:tcW w:type="dxa" w:w="2880"/>
            <w:vAlign w:val="top"/>
          </w:tcPr>
          <w:p>
            <w:pPr>
              <w:spacing w:after="40" w:before="0"/>
            </w:pPr>
            <w:r>
              <w:rPr>
                <w:sz w:val="17"/>
              </w:rPr>
              <w:t>Status</w:t>
            </w:r>
          </w:p>
        </w:tc>
        <w:tc>
          <w:tcPr>
            <w:tcW w:type="dxa" w:w="6768"/>
            <w:vAlign w:val="top"/>
          </w:tcPr>
          <w:p>
            <w:pPr>
              <w:spacing w:after="40" w:before="0"/>
            </w:pPr>
            <w:r>
              <w:rPr>
                <w:sz w:val="17"/>
              </w:rPr>
              <w:t>Ready for implementation after HSD-008 is merged into main</w:t>
            </w:r>
          </w:p>
        </w:tc>
      </w:tr>
      <w:tr>
        <w:tc>
          <w:tcPr>
            <w:tcW w:type="dxa" w:w="2880"/>
            <w:vAlign w:val="top"/>
          </w:tcPr>
          <w:p>
            <w:pPr>
              <w:spacing w:after="40" w:before="0"/>
            </w:pPr>
            <w:r>
              <w:rPr>
                <w:sz w:val="17"/>
              </w:rPr>
              <w:t>Approved baseline</w:t>
            </w:r>
          </w:p>
        </w:tc>
        <w:tc>
          <w:tcPr>
            <w:tcW w:type="dxa" w:w="6768"/>
            <w:vAlign w:val="top"/>
          </w:tcPr>
          <w:p>
            <w:pPr>
              <w:spacing w:after="40" w:before="0"/>
            </w:pPr>
            <w:r>
              <w:rPr>
                <w:sz w:val="17"/>
              </w:rPr>
              <w:t>main at merge commit e936c25 - complete HSD-008 transactional data foundation</w:t>
            </w:r>
          </w:p>
        </w:tc>
      </w:tr>
      <w:tr>
        <w:tc>
          <w:tcPr>
            <w:tcW w:type="dxa" w:w="2880"/>
            <w:vAlign w:val="top"/>
          </w:tcPr>
          <w:p>
            <w:pPr>
              <w:spacing w:after="40" w:before="0"/>
            </w:pPr>
            <w:r>
              <w:rPr>
                <w:sz w:val="17"/>
              </w:rPr>
              <w:t>Branch</w:t>
            </w:r>
          </w:p>
        </w:tc>
        <w:tc>
          <w:tcPr>
            <w:tcW w:type="dxa" w:w="6768"/>
            <w:vAlign w:val="top"/>
          </w:tcPr>
          <w:p>
            <w:pPr>
              <w:spacing w:after="40" w:before="0"/>
            </w:pPr>
            <w:r>
              <w:rPr>
                <w:sz w:val="17"/>
              </w:rPr>
              <w:t>feature/hsd-009-installation-repository</w:t>
            </w:r>
          </w:p>
        </w:tc>
      </w:tr>
      <w:tr>
        <w:tc>
          <w:tcPr>
            <w:tcW w:type="dxa" w:w="2880"/>
            <w:vAlign w:val="top"/>
          </w:tcPr>
          <w:p>
            <w:pPr>
              <w:spacing w:after="40" w:before="0"/>
            </w:pPr>
            <w:r>
              <w:rPr>
                <w:sz w:val="17"/>
              </w:rPr>
              <w:t>Primary commit</w:t>
            </w:r>
          </w:p>
        </w:tc>
        <w:tc>
          <w:tcPr>
            <w:tcW w:type="dxa" w:w="6768"/>
            <w:vAlign w:val="top"/>
          </w:tcPr>
          <w:p>
            <w:pPr>
              <w:spacing w:after="40" w:before="0"/>
            </w:pPr>
            <w:r>
              <w:rPr>
                <w:sz w:val="17"/>
              </w:rPr>
              <w:t>feat: add installation state repository</w:t>
            </w:r>
          </w:p>
        </w:tc>
      </w:tr>
      <w:tr>
        <w:tc>
          <w:tcPr>
            <w:tcW w:type="dxa" w:w="2880"/>
            <w:vAlign w:val="top"/>
          </w:tcPr>
          <w:p>
            <w:pPr>
              <w:spacing w:after="40" w:before="0"/>
            </w:pPr>
            <w:r>
              <w:rPr>
                <w:sz w:val="17"/>
              </w:rPr>
              <w:t>Work package</w:t>
            </w:r>
          </w:p>
        </w:tc>
        <w:tc>
          <w:tcPr>
            <w:tcW w:type="dxa" w:w="6768"/>
            <w:vAlign w:val="top"/>
          </w:tcPr>
          <w:p>
            <w:pPr>
              <w:spacing w:after="40" w:before="0"/>
            </w:pPr>
            <w:r>
              <w:rPr>
                <w:sz w:val="17"/>
              </w:rPr>
              <w:t>WP3 - SQLite and Migrations; bridge into WP4 - Local Authentication and Administration</w:t>
            </w:r>
          </w:p>
        </w:tc>
      </w:tr>
      <w:tr>
        <w:tc>
          <w:tcPr>
            <w:tcW w:type="dxa" w:w="2880"/>
            <w:vAlign w:val="top"/>
          </w:tcPr>
          <w:p>
            <w:pPr>
              <w:spacing w:after="40" w:before="0"/>
            </w:pPr>
            <w:r>
              <w:rPr>
                <w:sz w:val="17"/>
              </w:rPr>
              <w:t>Schema impact</w:t>
            </w:r>
          </w:p>
        </w:tc>
        <w:tc>
          <w:tcPr>
            <w:tcW w:type="dxa" w:w="6768"/>
            <w:vAlign w:val="top"/>
          </w:tcPr>
          <w:p>
            <w:pPr>
              <w:spacing w:after="40" w:before="0"/>
            </w:pPr>
            <w:r>
              <w:rPr>
                <w:sz w:val="17"/>
              </w:rPr>
              <w:t>None. Keep schema version 1 and 0001-initial-schema.sql unchanged.</w:t>
            </w:r>
          </w:p>
        </w:tc>
      </w:tr>
      <w:tr>
        <w:tc>
          <w:tcPr>
            <w:tcW w:type="dxa" w:w="2880"/>
            <w:vAlign w:val="top"/>
          </w:tcPr>
          <w:p>
            <w:pPr>
              <w:spacing w:after="40" w:before="0"/>
            </w:pPr>
            <w:r>
              <w:rPr>
                <w:sz w:val="17"/>
              </w:rPr>
              <w:t>Package impact</w:t>
            </w:r>
          </w:p>
        </w:tc>
        <w:tc>
          <w:tcPr>
            <w:tcW w:type="dxa" w:w="6768"/>
            <w:vAlign w:val="top"/>
          </w:tcPr>
          <w:p>
            <w:pPr>
              <w:spacing w:after="40" w:before="0"/>
            </w:pPr>
            <w:r>
              <w:rPr>
                <w:sz w:val="17"/>
              </w:rPr>
              <w:t>None. No package.json or pnpm-lock.yaml changes.</w:t>
            </w:r>
          </w:p>
        </w:tc>
      </w:tr>
      <w:tr>
        <w:tc>
          <w:tcPr>
            <w:tcW w:type="dxa" w:w="2880"/>
            <w:vAlign w:val="top"/>
          </w:tcPr>
          <w:p>
            <w:pPr>
              <w:spacing w:after="40" w:before="0"/>
            </w:pPr>
            <w:r>
              <w:rPr>
                <w:sz w:val="17"/>
              </w:rPr>
              <w:t>Runtime impact</w:t>
            </w:r>
          </w:p>
        </w:tc>
        <w:tc>
          <w:tcPr>
            <w:tcW w:type="dxa" w:w="6768"/>
            <w:vAlign w:val="top"/>
          </w:tcPr>
          <w:p>
            <w:pPr>
              <w:spacing w:after="40" w:before="0"/>
            </w:pPr>
            <w:r>
              <w:rPr>
                <w:sz w:val="17"/>
              </w:rPr>
              <w:t>No production startup write, no new IPC, no renderer change, no first-run UI yet.</w:t>
            </w:r>
          </w:p>
        </w:tc>
      </w:tr>
    </w:tbl>
    <w:p/>
    <w:tbl>
      <w:tblPr>
        <w:tblW w:type="auto" w:w="0"/>
        <w:tblLook w:firstColumn="1" w:firstRow="1" w:lastColumn="0" w:lastRow="0" w:noHBand="0" w:noVBand="1" w:val="04A0"/>
      </w:tblPr>
      <w:tblGrid>
        <w:gridCol w:w="10080"/>
      </w:tblGrid>
      <w:tr>
        <w:tc>
          <w:tcPr>
            <w:tcW w:type="dxa" w:w="10080"/>
            <w:shd w:fill="FFF2CC"/>
            <w:vAlign w:val="center"/>
          </w:tcPr>
          <w:p>
            <w:pPr>
              <w:spacing w:after="40" w:before="0"/>
            </w:pPr>
            <w:r>
              <w:rPr>
                <w:b/>
                <w:sz w:val="17"/>
              </w:rPr>
              <w:t>Scope boundary: HSD-009 creates the first typed production repository and a read-only first-run state query. It does not initialize an installation, create an administrator or location, hash passwords, seed a protocol, expose IPC, or change the renderer.</w:t>
            </w:r>
          </w:p>
        </w:tc>
      </w:tr>
    </w:tbl>
    <w:p>
      <w:r>
        <w:br w:type="page"/>
      </w:r>
    </w:p>
    <w:p>
      <w:pPr>
        <w:pStyle w:val="Heading1"/>
        <w:keepNext/>
      </w:pPr>
      <w:r>
        <w:t>1. Task Brief</w:t>
      </w:r>
    </w:p>
    <w:p>
      <w:pPr/>
      <w:r>
        <w:t>HSD-009 establishes the repository pattern that later local administration and clinical modules must follow. The task introduces a typed installation repository over the existing schema-v1 installation table, strict runtime row decoding, controlled repository errors, and a deterministic first-run state reader.</w:t>
      </w:r>
    </w:p>
    <w:p>
      <w:pPr/>
      <w:r>
        <w:t>The installation row represents one desktop deployment. Its UUID will later identify the field laptop installation in audit and synchronization payloads. The repository must preserve the singleton invariant, validate every value read from SQLite, perform writes only through the HSD-008 transaction-scoped connection, and never expose raw SQLite failures or database content.</w:t>
      </w:r>
    </w:p>
    <w:p>
      <w:pPr/>
      <w:r>
        <w:t>HSD-009 is intentionally not the first-run workflow. It provides the trusted persistence boundary that a later application service will compose with user, location, protocol, password, audit, and IPC work.</w:t>
      </w:r>
    </w:p>
    <w:p>
      <w:pPr>
        <w:pStyle w:val="Heading1"/>
        <w:keepNext/>
      </w:pPr>
      <w:r>
        <w:t>2. Prerequisite and Branch Setup</w:t>
      </w:r>
    </w:p>
    <w:p>
      <w:pPr/>
      <w:r>
        <w:t>HSD-008 must already be fully approved and merged into main. The expected baseline is:</w:t>
      </w:r>
    </w:p>
    <w:p>
      <w:pPr>
        <w:pStyle w:val="CodeBlock"/>
        <w:keepLines/>
      </w:pPr>
      <w:r>
        <w:t>e936c25 merge: complete HSD-008 transactional data foundation</w:t>
      </w:r>
    </w:p>
    <w:p>
      <w:pPr>
        <w:pStyle w:val="CodeBlock"/>
        <w:keepLines/>
      </w:pPr>
      <w:r>
        <w:t>git switch main</w:t>
        <w:br/>
        <w:t>git pull origin main</w:t>
        <w:br/>
        <w:t>git status</w:t>
        <w:br/>
        <w:t>git log -7 --oneline</w:t>
        <w:br/>
        <w:t>git switch -c feature/hsd-009-installation-repository</w:t>
      </w:r>
    </w:p>
    <w:p>
      <w:pPr>
        <w:pStyle w:val="ListBullet"/>
      </w:pPr>
      <w:r>
        <w:t>The working tree must be clean before the branch is created.</w:t>
      </w:r>
    </w:p>
    <w:p>
      <w:pPr>
        <w:pStyle w:val="ListBullet"/>
      </w:pPr>
      <w:r>
        <w:t>The branch must start from main at e936c25 or a later reviewed main commit that contains the same HSD-008 merge.</w:t>
      </w:r>
    </w:p>
    <w:p>
      <w:pPr>
        <w:pStyle w:val="ListBullet"/>
      </w:pPr>
      <w:r>
        <w:t>Copy this task document into doc/ without changing its requirements.</w:t>
      </w:r>
    </w:p>
    <w:p>
      <w:pPr>
        <w:pStyle w:val="ListBullet"/>
      </w:pPr>
      <w:r>
        <w:t>Do not amend, squash, reset, or force-push reviewed HSD commits.</w:t>
      </w:r>
    </w:p>
    <w:p>
      <w:pPr>
        <w:pStyle w:val="ListBullet"/>
      </w:pPr>
      <w:r>
        <w:t>Do not add a package or change Electron, better-sqlite3, Vite, Vitest, ESLint, TypeScript, or packaging configuration.</w:t>
      </w:r>
    </w:p>
    <w:p>
      <w:pPr>
        <w:pStyle w:val="Heading1"/>
        <w:keepNext/>
      </w:pPr>
      <w:r>
        <w:t>3. Goal</w:t>
      </w:r>
    </w:p>
    <w:p>
      <w:pPr/>
      <w:r>
        <w:t>Create a small, explicit, testable repository boundary for the installation singleton so later first-run setup can determine whether the application is initialized and can create the installation row inside a larger caller-owned transaction.</w:t>
      </w:r>
    </w:p>
    <w:p>
      <w:pPr>
        <w:pStyle w:val="Heading1"/>
        <w:keepNext/>
      </w:pPr>
      <w:r>
        <w:t>4. Required Outcomes</w:t>
      </w:r>
    </w:p>
    <w:tbl>
      <w:tblPr>
        <w:tblStyle w:val="LightShading-Accent1"/>
        <w:tblW w:type="auto" w:w="0"/>
        <w:tblLook w:firstColumn="1" w:firstRow="1" w:lastColumn="0" w:lastRow="0" w:noHBand="0" w:noVBand="1" w:val="04A0"/>
      </w:tblPr>
      <w:tblGrid>
        <w:gridCol w:w="5040"/>
        <w:gridCol w:w="5040"/>
      </w:tblGrid>
      <w:tr>
        <w:trPr>
          <w:tblHeader w:val="true"/>
        </w:trPr>
        <w:tc>
          <w:tcPr>
            <w:tcW w:type="dxa" w:w="2592"/>
            <w:shd w:fill="0B6B75"/>
            <w:vAlign w:val="center"/>
          </w:tcPr>
          <w:p>
            <w:pPr>
              <w:spacing w:after="40" w:before="0"/>
            </w:pPr>
            <w:r>
              <w:rPr>
                <w:b/>
                <w:color w:val="FFFFFF"/>
                <w:sz w:val="17"/>
              </w:rPr>
              <w:t>Area</w:t>
            </w:r>
          </w:p>
        </w:tc>
        <w:tc>
          <w:tcPr>
            <w:tcW w:type="dxa" w:w="7056"/>
            <w:shd w:fill="0B6B75"/>
            <w:vAlign w:val="center"/>
          </w:tcPr>
          <w:p>
            <w:pPr>
              <w:spacing w:after="40" w:before="0"/>
            </w:pPr>
            <w:r>
              <w:rPr>
                <w:b/>
                <w:color w:val="FFFFFF"/>
                <w:sz w:val="17"/>
              </w:rPr>
              <w:t>Required outcome</w:t>
            </w:r>
          </w:p>
        </w:tc>
      </w:tr>
      <w:tr>
        <w:tc>
          <w:tcPr>
            <w:tcW w:type="dxa" w:w="2592"/>
            <w:vAlign w:val="top"/>
          </w:tcPr>
          <w:p>
            <w:pPr>
              <w:spacing w:after="40" w:before="0"/>
            </w:pPr>
            <w:r>
              <w:rPr>
                <w:sz w:val="17"/>
              </w:rPr>
              <w:t>Repository boundary</w:t>
            </w:r>
          </w:p>
        </w:tc>
        <w:tc>
          <w:tcPr>
            <w:tcW w:type="dxa" w:w="7056"/>
            <w:vAlign w:val="top"/>
          </w:tcPr>
          <w:p>
            <w:pPr>
              <w:spacing w:after="40" w:before="0"/>
            </w:pPr>
            <w:r>
              <w:rPr>
                <w:sz w:val="17"/>
              </w:rPr>
              <w:t>One main-process installation repository owns exact SQL and strict row decoding for the installation table.</w:t>
            </w:r>
          </w:p>
        </w:tc>
      </w:tr>
      <w:tr>
        <w:tc>
          <w:tcPr>
            <w:tcW w:type="dxa" w:w="2592"/>
            <w:vAlign w:val="top"/>
          </w:tcPr>
          <w:p>
            <w:pPr>
              <w:spacing w:after="40" w:before="0"/>
            </w:pPr>
            <w:r>
              <w:rPr>
                <w:sz w:val="17"/>
              </w:rPr>
              <w:t>First-run detection</w:t>
            </w:r>
          </w:p>
        </w:tc>
        <w:tc>
          <w:tcPr>
            <w:tcW w:type="dxa" w:w="7056"/>
            <w:vAlign w:val="top"/>
          </w:tcPr>
          <w:p>
            <w:pPr>
              <w:spacing w:after="40" w:before="0"/>
            </w:pPr>
            <w:r>
              <w:rPr>
                <w:sz w:val="17"/>
              </w:rPr>
              <w:t>A read-only state query returns UNINITIALIZED when no installation row exists and INITIALIZED with a validated record when it exists.</w:t>
            </w:r>
          </w:p>
        </w:tc>
      </w:tr>
      <w:tr>
        <w:tc>
          <w:tcPr>
            <w:tcW w:type="dxa" w:w="2592"/>
            <w:vAlign w:val="top"/>
          </w:tcPr>
          <w:p>
            <w:pPr>
              <w:spacing w:after="40" w:before="0"/>
            </w:pPr>
            <w:r>
              <w:rPr>
                <w:sz w:val="17"/>
              </w:rPr>
              <w:t>Transaction discipline</w:t>
            </w:r>
          </w:p>
        </w:tc>
        <w:tc>
          <w:tcPr>
            <w:tcW w:type="dxa" w:w="7056"/>
            <w:vAlign w:val="top"/>
          </w:tcPr>
          <w:p>
            <w:pPr>
              <w:spacing w:after="40" w:before="0"/>
            </w:pPr>
            <w:r>
              <w:rPr>
                <w:sz w:val="17"/>
              </w:rPr>
              <w:t>The repository never starts, commits, rolls back, retries, or nests a transaction. Installation creation requires the HSD-008 scoped connection.</w:t>
            </w:r>
          </w:p>
        </w:tc>
      </w:tr>
      <w:tr>
        <w:tc>
          <w:tcPr>
            <w:tcW w:type="dxa" w:w="2592"/>
            <w:vAlign w:val="top"/>
          </w:tcPr>
          <w:p>
            <w:pPr>
              <w:spacing w:after="40" w:before="0"/>
            </w:pPr>
            <w:r>
              <w:rPr>
                <w:sz w:val="17"/>
              </w:rPr>
              <w:t>Singleton integrity</w:t>
            </w:r>
          </w:p>
        </w:tc>
        <w:tc>
          <w:tcPr>
            <w:tcW w:type="dxa" w:w="7056"/>
            <w:vAlign w:val="top"/>
          </w:tcPr>
          <w:p>
            <w:pPr>
              <w:spacing w:after="40" w:before="0"/>
            </w:pPr>
            <w:r>
              <w:rPr>
                <w:sz w:val="17"/>
              </w:rPr>
              <w:t>Only singleton_id=1 is written; duplicate initialization is refused without changing the original installation.</w:t>
            </w:r>
          </w:p>
        </w:tc>
      </w:tr>
      <w:tr>
        <w:tc>
          <w:tcPr>
            <w:tcW w:type="dxa" w:w="2592"/>
            <w:vAlign w:val="top"/>
          </w:tcPr>
          <w:p>
            <w:pPr>
              <w:spacing w:after="40" w:before="0"/>
            </w:pPr>
            <w:r>
              <w:rPr>
                <w:sz w:val="17"/>
              </w:rPr>
              <w:t>Trusted types</w:t>
            </w:r>
          </w:p>
        </w:tc>
        <w:tc>
          <w:tcPr>
            <w:tcW w:type="dxa" w:w="7056"/>
            <w:vAlign w:val="top"/>
          </w:tcPr>
          <w:p>
            <w:pPr>
              <w:spacing w:after="40" w:before="0"/>
            </w:pPr>
            <w:r>
              <w:rPr>
                <w:sz w:val="17"/>
              </w:rPr>
              <w:t>Entity ID and timestamps use HSD-008 branded parsers; deployment name and IANA timezone use validated domain types.</w:t>
            </w:r>
          </w:p>
        </w:tc>
      </w:tr>
      <w:tr>
        <w:tc>
          <w:tcPr>
            <w:tcW w:type="dxa" w:w="2592"/>
            <w:vAlign w:val="top"/>
          </w:tcPr>
          <w:p>
            <w:pPr>
              <w:spacing w:after="40" w:before="0"/>
            </w:pPr>
            <w:r>
              <w:rPr>
                <w:sz w:val="17"/>
              </w:rPr>
              <w:t>Controlled failures</w:t>
            </w:r>
          </w:p>
        </w:tc>
        <w:tc>
          <w:tcPr>
            <w:tcW w:type="dxa" w:w="7056"/>
            <w:vAlign w:val="top"/>
          </w:tcPr>
          <w:p>
            <w:pPr>
              <w:spacing w:after="40" w:before="0"/>
            </w:pPr>
            <w:r>
              <w:rPr>
                <w:sz w:val="17"/>
              </w:rPr>
              <w:t>Read, write, duplicate, invalid-input, and invalid-row failures are controlled and contain no raw cause, stack, SQL, path, or values.</w:t>
            </w:r>
          </w:p>
        </w:tc>
      </w:tr>
      <w:tr>
        <w:tc>
          <w:tcPr>
            <w:tcW w:type="dxa" w:w="2592"/>
            <w:vAlign w:val="top"/>
          </w:tcPr>
          <w:p>
            <w:pPr>
              <w:spacing w:after="40" w:before="0"/>
            </w:pPr>
            <w:r>
              <w:rPr>
                <w:sz w:val="17"/>
              </w:rPr>
              <w:t>No side effects</w:t>
            </w:r>
          </w:p>
        </w:tc>
        <w:tc>
          <w:tcPr>
            <w:tcW w:type="dxa" w:w="7056"/>
            <w:vAlign w:val="top"/>
          </w:tcPr>
          <w:p>
            <w:pPr>
              <w:spacing w:after="40" w:before="0"/>
            </w:pPr>
            <w:r>
              <w:rPr>
                <w:sz w:val="17"/>
              </w:rPr>
              <w:t>Fresh-state detection performs no writes, creates no default records, and does not change user_version or schema_migrations.</w:t>
            </w:r>
          </w:p>
        </w:tc>
      </w:tr>
      <w:tr>
        <w:tc>
          <w:tcPr>
            <w:tcW w:type="dxa" w:w="2592"/>
            <w:vAlign w:val="top"/>
          </w:tcPr>
          <w:p>
            <w:pPr>
              <w:spacing w:after="40" w:before="0"/>
            </w:pPr>
            <w:r>
              <w:rPr>
                <w:sz w:val="17"/>
              </w:rPr>
              <w:t>Evidence</w:t>
            </w:r>
          </w:p>
        </w:tc>
        <w:tc>
          <w:tcPr>
            <w:tcW w:type="dxa" w:w="7056"/>
            <w:vAlign w:val="top"/>
          </w:tcPr>
          <w:p>
            <w:pPr>
              <w:spacing w:after="40" w:before="0"/>
            </w:pPr>
            <w:r>
              <w:rPr>
                <w:sz w:val="17"/>
              </w:rPr>
              <w:t>Temporary file-backed SQLite tests prove persistence, rollback, corruption refusal, safe errors, and no scope regressions.</w:t>
            </w:r>
          </w:p>
        </w:tc>
      </w:tr>
    </w:tbl>
    <w:p>
      <w:pPr>
        <w:pStyle w:val="Heading1"/>
        <w:keepNext/>
      </w:pPr>
      <w:r>
        <w:t>5. Scope</w:t>
      </w:r>
    </w:p>
    <w:tbl>
      <w:tblPr>
        <w:tblStyle w:val="LightShading-Accent1"/>
        <w:tblW w:type="auto" w:w="0"/>
        <w:tblLook w:firstColumn="1" w:firstRow="1" w:lastColumn="0" w:lastRow="0" w:noHBand="0" w:noVBand="1" w:val="04A0"/>
      </w:tblPr>
      <w:tblGrid>
        <w:gridCol w:w="5040"/>
        <w:gridCol w:w="5040"/>
      </w:tblGrid>
      <w:tr>
        <w:trPr>
          <w:tblHeader w:val="true"/>
        </w:trPr>
        <w:tc>
          <w:tcPr>
            <w:tcW w:type="dxa" w:w="4680"/>
            <w:shd w:fill="0B6B75"/>
            <w:vAlign w:val="center"/>
          </w:tcPr>
          <w:p>
            <w:pPr>
              <w:spacing w:after="40" w:before="0"/>
            </w:pPr>
            <w:r>
              <w:rPr>
                <w:b/>
                <w:color w:val="FFFFFF"/>
                <w:sz w:val="17"/>
              </w:rPr>
              <w:t>In scope</w:t>
            </w:r>
          </w:p>
        </w:tc>
        <w:tc>
          <w:tcPr>
            <w:tcW w:type="dxa" w:w="4680"/>
            <w:shd w:fill="0B6B75"/>
            <w:vAlign w:val="center"/>
          </w:tcPr>
          <w:p>
            <w:pPr>
              <w:spacing w:after="40" w:before="0"/>
            </w:pPr>
            <w:r>
              <w:rPr>
                <w:b/>
                <w:color w:val="FFFFFF"/>
                <w:sz w:val="17"/>
              </w:rPr>
              <w:t>Out of scope</w:t>
            </w:r>
          </w:p>
        </w:tc>
      </w:tr>
      <w:tr>
        <w:tc>
          <w:tcPr>
            <w:tcW w:type="dxa" w:w="4680"/>
            <w:vAlign w:val="top"/>
          </w:tcPr>
          <w:p>
            <w:pPr>
              <w:spacing w:after="40" w:before="0"/>
            </w:pPr>
            <w:r>
              <w:rPr>
                <w:sz w:val="17"/>
              </w:rPr>
              <w:t>Typed installation domain contracts and validation</w:t>
            </w:r>
          </w:p>
        </w:tc>
        <w:tc>
          <w:tcPr>
            <w:tcW w:type="dxa" w:w="4680"/>
            <w:vAlign w:val="top"/>
          </w:tcPr>
          <w:p>
            <w:pPr>
              <w:spacing w:after="40" w:before="0"/>
            </w:pPr>
            <w:r>
              <w:rPr>
                <w:sz w:val="17"/>
              </w:rPr>
              <w:t>First-run renderer screen, routing, forms, or visual design</w:t>
            </w:r>
          </w:p>
        </w:tc>
      </w:tr>
      <w:tr>
        <w:tc>
          <w:tcPr>
            <w:tcW w:type="dxa" w:w="4680"/>
            <w:vAlign w:val="top"/>
          </w:tcPr>
          <w:p>
            <w:pPr>
              <w:spacing w:after="40" w:before="0"/>
            </w:pPr>
            <w:r>
              <w:rPr>
                <w:sz w:val="17"/>
              </w:rPr>
              <w:t>Repository factory, exact SQL, strict row mapper, and singleton read/create behavior</w:t>
            </w:r>
          </w:p>
        </w:tc>
        <w:tc>
          <w:tcPr>
            <w:tcW w:type="dxa" w:w="4680"/>
            <w:vAlign w:val="top"/>
          </w:tcPr>
          <w:p>
            <w:pPr>
              <w:spacing w:after="40" w:before="0"/>
            </w:pPr>
            <w:r>
              <w:rPr>
                <w:sz w:val="17"/>
              </w:rPr>
              <w:t>Administrator, nurse, screener, location, protocol, audit, patient, encounter, referral, follow-up, or outbox repositories</w:t>
            </w:r>
          </w:p>
        </w:tc>
      </w:tr>
      <w:tr>
        <w:tc>
          <w:tcPr>
            <w:tcW w:type="dxa" w:w="4680"/>
            <w:vAlign w:val="top"/>
          </w:tcPr>
          <w:p>
            <w:pPr>
              <w:spacing w:after="40" w:before="0"/>
            </w:pPr>
            <w:r>
              <w:rPr>
                <w:sz w:val="17"/>
              </w:rPr>
              <w:t>Read-only first-run state detection</w:t>
            </w:r>
          </w:p>
        </w:tc>
        <w:tc>
          <w:tcPr>
            <w:tcW w:type="dxa" w:w="4680"/>
            <w:vAlign w:val="top"/>
          </w:tcPr>
          <w:p>
            <w:pPr>
              <w:spacing w:after="40" w:before="0"/>
            </w:pPr>
            <w:r>
              <w:rPr>
                <w:sz w:val="17"/>
              </w:rPr>
              <w:t>Application initialization orchestration or production seed data</w:t>
            </w:r>
          </w:p>
        </w:tc>
      </w:tr>
      <w:tr>
        <w:tc>
          <w:tcPr>
            <w:tcW w:type="dxa" w:w="4680"/>
            <w:vAlign w:val="top"/>
          </w:tcPr>
          <w:p>
            <w:pPr>
              <w:spacing w:after="40" w:before="0"/>
            </w:pPr>
            <w:r>
              <w:rPr>
                <w:sz w:val="17"/>
              </w:rPr>
              <w:t>Caller-owned transaction write integration</w:t>
            </w:r>
          </w:p>
        </w:tc>
        <w:tc>
          <w:tcPr>
            <w:tcW w:type="dxa" w:w="4680"/>
            <w:vAlign w:val="top"/>
          </w:tcPr>
          <w:p>
            <w:pPr>
              <w:spacing w:after="40" w:before="0"/>
            </w:pPr>
            <w:r>
              <w:rPr>
                <w:sz w:val="17"/>
              </w:rPr>
              <w:t>Password hashing, authentication, sessions, lockout, RBAC, or user management</w:t>
            </w:r>
          </w:p>
        </w:tc>
      </w:tr>
      <w:tr>
        <w:tc>
          <w:tcPr>
            <w:tcW w:type="dxa" w:w="4680"/>
            <w:vAlign w:val="top"/>
          </w:tcPr>
          <w:p>
            <w:pPr>
              <w:spacing w:after="40" w:before="0"/>
            </w:pPr>
            <w:r>
              <w:rPr>
                <w:sz w:val="17"/>
              </w:rPr>
              <w:t>Controlled repository errors and safe serialization tests</w:t>
            </w:r>
          </w:p>
        </w:tc>
        <w:tc>
          <w:tcPr>
            <w:tcW w:type="dxa" w:w="4680"/>
            <w:vAlign w:val="top"/>
          </w:tcPr>
          <w:p>
            <w:pPr>
              <w:spacing w:after="40" w:before="0"/>
            </w:pPr>
            <w:r>
              <w:rPr>
                <w:sz w:val="17"/>
              </w:rPr>
              <w:t>New IPC channels, preload methods, renderer APIs, or app startup integration</w:t>
            </w:r>
          </w:p>
        </w:tc>
      </w:tr>
      <w:tr>
        <w:tc>
          <w:tcPr>
            <w:tcW w:type="dxa" w:w="4680"/>
            <w:vAlign w:val="top"/>
          </w:tcPr>
          <w:p>
            <w:pPr>
              <w:spacing w:after="40" w:before="0"/>
            </w:pPr>
            <w:r>
              <w:rPr>
                <w:sz w:val="17"/>
              </w:rPr>
              <w:t>Repository documentation and integration tests</w:t>
            </w:r>
          </w:p>
        </w:tc>
        <w:tc>
          <w:tcPr>
            <w:tcW w:type="dxa" w:w="4680"/>
            <w:vAlign w:val="top"/>
          </w:tcPr>
          <w:p>
            <w:pPr>
              <w:spacing w:after="40" w:before="0"/>
            </w:pPr>
            <w:r>
              <w:rPr>
                <w:sz w:val="17"/>
              </w:rPr>
              <w:t>Schema migration 0002 or changes to schema-v1 contract</w:t>
            </w:r>
          </w:p>
        </w:tc>
      </w:tr>
      <w:tr>
        <w:tc>
          <w:tcPr>
            <w:tcW w:type="dxa" w:w="4680"/>
            <w:vAlign w:val="top"/>
          </w:tcPr>
          <w:p>
            <w:pPr>
              <w:spacing w:after="40" w:before="0"/>
            </w:pPr>
            <w:r>
              <w:rPr>
                <w:sz w:val="17"/>
              </w:rPr>
              <w:t>Runtime IANA timezone validation using built-in Intl support</w:t>
            </w:r>
          </w:p>
        </w:tc>
        <w:tc>
          <w:tcPr>
            <w:tcW w:type="dxa" w:w="4680"/>
            <w:vAlign w:val="top"/>
          </w:tcPr>
          <w:p>
            <w:pPr>
              <w:spacing w:after="40" w:before="0"/>
            </w:pPr>
            <w:r>
              <w:rPr>
                <w:sz w:val="17"/>
              </w:rPr>
              <w:t>Network, sync transport, FHIR, portal, AI, backup, restore, printing, or reporting</w:t>
            </w:r>
          </w:p>
        </w:tc>
      </w:tr>
    </w:tbl>
    <w:p>
      <w:pPr>
        <w:pStyle w:val="Heading1"/>
        <w:keepNext/>
      </w:pPr>
      <w:r>
        <w:t>6. Required Files</w:t>
      </w:r>
    </w:p>
    <w:tbl>
      <w:tblPr>
        <w:tblStyle w:val="LightShading-Accent1"/>
        <w:tblW w:type="auto" w:w="0"/>
        <w:tblLook w:firstColumn="1" w:firstRow="1" w:lastColumn="0" w:lastRow="0" w:noHBand="0" w:noVBand="1" w:val="04A0"/>
      </w:tblPr>
      <w:tblGrid>
        <w:gridCol w:w="3360"/>
        <w:gridCol w:w="3360"/>
        <w:gridCol w:w="3360"/>
      </w:tblGrid>
      <w:tr>
        <w:trPr>
          <w:tblHeader w:val="true"/>
        </w:trPr>
        <w:tc>
          <w:tcPr>
            <w:tcW w:type="dxa" w:w="4320"/>
            <w:shd w:fill="0B6B75"/>
            <w:vAlign w:val="center"/>
          </w:tcPr>
          <w:p>
            <w:pPr>
              <w:spacing w:after="40" w:before="0"/>
            </w:pPr>
            <w:r>
              <w:rPr>
                <w:b/>
                <w:color w:val="FFFFFF"/>
                <w:sz w:val="17"/>
              </w:rPr>
              <w:t>Path</w:t>
            </w:r>
          </w:p>
        </w:tc>
        <w:tc>
          <w:tcPr>
            <w:tcW w:type="dxa" w:w="1152"/>
            <w:shd w:fill="0B6B75"/>
            <w:vAlign w:val="center"/>
          </w:tcPr>
          <w:p>
            <w:pPr>
              <w:spacing w:after="40" w:before="0"/>
            </w:pPr>
            <w:r>
              <w:rPr>
                <w:b/>
                <w:color w:val="FFFFFF"/>
                <w:sz w:val="17"/>
              </w:rPr>
              <w:t>Action</w:t>
            </w:r>
          </w:p>
        </w:tc>
        <w:tc>
          <w:tcPr>
            <w:tcW w:type="dxa" w:w="4176"/>
            <w:shd w:fill="0B6B75"/>
            <w:vAlign w:val="center"/>
          </w:tcPr>
          <w:p>
            <w:pPr>
              <w:spacing w:after="40" w:before="0"/>
            </w:pPr>
            <w:r>
              <w:rPr>
                <w:b/>
                <w:color w:val="FFFFFF"/>
                <w:sz w:val="17"/>
              </w:rPr>
              <w:t>Responsibility</w:t>
            </w:r>
          </w:p>
        </w:tc>
      </w:tr>
      <w:tr>
        <w:tc>
          <w:tcPr>
            <w:tcW w:type="dxa" w:w="4320"/>
            <w:vAlign w:val="top"/>
          </w:tcPr>
          <w:p>
            <w:pPr>
              <w:spacing w:after="40" w:before="0"/>
            </w:pPr>
            <w:r>
              <w:rPr>
                <w:sz w:val="17"/>
              </w:rPr>
              <w:t>doc/HSD-009_Typed_Installation_Repository_and_First_Run_State_Codex_Task.docx</w:t>
            </w:r>
          </w:p>
        </w:tc>
        <w:tc>
          <w:tcPr>
            <w:tcW w:type="dxa" w:w="1152"/>
            <w:vAlign w:val="top"/>
          </w:tcPr>
          <w:p>
            <w:pPr>
              <w:spacing w:after="40" w:before="0"/>
            </w:pPr>
            <w:r>
              <w:rPr>
                <w:sz w:val="17"/>
              </w:rPr>
              <w:t>Add</w:t>
            </w:r>
          </w:p>
        </w:tc>
        <w:tc>
          <w:tcPr>
            <w:tcW w:type="dxa" w:w="4176"/>
            <w:vAlign w:val="top"/>
          </w:tcPr>
          <w:p>
            <w:pPr>
              <w:spacing w:after="40" w:before="0"/>
            </w:pPr>
            <w:r>
              <w:rPr>
                <w:sz w:val="17"/>
              </w:rPr>
              <w:t>Store the approved task document unchanged.</w:t>
            </w:r>
          </w:p>
        </w:tc>
      </w:tr>
      <w:tr>
        <w:tc>
          <w:tcPr>
            <w:tcW w:type="dxa" w:w="4320"/>
            <w:vAlign w:val="top"/>
          </w:tcPr>
          <w:p>
            <w:pPr>
              <w:spacing w:after="40" w:before="0"/>
            </w:pPr>
            <w:r>
              <w:rPr>
                <w:sz w:val="17"/>
              </w:rPr>
              <w:t>src/main/database/repositories/index.ts</w:t>
            </w:r>
          </w:p>
        </w:tc>
        <w:tc>
          <w:tcPr>
            <w:tcW w:type="dxa" w:w="1152"/>
            <w:vAlign w:val="top"/>
          </w:tcPr>
          <w:p>
            <w:pPr>
              <w:spacing w:after="40" w:before="0"/>
            </w:pPr>
            <w:r>
              <w:rPr>
                <w:sz w:val="17"/>
              </w:rPr>
              <w:t>Create</w:t>
            </w:r>
          </w:p>
        </w:tc>
        <w:tc>
          <w:tcPr>
            <w:tcW w:type="dxa" w:w="4176"/>
            <w:vAlign w:val="top"/>
          </w:tcPr>
          <w:p>
            <w:pPr>
              <w:spacing w:after="40" w:before="0"/>
            </w:pPr>
            <w:r>
              <w:rPr>
                <w:sz w:val="17"/>
              </w:rPr>
              <w:t>Export repository contracts and factories from one main-process boundary.</w:t>
            </w:r>
          </w:p>
        </w:tc>
      </w:tr>
      <w:tr>
        <w:tc>
          <w:tcPr>
            <w:tcW w:type="dxa" w:w="4320"/>
            <w:vAlign w:val="top"/>
          </w:tcPr>
          <w:p>
            <w:pPr>
              <w:spacing w:after="40" w:before="0"/>
            </w:pPr>
            <w:r>
              <w:rPr>
                <w:sz w:val="17"/>
              </w:rPr>
              <w:t>src/main/database/repositories/repository-errors.ts</w:t>
            </w:r>
          </w:p>
        </w:tc>
        <w:tc>
          <w:tcPr>
            <w:tcW w:type="dxa" w:w="1152"/>
            <w:vAlign w:val="top"/>
          </w:tcPr>
          <w:p>
            <w:pPr>
              <w:spacing w:after="40" w:before="0"/>
            </w:pPr>
            <w:r>
              <w:rPr>
                <w:sz w:val="17"/>
              </w:rPr>
              <w:t>Create</w:t>
            </w:r>
          </w:p>
        </w:tc>
        <w:tc>
          <w:tcPr>
            <w:tcW w:type="dxa" w:w="4176"/>
            <w:vAlign w:val="top"/>
          </w:tcPr>
          <w:p>
            <w:pPr>
              <w:spacing w:after="40" w:before="0"/>
            </w:pPr>
            <w:r>
              <w:rPr>
                <w:sz w:val="17"/>
              </w:rPr>
              <w:t>Define controlled repository errors and fixed safe error codes.</w:t>
            </w:r>
          </w:p>
        </w:tc>
      </w:tr>
      <w:tr>
        <w:tc>
          <w:tcPr>
            <w:tcW w:type="dxa" w:w="4320"/>
            <w:vAlign w:val="top"/>
          </w:tcPr>
          <w:p>
            <w:pPr>
              <w:spacing w:after="40" w:before="0"/>
            </w:pPr>
            <w:r>
              <w:rPr>
                <w:sz w:val="17"/>
              </w:rPr>
              <w:t>src/main/database/repositories/installation/index.ts</w:t>
            </w:r>
          </w:p>
        </w:tc>
        <w:tc>
          <w:tcPr>
            <w:tcW w:type="dxa" w:w="1152"/>
            <w:vAlign w:val="top"/>
          </w:tcPr>
          <w:p>
            <w:pPr>
              <w:spacing w:after="40" w:before="0"/>
            </w:pPr>
            <w:r>
              <w:rPr>
                <w:sz w:val="17"/>
              </w:rPr>
              <w:t>Create</w:t>
            </w:r>
          </w:p>
        </w:tc>
        <w:tc>
          <w:tcPr>
            <w:tcW w:type="dxa" w:w="4176"/>
            <w:vAlign w:val="top"/>
          </w:tcPr>
          <w:p>
            <w:pPr>
              <w:spacing w:after="40" w:before="0"/>
            </w:pPr>
            <w:r>
              <w:rPr>
                <w:sz w:val="17"/>
              </w:rPr>
              <w:t>Export installation contracts, validation, and repository factory.</w:t>
            </w:r>
          </w:p>
        </w:tc>
      </w:tr>
      <w:tr>
        <w:tc>
          <w:tcPr>
            <w:tcW w:type="dxa" w:w="4320"/>
            <w:vAlign w:val="top"/>
          </w:tcPr>
          <w:p>
            <w:pPr>
              <w:spacing w:after="40" w:before="0"/>
            </w:pPr>
            <w:r>
              <w:rPr>
                <w:sz w:val="17"/>
              </w:rPr>
              <w:t>src/main/database/repositories/installation/installation-types.ts</w:t>
            </w:r>
          </w:p>
        </w:tc>
        <w:tc>
          <w:tcPr>
            <w:tcW w:type="dxa" w:w="1152"/>
            <w:vAlign w:val="top"/>
          </w:tcPr>
          <w:p>
            <w:pPr>
              <w:spacing w:after="40" w:before="0"/>
            </w:pPr>
            <w:r>
              <w:rPr>
                <w:sz w:val="17"/>
              </w:rPr>
              <w:t>Create</w:t>
            </w:r>
          </w:p>
        </w:tc>
        <w:tc>
          <w:tcPr>
            <w:tcW w:type="dxa" w:w="4176"/>
            <w:vAlign w:val="top"/>
          </w:tcPr>
          <w:p>
            <w:pPr>
              <w:spacing w:after="40" w:before="0"/>
            </w:pPr>
            <w:r>
              <w:rPr>
                <w:sz w:val="17"/>
              </w:rPr>
              <w:t>Define branded deployment name/timezone types, installation record, input, state union, and repository interface.</w:t>
            </w:r>
          </w:p>
        </w:tc>
      </w:tr>
      <w:tr>
        <w:tc>
          <w:tcPr>
            <w:tcW w:type="dxa" w:w="4320"/>
            <w:vAlign w:val="top"/>
          </w:tcPr>
          <w:p>
            <w:pPr>
              <w:spacing w:after="40" w:before="0"/>
            </w:pPr>
            <w:r>
              <w:rPr>
                <w:sz w:val="17"/>
              </w:rPr>
              <w:t>src/main/database/repositories/installation/installation-validation.ts</w:t>
            </w:r>
          </w:p>
        </w:tc>
        <w:tc>
          <w:tcPr>
            <w:tcW w:type="dxa" w:w="1152"/>
            <w:vAlign w:val="top"/>
          </w:tcPr>
          <w:p>
            <w:pPr>
              <w:spacing w:after="40" w:before="0"/>
            </w:pPr>
            <w:r>
              <w:rPr>
                <w:sz w:val="17"/>
              </w:rPr>
              <w:t>Create</w:t>
            </w:r>
          </w:p>
        </w:tc>
        <w:tc>
          <w:tcPr>
            <w:tcW w:type="dxa" w:w="4176"/>
            <w:vAlign w:val="top"/>
          </w:tcPr>
          <w:p>
            <w:pPr>
              <w:spacing w:after="40" w:before="0"/>
            </w:pPr>
            <w:r>
              <w:rPr>
                <w:sz w:val="17"/>
              </w:rPr>
              <w:t>Validate/canonicalize deployment name and IANA timezone without external dependencies.</w:t>
            </w:r>
          </w:p>
        </w:tc>
      </w:tr>
      <w:tr>
        <w:tc>
          <w:tcPr>
            <w:tcW w:type="dxa" w:w="4320"/>
            <w:vAlign w:val="top"/>
          </w:tcPr>
          <w:p>
            <w:pPr>
              <w:spacing w:after="40" w:before="0"/>
            </w:pPr>
            <w:r>
              <w:rPr>
                <w:sz w:val="17"/>
              </w:rPr>
              <w:t>src/main/database/repositories/installation/installation-repository.ts</w:t>
            </w:r>
          </w:p>
        </w:tc>
        <w:tc>
          <w:tcPr>
            <w:tcW w:type="dxa" w:w="1152"/>
            <w:vAlign w:val="top"/>
          </w:tcPr>
          <w:p>
            <w:pPr>
              <w:spacing w:after="40" w:before="0"/>
            </w:pPr>
            <w:r>
              <w:rPr>
                <w:sz w:val="17"/>
              </w:rPr>
              <w:t>Create</w:t>
            </w:r>
          </w:p>
        </w:tc>
        <w:tc>
          <w:tcPr>
            <w:tcW w:type="dxa" w:w="4176"/>
            <w:vAlign w:val="top"/>
          </w:tcPr>
          <w:p>
            <w:pPr>
              <w:spacing w:after="40" w:before="0"/>
            </w:pPr>
            <w:r>
              <w:rPr>
                <w:sz w:val="17"/>
              </w:rPr>
              <w:t>Implement exact SQL, row decoding, state read, and transaction-scoped insertion.</w:t>
            </w:r>
          </w:p>
        </w:tc>
      </w:tr>
      <w:tr>
        <w:tc>
          <w:tcPr>
            <w:tcW w:type="dxa" w:w="4320"/>
            <w:vAlign w:val="top"/>
          </w:tcPr>
          <w:p>
            <w:pPr>
              <w:spacing w:after="40" w:before="0"/>
            </w:pPr>
            <w:r>
              <w:rPr>
                <w:sz w:val="17"/>
              </w:rPr>
              <w:t>src/main/database/index.ts</w:t>
            </w:r>
          </w:p>
        </w:tc>
        <w:tc>
          <w:tcPr>
            <w:tcW w:type="dxa" w:w="1152"/>
            <w:vAlign w:val="top"/>
          </w:tcPr>
          <w:p>
            <w:pPr>
              <w:spacing w:after="40" w:before="0"/>
            </w:pPr>
            <w:r>
              <w:rPr>
                <w:sz w:val="17"/>
              </w:rPr>
              <w:t>Modify</w:t>
            </w:r>
          </w:p>
        </w:tc>
        <w:tc>
          <w:tcPr>
            <w:tcW w:type="dxa" w:w="4176"/>
            <w:vAlign w:val="top"/>
          </w:tcPr>
          <w:p>
            <w:pPr>
              <w:spacing w:after="40" w:before="0"/>
            </w:pPr>
            <w:r>
              <w:rPr>
                <w:sz w:val="17"/>
              </w:rPr>
              <w:t>Export only the reviewed repository public API.</w:t>
            </w:r>
          </w:p>
        </w:tc>
      </w:tr>
      <w:tr>
        <w:tc>
          <w:tcPr>
            <w:tcW w:type="dxa" w:w="4320"/>
            <w:vAlign w:val="top"/>
          </w:tcPr>
          <w:p>
            <w:pPr>
              <w:spacing w:after="40" w:before="0"/>
            </w:pPr>
            <w:r>
              <w:rPr>
                <w:sz w:val="17"/>
              </w:rPr>
              <w:t>docs/database/repository-boundary.md</w:t>
            </w:r>
          </w:p>
        </w:tc>
        <w:tc>
          <w:tcPr>
            <w:tcW w:type="dxa" w:w="1152"/>
            <w:vAlign w:val="top"/>
          </w:tcPr>
          <w:p>
            <w:pPr>
              <w:spacing w:after="40" w:before="0"/>
            </w:pPr>
            <w:r>
              <w:rPr>
                <w:sz w:val="17"/>
              </w:rPr>
              <w:t>Create</w:t>
            </w:r>
          </w:p>
        </w:tc>
        <w:tc>
          <w:tcPr>
            <w:tcW w:type="dxa" w:w="4176"/>
            <w:vAlign w:val="top"/>
          </w:tcPr>
          <w:p>
            <w:pPr>
              <w:spacing w:after="40" w:before="0"/>
            </w:pPr>
            <w:r>
              <w:rPr>
                <w:sz w:val="17"/>
              </w:rPr>
              <w:t>Document read/write ownership, row mapping, errors, and first-run state semantics.</w:t>
            </w:r>
          </w:p>
        </w:tc>
      </w:tr>
      <w:tr>
        <w:tc>
          <w:tcPr>
            <w:tcW w:type="dxa" w:w="4320"/>
            <w:vAlign w:val="top"/>
          </w:tcPr>
          <w:p>
            <w:pPr>
              <w:spacing w:after="40" w:before="0"/>
            </w:pPr>
            <w:r>
              <w:rPr>
                <w:sz w:val="17"/>
              </w:rPr>
              <w:t>docs/repository-structure.md</w:t>
            </w:r>
          </w:p>
        </w:tc>
        <w:tc>
          <w:tcPr>
            <w:tcW w:type="dxa" w:w="1152"/>
            <w:vAlign w:val="top"/>
          </w:tcPr>
          <w:p>
            <w:pPr>
              <w:spacing w:after="40" w:before="0"/>
            </w:pPr>
            <w:r>
              <w:rPr>
                <w:sz w:val="17"/>
              </w:rPr>
              <w:t>Modify</w:t>
            </w:r>
          </w:p>
        </w:tc>
        <w:tc>
          <w:tcPr>
            <w:tcW w:type="dxa" w:w="4176"/>
            <w:vAlign w:val="top"/>
          </w:tcPr>
          <w:p>
            <w:pPr>
              <w:spacing w:after="40" w:before="0"/>
            </w:pPr>
            <w:r>
              <w:rPr>
                <w:sz w:val="17"/>
              </w:rPr>
              <w:t>Document the repository directory and main-process ownership.</w:t>
            </w:r>
          </w:p>
        </w:tc>
      </w:tr>
      <w:tr>
        <w:tc>
          <w:tcPr>
            <w:tcW w:type="dxa" w:w="4320"/>
            <w:vAlign w:val="top"/>
          </w:tcPr>
          <w:p>
            <w:pPr>
              <w:spacing w:after="40" w:before="0"/>
            </w:pPr>
            <w:r>
              <w:rPr>
                <w:sz w:val="17"/>
              </w:rPr>
              <w:t>docs/engineering-standards.md</w:t>
            </w:r>
          </w:p>
        </w:tc>
        <w:tc>
          <w:tcPr>
            <w:tcW w:type="dxa" w:w="1152"/>
            <w:vAlign w:val="top"/>
          </w:tcPr>
          <w:p>
            <w:pPr>
              <w:spacing w:after="40" w:before="0"/>
            </w:pPr>
            <w:r>
              <w:rPr>
                <w:sz w:val="17"/>
              </w:rPr>
              <w:t>Modify</w:t>
            </w:r>
          </w:p>
        </w:tc>
        <w:tc>
          <w:tcPr>
            <w:tcW w:type="dxa" w:w="4176"/>
            <w:vAlign w:val="top"/>
          </w:tcPr>
          <w:p>
            <w:pPr>
              <w:spacing w:after="40" w:before="0"/>
            </w:pPr>
            <w:r>
              <w:rPr>
                <w:sz w:val="17"/>
              </w:rPr>
              <w:t>Require exact selects, strict decoders, controlled errors, and caller-owned transactions.</w:t>
            </w:r>
          </w:p>
        </w:tc>
      </w:tr>
      <w:tr>
        <w:tc>
          <w:tcPr>
            <w:tcW w:type="dxa" w:w="4320"/>
            <w:vAlign w:val="top"/>
          </w:tcPr>
          <w:p>
            <w:pPr>
              <w:spacing w:after="40" w:before="0"/>
            </w:pPr>
            <w:r>
              <w:rPr>
                <w:sz w:val="17"/>
              </w:rPr>
              <w:t>tests/unit/main/installation-validation.test.ts</w:t>
            </w:r>
          </w:p>
        </w:tc>
        <w:tc>
          <w:tcPr>
            <w:tcW w:type="dxa" w:w="1152"/>
            <w:vAlign w:val="top"/>
          </w:tcPr>
          <w:p>
            <w:pPr>
              <w:spacing w:after="40" w:before="0"/>
            </w:pPr>
            <w:r>
              <w:rPr>
                <w:sz w:val="17"/>
              </w:rPr>
              <w:t>Create</w:t>
            </w:r>
          </w:p>
        </w:tc>
        <w:tc>
          <w:tcPr>
            <w:tcW w:type="dxa" w:w="4176"/>
            <w:vAlign w:val="top"/>
          </w:tcPr>
          <w:p>
            <w:pPr>
              <w:spacing w:after="40" w:before="0"/>
            </w:pPr>
            <w:r>
              <w:rPr>
                <w:sz w:val="17"/>
              </w:rPr>
              <w:t>Test deployment-name and IANA-timezone validation and safe failures.</w:t>
            </w:r>
          </w:p>
        </w:tc>
      </w:tr>
      <w:tr>
        <w:tc>
          <w:tcPr>
            <w:tcW w:type="dxa" w:w="4320"/>
            <w:vAlign w:val="top"/>
          </w:tcPr>
          <w:p>
            <w:pPr>
              <w:spacing w:after="40" w:before="0"/>
            </w:pPr>
            <w:r>
              <w:rPr>
                <w:sz w:val="17"/>
              </w:rPr>
              <w:t>tests/unit/main/repository-errors.test.ts</w:t>
            </w:r>
          </w:p>
        </w:tc>
        <w:tc>
          <w:tcPr>
            <w:tcW w:type="dxa" w:w="1152"/>
            <w:vAlign w:val="top"/>
          </w:tcPr>
          <w:p>
            <w:pPr>
              <w:spacing w:after="40" w:before="0"/>
            </w:pPr>
            <w:r>
              <w:rPr>
                <w:sz w:val="17"/>
              </w:rPr>
              <w:t>Create</w:t>
            </w:r>
          </w:p>
        </w:tc>
        <w:tc>
          <w:tcPr>
            <w:tcW w:type="dxa" w:w="4176"/>
            <w:vAlign w:val="top"/>
          </w:tcPr>
          <w:p>
            <w:pPr>
              <w:spacing w:after="40" w:before="0"/>
            </w:pPr>
            <w:r>
              <w:rPr>
                <w:sz w:val="17"/>
              </w:rPr>
              <w:t>Test controlled error shape, codes, sanitization, and serialization safety.</w:t>
            </w:r>
          </w:p>
        </w:tc>
      </w:tr>
      <w:tr>
        <w:tc>
          <w:tcPr>
            <w:tcW w:type="dxa" w:w="4320"/>
            <w:vAlign w:val="top"/>
          </w:tcPr>
          <w:p>
            <w:pPr>
              <w:spacing w:after="40" w:before="0"/>
            </w:pPr>
            <w:r>
              <w:rPr>
                <w:sz w:val="17"/>
              </w:rPr>
              <w:t>tests/integration/main/installation-repository.test.ts</w:t>
            </w:r>
          </w:p>
        </w:tc>
        <w:tc>
          <w:tcPr>
            <w:tcW w:type="dxa" w:w="1152"/>
            <w:vAlign w:val="top"/>
          </w:tcPr>
          <w:p>
            <w:pPr>
              <w:spacing w:after="40" w:before="0"/>
            </w:pPr>
            <w:r>
              <w:rPr>
                <w:sz w:val="17"/>
              </w:rPr>
              <w:t>Create</w:t>
            </w:r>
          </w:p>
        </w:tc>
        <w:tc>
          <w:tcPr>
            <w:tcW w:type="dxa" w:w="4176"/>
            <w:vAlign w:val="top"/>
          </w:tcPr>
          <w:p>
            <w:pPr>
              <w:spacing w:after="40" w:before="0"/>
            </w:pPr>
            <w:r>
              <w:rPr>
                <w:sz w:val="17"/>
              </w:rPr>
              <w:t>Test state detection, durable creation, duplicate refusal, rollback, corrupted rows, and invariants.</w:t>
            </w:r>
          </w:p>
        </w:tc>
      </w:tr>
    </w:tbl>
    <w:p>
      <w:pPr>
        <w:pStyle w:val="Heading1"/>
        <w:keepNext/>
      </w:pPr>
      <w:r>
        <w:t>7. Repository Architecture</w:t>
      </w:r>
    </w:p>
    <w:p>
      <w:pPr>
        <w:pStyle w:val="Heading2"/>
        <w:keepNext/>
      </w:pPr>
      <w:r>
        <w:t>7.1 Process and dependency boundary</w:t>
      </w:r>
    </w:p>
    <w:p>
      <w:pPr>
        <w:pStyle w:val="ListBullet"/>
      </w:pPr>
      <w:r>
        <w:t>All implementation stays under src/main. Preload, renderer, shared IPC contracts, and browser code must not import repository modules.</w:t>
      </w:r>
    </w:p>
    <w:p>
      <w:pPr>
        <w:pStyle w:val="ListBullet"/>
      </w:pPr>
      <w:r>
        <w:t>The repository factory may retain the already-open HSD-006/HSD-007 better-sqlite3 connection for read-only queries.</w:t>
      </w:r>
    </w:p>
    <w:p>
      <w:pPr>
        <w:pStyle w:val="ListBullet"/>
      </w:pPr>
      <w:r>
        <w:t>Write methods must accept the HSD-008 DatabaseTransactionConnection supplied to a transaction callback. They must not accept an unrestricted Database.Database for writes.</w:t>
      </w:r>
    </w:p>
    <w:p>
      <w:pPr>
        <w:pStyle w:val="ListBullet"/>
      </w:pPr>
      <w:r>
        <w:t>Repository code owns SQL and row mapping. Application services own use-case sequencing, authorization, audit decisions, and transaction boundaries.</w:t>
      </w:r>
    </w:p>
    <w:p>
      <w:pPr>
        <w:pStyle w:val="ListBullet"/>
      </w:pPr>
      <w:r>
        <w:t>Do not create a generic ORM, active-record base class, unit-of-work framework, dependency-injection container, query builder, or reflection-based mapper.</w:t>
      </w:r>
    </w:p>
    <w:p>
      <w:pPr>
        <w:pStyle w:val="Heading2"/>
        <w:keepNext/>
      </w:pPr>
      <w:r>
        <w:t>7.2 Required public shape</w:t>
      </w:r>
    </w:p>
    <w:p>
      <w:pPr>
        <w:pStyle w:val="CodeBlock"/>
        <w:keepLines/>
      </w:pPr>
      <w:r>
        <w:t>export interface InstallationRecord {</w:t>
        <w:br/>
        <w:t xml:space="preserve">  readonly id: EntityId</w:t>
        <w:br/>
        <w:t xml:space="preserve">  readonly deploymentName: DeploymentName</w:t>
        <w:br/>
        <w:t xml:space="preserve">  readonly timeZone: IanaTimeZone</w:t>
        <w:br/>
        <w:t xml:space="preserve">  readonly createdAt: UtcTimestamp</w:t>
        <w:br/>
        <w:t xml:space="preserve">  readonly updatedAt: UtcTimestamp</w:t>
        <w:br/>
        <w:t>}</w:t>
        <w:br/>
        <w:br/>
        <w:t>export interface CreateInstallationInput {</w:t>
        <w:br/>
        <w:t xml:space="preserve">  readonly id: EntityId</w:t>
        <w:br/>
        <w:t xml:space="preserve">  readonly deploymentName: DeploymentName</w:t>
        <w:br/>
        <w:t xml:space="preserve">  readonly timeZone: IanaTimeZone</w:t>
        <w:br/>
        <w:t xml:space="preserve">  readonly createdAt: UtcTimestamp</w:t>
        <w:br/>
        <w:t xml:space="preserve">  readonly updatedAt: UtcTimestamp</w:t>
        <w:br/>
        <w:t>}</w:t>
        <w:br/>
        <w:br/>
        <w:t>export type InstallationState =</w:t>
        <w:br/>
        <w:t xml:space="preserve">  | { readonly status: 'UNINITIALIZED' }</w:t>
        <w:br/>
        <w:t xml:space="preserve">  | { readonly status: 'INITIALIZED'; readonly installation: InstallationRecord }</w:t>
        <w:br/>
        <w:br/>
        <w:t>export interface InstallationRepository {</w:t>
        <w:br/>
        <w:t xml:space="preserve">  get(): InstallationRecord | null</w:t>
        <w:br/>
        <w:t xml:space="preserve">  getState(): InstallationState</w:t>
        <w:br/>
        <w:t xml:space="preserve">  insert(</w:t>
        <w:br/>
        <w:t xml:space="preserve">    connection: DatabaseTransactionConnection,</w:t>
        <w:br/>
        <w:t xml:space="preserve">    input: CreateInstallationInput</w:t>
        <w:br/>
        <w:t xml:space="preserve">  ): InstallationRecord</w:t>
        <w:br/>
        <w:t>}</w:t>
      </w:r>
    </w:p>
    <w:p>
      <w:pPr/>
      <w:r>
        <w:t>Equivalent names are acceptable only when the semantics and process boundaries remain exact. Returned records and state objects must be frozen or otherwise immutable at runtime.</w:t>
      </w:r>
    </w:p>
    <w:p>
      <w:pPr>
        <w:pStyle w:val="Heading2"/>
        <w:keepNext/>
      </w:pPr>
      <w:r>
        <w:t>7.3 No hidden transaction ownership</w:t>
      </w:r>
    </w:p>
    <w:p>
      <w:pPr>
        <w:pStyle w:val="ListBullet"/>
      </w:pPr>
      <w:r>
        <w:t>The repository must not execute BEGIN, BEGIN IMMEDIATE, COMMIT, END, ROLLBACK, SAVEPOINT, RELEASE, or ROLLBACK TO.</w:t>
      </w:r>
    </w:p>
    <w:p>
      <w:pPr>
        <w:pStyle w:val="ListBullet"/>
      </w:pPr>
      <w:r>
        <w:t>The repository must not call better-sqlite3 transaction().</w:t>
      </w:r>
    </w:p>
    <w:p>
      <w:pPr>
        <w:pStyle w:val="ListBullet"/>
      </w:pPr>
      <w:r>
        <w:t>The repository must not retry SQLITE_BUSY, UNIQUE, CHECK, or other failures.</w:t>
      </w:r>
    </w:p>
    <w:p>
      <w:pPr>
        <w:pStyle w:val="ListBullet"/>
      </w:pPr>
      <w:r>
        <w:t>The caller decides whether an installation insert is the only operation or one part of a future multi-table first-run transaction.</w:t>
      </w:r>
    </w:p>
    <w:p>
      <w:pPr>
        <w:pStyle w:val="ListBullet"/>
      </w:pPr>
      <w:r>
        <w:t>A write attempted with an expired HSD-008 scoped connection must fail with the existing controlled transaction-state behavior.</w:t>
      </w:r>
    </w:p>
    <w:p>
      <w:pPr>
        <w:pStyle w:val="Heading1"/>
        <w:keepNext/>
      </w:pPr>
      <w:r>
        <w:t>8. Installation Domain Contracts</w:t>
      </w:r>
    </w:p>
    <w:p>
      <w:pPr>
        <w:pStyle w:val="Heading2"/>
        <w:keepNext/>
      </w:pPr>
      <w:r>
        <w:t>8.1 Deployment name</w:t>
      </w:r>
    </w:p>
    <w:p>
      <w:pPr/>
      <w:r>
        <w:t>Create a branded DeploymentName value using a parser that accepts unknown input and returns a canonical string or a controlled validation error.</w:t>
      </w:r>
    </w:p>
    <w:p>
      <w:pPr>
        <w:pStyle w:val="ListBullet"/>
      </w:pPr>
      <w:r>
        <w:t>Require a string.</w:t>
      </w:r>
    </w:p>
    <w:p>
      <w:pPr>
        <w:pStyle w:val="ListBullet"/>
      </w:pPr>
      <w:r>
        <w:t>Normalize with Unicode NFKC.</w:t>
      </w:r>
    </w:p>
    <w:p>
      <w:pPr>
        <w:pStyle w:val="ListBullet"/>
      </w:pPr>
      <w:r>
        <w:t>Trim leading and trailing whitespace.</w:t>
      </w:r>
    </w:p>
    <w:p>
      <w:pPr>
        <w:pStyle w:val="ListBullet"/>
      </w:pPr>
      <w:r>
        <w:t>Collapse internal Unicode whitespace runs to one ASCII space.</w:t>
      </w:r>
    </w:p>
    <w:p>
      <w:pPr>
        <w:pStyle w:val="ListBullet"/>
      </w:pPr>
      <w:r>
        <w:t>Reject an empty result.</w:t>
      </w:r>
    </w:p>
    <w:p>
      <w:pPr>
        <w:pStyle w:val="ListBullet"/>
      </w:pPr>
      <w:r>
        <w:t>Allow 1 through 120 Unicode code points after normalization.</w:t>
      </w:r>
    </w:p>
    <w:p>
      <w:pPr>
        <w:pStyle w:val="ListBullet"/>
      </w:pPr>
      <w:r>
        <w:t>Reject C0/C1 control characters, line separators, paragraph separators, null bytes, and unpaired surrogate code units.</w:t>
      </w:r>
    </w:p>
    <w:p>
      <w:pPr>
        <w:pStyle w:val="ListBullet"/>
      </w:pPr>
      <w:r>
        <w:t>Do not lowercase the display value.</w:t>
      </w:r>
    </w:p>
    <w:p>
      <w:pPr>
        <w:pStyle w:val="ListBullet"/>
      </w:pPr>
      <w:r>
        <w:t>Do not log or include the rejected value in an error.</w:t>
      </w:r>
    </w:p>
    <w:p>
      <w:pPr>
        <w:pStyle w:val="Heading2"/>
        <w:keepNext/>
      </w:pPr>
      <w:r>
        <w:t>8.2 IANA timezone</w:t>
      </w:r>
    </w:p>
    <w:p>
      <w:pPr/>
      <w:r>
        <w:t>Create a branded IanaTimeZone value using only built-in Intl support. The first pilot value is expected to be Africa/Douala, but the parser must support any timezone available in the packaged runtime.</w:t>
      </w:r>
    </w:p>
    <w:p>
      <w:pPr>
        <w:pStyle w:val="ListBullet"/>
      </w:pPr>
      <w:r>
        <w:t>Require a trimmed string between 1 and 64 ASCII characters.</w:t>
      </w:r>
    </w:p>
    <w:p>
      <w:pPr>
        <w:pStyle w:val="ListBullet"/>
      </w:pPr>
      <w:r>
        <w:t>Reject control characters and whitespace inside the timezone identifier.</w:t>
      </w:r>
    </w:p>
    <w:p>
      <w:pPr>
        <w:pStyle w:val="ListBullet"/>
      </w:pPr>
      <w:r>
        <w:t>Validate by constructing Intl.DateTimeFormat with the candidate as timeZone.</w:t>
      </w:r>
    </w:p>
    <w:p>
      <w:pPr>
        <w:pStyle w:val="ListBullet"/>
      </w:pPr>
      <w:r>
        <w:t>Return Intl.DateTimeFormat(...).resolvedOptions().timeZone as the stored canonical value.</w:t>
      </w:r>
    </w:p>
    <w:p>
      <w:pPr>
        <w:pStyle w:val="ListBullet"/>
      </w:pPr>
      <w:r>
        <w:t>Do not maintain a hand-written timezone list and do not add a timezone package.</w:t>
      </w:r>
    </w:p>
    <w:p>
      <w:pPr>
        <w:pStyle w:val="ListBullet"/>
      </w:pPr>
      <w:r>
        <w:t>Reject invalid or unavailable zones with a controlled error that contains no rejected value.</w:t>
      </w:r>
    </w:p>
    <w:p>
      <w:pPr>
        <w:pStyle w:val="Heading2"/>
        <w:keepNext/>
      </w:pPr>
      <w:r>
        <w:t>8.3 Identifier and time invariants</w:t>
      </w:r>
    </w:p>
    <w:p>
      <w:pPr>
        <w:pStyle w:val="ListBullet"/>
      </w:pPr>
      <w:r>
        <w:t>Parse installation.id with the HSD-008 parseEntityId function.</w:t>
      </w:r>
    </w:p>
    <w:p>
      <w:pPr>
        <w:pStyle w:val="ListBullet"/>
      </w:pPr>
      <w:r>
        <w:t>Parse created_at and updated_at with the HSD-008 parseUtcTimestamp function.</w:t>
      </w:r>
    </w:p>
    <w:p>
      <w:pPr>
        <w:pStyle w:val="ListBullet"/>
      </w:pPr>
      <w:r>
        <w:t>For create input, require createdAt and updatedAt to be exactly equal. The future first-run service will obtain one transaction timestamp and reuse it.</w:t>
      </w:r>
    </w:p>
    <w:p>
      <w:pPr>
        <w:pStyle w:val="ListBullet"/>
      </w:pPr>
      <w:r>
        <w:t>For rows read from SQLite, require updatedAt to be greater than or equal to createdAt.</w:t>
      </w:r>
    </w:p>
    <w:p>
      <w:pPr>
        <w:pStyle w:val="ListBullet"/>
      </w:pPr>
      <w:r>
        <w:t>Do not generate an ID or timestamp inside the repository. The future application service will obtain them from the HSD-008 transaction context.</w:t>
      </w:r>
    </w:p>
    <w:p>
      <w:pPr>
        <w:pStyle w:val="Heading1"/>
        <w:keepNext/>
      </w:pPr>
      <w:r>
        <w:t>9. Installation Repository Behavior</w:t>
      </w:r>
    </w:p>
    <w:p>
      <w:pPr>
        <w:pStyle w:val="Heading2"/>
        <w:keepNext/>
      </w:pPr>
      <w:r>
        <w:t>9.1 Read behavior</w:t>
      </w:r>
    </w:p>
    <w:p>
      <w:pPr>
        <w:pStyle w:val="ListBullet"/>
      </w:pPr>
      <w:r>
        <w:t>Use one explicit SELECT listing singleton_id, id, deployment_name, timezone, created_at, and updated_at. Do not use SELECT *.</w:t>
      </w:r>
    </w:p>
    <w:p>
      <w:pPr>
        <w:pStyle w:val="ListBullet"/>
      </w:pPr>
      <w:r>
        <w:t>Read only singleton_id=1.</w:t>
      </w:r>
    </w:p>
    <w:p>
      <w:pPr>
        <w:pStyle w:val="ListBullet"/>
      </w:pPr>
      <w:r>
        <w:t>Return null when no row exists.</w:t>
      </w:r>
    </w:p>
    <w:p>
      <w:pPr>
        <w:pStyle w:val="ListBullet"/>
      </w:pPr>
      <w:r>
        <w:t>Decode every field from unknown and reject incorrect SQLite runtime types.</w:t>
      </w:r>
    </w:p>
    <w:p>
      <w:pPr>
        <w:pStyle w:val="ListBullet"/>
      </w:pPr>
      <w:r>
        <w:t>Verify singleton_id is exactly integer 1.</w:t>
      </w:r>
    </w:p>
    <w:p>
      <w:pPr>
        <w:pStyle w:val="ListBullet"/>
      </w:pPr>
      <w:r>
        <w:t>Return a frozen InstallationRecord.</w:t>
      </w:r>
    </w:p>
    <w:p>
      <w:pPr>
        <w:pStyle w:val="ListBullet"/>
      </w:pPr>
      <w:r>
        <w:t>Perform no write, repair, default insertion, timestamp update, or cache mutation.</w:t>
      </w:r>
    </w:p>
    <w:p>
      <w:pPr>
        <w:pStyle w:val="ListBullet"/>
      </w:pPr>
      <w:r>
        <w:t>A closed connection or SQLite read failure maps to a controlled RepositoryReadError or equivalent fixed error.</w:t>
      </w:r>
    </w:p>
    <w:p>
      <w:pPr>
        <w:pStyle w:val="Heading2"/>
        <w:keepNext/>
      </w:pPr>
      <w:r>
        <w:t>9.2 State behavior</w:t>
      </w:r>
    </w:p>
    <w:p>
      <w:pPr>
        <w:pStyle w:val="CodeBlock"/>
        <w:keepLines/>
      </w:pPr>
      <w:r>
        <w:t>const installation = repository.get()</w:t>
        <w:br/>
        <w:t>return installation === null</w:t>
        <w:br/>
        <w:t xml:space="preserve">  ? Object.freeze({ status: 'UNINITIALIZED' as const })</w:t>
        <w:br/>
        <w:t xml:space="preserve">  : Object.freeze({ status: 'INITIALIZED' as const, installation })</w:t>
      </w:r>
    </w:p>
    <w:p>
      <w:pPr>
        <w:pStyle w:val="ListBullet"/>
      </w:pPr>
      <w:r>
        <w:t>UNINITIALIZED means only that the installation singleton is absent. It does not infer whether user, location, protocol, audit, or settings rows exist.</w:t>
      </w:r>
    </w:p>
    <w:p>
      <w:pPr>
        <w:pStyle w:val="ListBullet"/>
      </w:pPr>
      <w:r>
        <w:t>INITIALIZED requires a fully valid installation row. A malformed row is a controlled data-integrity failure, not UNINITIALIZED.</w:t>
      </w:r>
    </w:p>
    <w:p>
      <w:pPr>
        <w:pStyle w:val="ListBullet"/>
      </w:pPr>
      <w:r>
        <w:t>Do not cache the result; every call observes current SQLite state.</w:t>
      </w:r>
    </w:p>
    <w:p>
      <w:pPr>
        <w:pStyle w:val="Heading2"/>
        <w:keepNext/>
      </w:pPr>
      <w:r>
        <w:t>9.3 Insert behavior</w:t>
      </w:r>
    </w:p>
    <w:p>
      <w:pPr>
        <w:pStyle w:val="ListBullet"/>
      </w:pPr>
      <w:r>
        <w:t>Require an active HSD-008 DatabaseTransactionConnection.</w:t>
      </w:r>
    </w:p>
    <w:p>
      <w:pPr>
        <w:pStyle w:val="ListBullet"/>
      </w:pPr>
      <w:r>
        <w:t>Revalidate every input at runtime even when TypeScript branded types are present.</w:t>
      </w:r>
    </w:p>
    <w:p>
      <w:pPr>
        <w:pStyle w:val="ListBullet"/>
      </w:pPr>
      <w:r>
        <w:t>Insert singleton_id=1 explicitly.</w:t>
      </w:r>
    </w:p>
    <w:p>
      <w:pPr>
        <w:pStyle w:val="ListBullet"/>
      </w:pPr>
      <w:r>
        <w:t>List every target column explicitly.</w:t>
      </w:r>
    </w:p>
    <w:p>
      <w:pPr>
        <w:pStyle w:val="ListBullet"/>
      </w:pPr>
      <w:r>
        <w:t>Use bound parameters only; never concatenate deployment name, timezone, UUID, or timestamps into SQL.</w:t>
      </w:r>
    </w:p>
    <w:p>
      <w:pPr>
        <w:pStyle w:val="ListBullet"/>
      </w:pPr>
      <w:r>
        <w:t>After insert, read and decode the row through the same scoped connection and return the validated record.</w:t>
      </w:r>
    </w:p>
    <w:p>
      <w:pPr>
        <w:pStyle w:val="ListBullet"/>
      </w:pPr>
      <w:r>
        <w:t>Refuse a second installation. Do not update, replace, delete, repair, or silently return success.</w:t>
      </w:r>
    </w:p>
    <w:p>
      <w:pPr>
        <w:pStyle w:val="ListBullet"/>
      </w:pPr>
      <w:r>
        <w:t>Map duplicate initialization to a controlled InstallationAlreadyExistsError or equivalent fixed repository code.</w:t>
      </w:r>
    </w:p>
    <w:p>
      <w:pPr>
        <w:pStyle w:val="ListBullet"/>
      </w:pPr>
      <w:r>
        <w:t>Do not expose SQLite extended error text, constraint names, SQL, database paths, or bound values.</w:t>
      </w:r>
    </w:p>
    <w:p>
      <w:pPr>
        <w:pStyle w:val="Heading2"/>
        <w:keepNext/>
      </w:pPr>
      <w:r>
        <w:t>9.4 Expected SQL shape</w:t>
      </w:r>
    </w:p>
    <w:p>
      <w:pPr>
        <w:pStyle w:val="CodeBlock"/>
        <w:keepLines/>
      </w:pPr>
      <w:r>
        <w:t>SELECT</w:t>
        <w:br/>
        <w:t xml:space="preserve">  singleton_id,</w:t>
        <w:br/>
        <w:t xml:space="preserve">  id,</w:t>
        <w:br/>
        <w:t xml:space="preserve">  deployment_name,</w:t>
        <w:br/>
        <w:t xml:space="preserve">  timezone,</w:t>
        <w:br/>
        <w:t xml:space="preserve">  created_at,</w:t>
        <w:br/>
        <w:t xml:space="preserve">  updated_at</w:t>
        <w:br/>
        <w:t>FROM installation</w:t>
        <w:br/>
        <w:t>WHERE singleton_id = 1;</w:t>
        <w:br/>
        <w:br/>
        <w:t>INSERT INTO installation (</w:t>
        <w:br/>
        <w:t xml:space="preserve">  singleton_id, id, deployment_name, timezone, created_at, updated_at</w:t>
        <w:br/>
        <w:t>) VALUES (1, ?, ?, ?, ?, ?);</w:t>
      </w:r>
    </w:p>
    <w:p>
      <w:pPr/>
      <w:r>
        <w:t>Formatting may differ, but the implementation must preserve explicit columns, singleton_id=1, and bound values.</w:t>
      </w:r>
    </w:p>
    <w:p>
      <w:pPr>
        <w:pStyle w:val="Heading1"/>
        <w:keepNext/>
      </w:pPr>
      <w:r>
        <w:t>10. Controlled Repository Errors</w:t>
      </w:r>
    </w:p>
    <w:tbl>
      <w:tblPr>
        <w:tblStyle w:val="LightShading-Accent1"/>
        <w:tblW w:type="auto" w:w="0"/>
        <w:tblLook w:firstColumn="1" w:firstRow="1" w:lastColumn="0" w:lastRow="0" w:noHBand="0" w:noVBand="1" w:val="04A0"/>
      </w:tblPr>
      <w:tblGrid>
        <w:gridCol w:w="5040"/>
        <w:gridCol w:w="5040"/>
      </w:tblGrid>
      <w:tr>
        <w:trPr>
          <w:tblHeader w:val="true"/>
        </w:trPr>
        <w:tc>
          <w:tcPr>
            <w:tcW w:type="dxa" w:w="3456"/>
            <w:shd w:fill="0B6B75"/>
            <w:vAlign w:val="center"/>
          </w:tcPr>
          <w:p>
            <w:pPr>
              <w:spacing w:after="40" w:before="0"/>
            </w:pPr>
            <w:r>
              <w:rPr>
                <w:b/>
                <w:color w:val="FFFFFF"/>
                <w:sz w:val="17"/>
              </w:rPr>
              <w:t>Controlled error</w:t>
            </w:r>
          </w:p>
        </w:tc>
        <w:tc>
          <w:tcPr>
            <w:tcW w:type="dxa" w:w="6192"/>
            <w:shd w:fill="0B6B75"/>
            <w:vAlign w:val="center"/>
          </w:tcPr>
          <w:p>
            <w:pPr>
              <w:spacing w:after="40" w:before="0"/>
            </w:pPr>
            <w:r>
              <w:rPr>
                <w:b/>
                <w:color w:val="FFFFFF"/>
                <w:sz w:val="17"/>
              </w:rPr>
              <w:t>Required meaning</w:t>
            </w:r>
          </w:p>
        </w:tc>
      </w:tr>
      <w:tr>
        <w:tc>
          <w:tcPr>
            <w:tcW w:type="dxa" w:w="3456"/>
            <w:vAlign w:val="top"/>
          </w:tcPr>
          <w:p>
            <w:pPr>
              <w:spacing w:after="40" w:before="0"/>
            </w:pPr>
            <w:r>
              <w:rPr>
                <w:sz w:val="17"/>
              </w:rPr>
              <w:t>RepositoryValidationError</w:t>
            </w:r>
          </w:p>
        </w:tc>
        <w:tc>
          <w:tcPr>
            <w:tcW w:type="dxa" w:w="6192"/>
            <w:vAlign w:val="top"/>
          </w:tcPr>
          <w:p>
            <w:pPr>
              <w:spacing w:after="40" w:before="0"/>
            </w:pPr>
            <w:r>
              <w:rPr>
                <w:sz w:val="17"/>
              </w:rPr>
              <w:t>Caller or row value fails a reviewed domain parser.</w:t>
            </w:r>
          </w:p>
        </w:tc>
      </w:tr>
      <w:tr>
        <w:tc>
          <w:tcPr>
            <w:tcW w:type="dxa" w:w="3456"/>
            <w:vAlign w:val="top"/>
          </w:tcPr>
          <w:p>
            <w:pPr>
              <w:spacing w:after="40" w:before="0"/>
            </w:pPr>
            <w:r>
              <w:rPr>
                <w:sz w:val="17"/>
              </w:rPr>
              <w:t>RepositoryReadError</w:t>
            </w:r>
          </w:p>
        </w:tc>
        <w:tc>
          <w:tcPr>
            <w:tcW w:type="dxa" w:w="6192"/>
            <w:vAlign w:val="top"/>
          </w:tcPr>
          <w:p>
            <w:pPr>
              <w:spacing w:after="40" w:before="0"/>
            </w:pPr>
            <w:r>
              <w:rPr>
                <w:sz w:val="17"/>
              </w:rPr>
              <w:t>SQLite read or prepare operation could not be completed safely.</w:t>
            </w:r>
          </w:p>
        </w:tc>
      </w:tr>
      <w:tr>
        <w:tc>
          <w:tcPr>
            <w:tcW w:type="dxa" w:w="3456"/>
            <w:vAlign w:val="top"/>
          </w:tcPr>
          <w:p>
            <w:pPr>
              <w:spacing w:after="40" w:before="0"/>
            </w:pPr>
            <w:r>
              <w:rPr>
                <w:sz w:val="17"/>
              </w:rPr>
              <w:t>RepositoryWriteError</w:t>
            </w:r>
          </w:p>
        </w:tc>
        <w:tc>
          <w:tcPr>
            <w:tcW w:type="dxa" w:w="6192"/>
            <w:vAlign w:val="top"/>
          </w:tcPr>
          <w:p>
            <w:pPr>
              <w:spacing w:after="40" w:before="0"/>
            </w:pPr>
            <w:r>
              <w:rPr>
                <w:sz w:val="17"/>
              </w:rPr>
              <w:t>SQLite write or post-write verification could not be completed safely.</w:t>
            </w:r>
          </w:p>
        </w:tc>
      </w:tr>
      <w:tr>
        <w:tc>
          <w:tcPr>
            <w:tcW w:type="dxa" w:w="3456"/>
            <w:vAlign w:val="top"/>
          </w:tcPr>
          <w:p>
            <w:pPr>
              <w:spacing w:after="40" w:before="0"/>
            </w:pPr>
            <w:r>
              <w:rPr>
                <w:sz w:val="17"/>
              </w:rPr>
              <w:t>RepositoryDataIntegrityError</w:t>
            </w:r>
          </w:p>
        </w:tc>
        <w:tc>
          <w:tcPr>
            <w:tcW w:type="dxa" w:w="6192"/>
            <w:vAlign w:val="top"/>
          </w:tcPr>
          <w:p>
            <w:pPr>
              <w:spacing w:after="40" w:before="0"/>
            </w:pPr>
            <w:r>
              <w:rPr>
                <w:sz w:val="17"/>
              </w:rPr>
              <w:t>A persisted installation row exists but does not match the trusted contract.</w:t>
            </w:r>
          </w:p>
        </w:tc>
      </w:tr>
      <w:tr>
        <w:tc>
          <w:tcPr>
            <w:tcW w:type="dxa" w:w="3456"/>
            <w:vAlign w:val="top"/>
          </w:tcPr>
          <w:p>
            <w:pPr>
              <w:spacing w:after="40" w:before="0"/>
            </w:pPr>
            <w:r>
              <w:rPr>
                <w:sz w:val="17"/>
              </w:rPr>
              <w:t>InstallationAlreadyExistsError</w:t>
            </w:r>
          </w:p>
        </w:tc>
        <w:tc>
          <w:tcPr>
            <w:tcW w:type="dxa" w:w="6192"/>
            <w:vAlign w:val="top"/>
          </w:tcPr>
          <w:p>
            <w:pPr>
              <w:spacing w:after="40" w:before="0"/>
            </w:pPr>
            <w:r>
              <w:rPr>
                <w:sz w:val="17"/>
              </w:rPr>
              <w:t>A second installation initialization was attempted.</w:t>
            </w:r>
          </w:p>
        </w:tc>
      </w:tr>
    </w:tbl>
    <w:p>
      <w:pPr>
        <w:pStyle w:val="ListBullet"/>
      </w:pPr>
      <w:r>
        <w:t>Names may vary, but every error must have a fixed safe message and a fixed reviewed code.</w:t>
      </w:r>
    </w:p>
    <w:p>
      <w:pPr>
        <w:pStyle w:val="ListBullet"/>
      </w:pPr>
      <w:r>
        <w:t>Errors may retain only a shared allowlisted errorType. Extend the shared error-type allowlist only with reviewed technical class names; do not accept arbitrary names.</w:t>
      </w:r>
    </w:p>
    <w:p>
      <w:pPr>
        <w:pStyle w:val="ListBullet"/>
      </w:pPr>
      <w:r>
        <w:t>Delete or omit stack, cause, SQL, values, database paths, SQLite messages, deployment names, timezone values, UUIDs, and timestamps.</w:t>
      </w:r>
    </w:p>
    <w:p>
      <w:pPr>
        <w:pStyle w:val="ListBullet"/>
      </w:pPr>
      <w:r>
        <w:t>When rebuilding or mapping a controlled error, construct a new clean instance. Never return an incoming error object unchanged.</w:t>
      </w:r>
    </w:p>
    <w:p>
      <w:pPr>
        <w:pStyle w:val="ListBullet"/>
      </w:pPr>
      <w:r>
        <w:t>Repository code must not log. Later services may log fixed event names, fixed phases, and safe codes only.</w:t>
      </w:r>
    </w:p>
    <w:tbl>
      <w:tblPr>
        <w:tblW w:type="auto" w:w="0"/>
        <w:tblLook w:firstColumn="1" w:firstRow="1" w:lastColumn="0" w:lastRow="0" w:noHBand="0" w:noVBand="1" w:val="04A0"/>
      </w:tblPr>
      <w:tblGrid>
        <w:gridCol w:w="10080"/>
      </w:tblGrid>
      <w:tr>
        <w:tc>
          <w:tcPr>
            <w:tcW w:type="dxa" w:w="10080"/>
            <w:shd w:fill="FCE4D6"/>
            <w:vAlign w:val="center"/>
          </w:tcPr>
          <w:p>
            <w:pPr>
              <w:spacing w:after="40" w:before="0"/>
            </w:pPr>
            <w:r>
              <w:rPr>
                <w:b/>
                <w:sz w:val="17"/>
              </w:rPr>
              <w:t>A malformed installation row is not repaired automatically. HSD-009 must fail closed so a later support workflow can diagnose the installation safely.</w:t>
            </w:r>
          </w:p>
        </w:tc>
      </w:tr>
    </w:tbl>
    <w:p>
      <w:pPr>
        <w:pStyle w:val="Heading1"/>
        <w:keepNext/>
      </w:pPr>
      <w:r>
        <w:t>11. Database and Schema Invariants</w:t>
      </w:r>
    </w:p>
    <w:p>
      <w:pPr>
        <w:pStyle w:val="ListBullet"/>
      </w:pPr>
      <w:r>
        <w:t>Do not add 0002 or any new migration.</w:t>
      </w:r>
    </w:p>
    <w:p>
      <w:pPr>
        <w:pStyle w:val="ListBullet"/>
      </w:pPr>
      <w:r>
        <w:t>Do not modify 0001-initial-schema.sql, migration checksums, schema-v1 contracts, schema_migrations, or PRAGMA user_version.</w:t>
      </w:r>
    </w:p>
    <w:p>
      <w:pPr>
        <w:pStyle w:val="ListBullet"/>
      </w:pPr>
      <w:r>
        <w:t>Do not create installation data during startup, migration, tests outside temporary databases, pnpm dev, pnpm start, or packaging.</w:t>
      </w:r>
    </w:p>
    <w:p>
      <w:pPr>
        <w:pStyle w:val="ListBullet"/>
      </w:pPr>
      <w:r>
        <w:t>Do not modify app_settings, users, locations, protocol_versions, audit_log, sync_outbox, or any clinical table in production code.</w:t>
      </w:r>
    </w:p>
    <w:p>
      <w:pPr>
        <w:pStyle w:val="ListBullet"/>
      </w:pPr>
      <w:r>
        <w:t>Do not use INSERT OR REPLACE, REPLACE, UPSERT, ON CONFLICT DO UPDATE, DELETE, or UPDATE for installation creation.</w:t>
      </w:r>
    </w:p>
    <w:p>
      <w:pPr>
        <w:pStyle w:val="ListBullet"/>
      </w:pPr>
      <w:r>
        <w:t>Do not disable foreign keys, trusted_schema, or any HSD-006 pragma.</w:t>
      </w:r>
    </w:p>
    <w:p>
      <w:pPr>
        <w:pStyle w:val="ListBullet"/>
      </w:pPr>
      <w:r>
        <w:t>Do not use SQLite rowid as the installation identity.</w:t>
      </w:r>
    </w:p>
    <w:p>
      <w:pPr>
        <w:pStyle w:val="Heading1"/>
        <w:keepNext/>
      </w:pPr>
      <w:r>
        <w:t>12. Testing Requirements</w:t>
      </w:r>
    </w:p>
    <w:tbl>
      <w:tblPr>
        <w:tblStyle w:val="LightShading-Accent1"/>
        <w:tblW w:type="auto" w:w="0"/>
        <w:tblLook w:firstColumn="1" w:firstRow="1" w:lastColumn="0" w:lastRow="0" w:noHBand="0" w:noVBand="1" w:val="04A0"/>
      </w:tblPr>
      <w:tblGrid>
        <w:gridCol w:w="5040"/>
        <w:gridCol w:w="5040"/>
      </w:tblGrid>
      <w:tr>
        <w:trPr>
          <w:tblHeader w:val="true"/>
        </w:trPr>
        <w:tc>
          <w:tcPr>
            <w:tcW w:type="dxa" w:w="2880"/>
            <w:shd w:fill="0B6B75"/>
            <w:vAlign w:val="center"/>
          </w:tcPr>
          <w:p>
            <w:pPr>
              <w:spacing w:after="40" w:before="0"/>
            </w:pPr>
            <w:r>
              <w:rPr>
                <w:b/>
                <w:color w:val="FFFFFF"/>
                <w:sz w:val="17"/>
              </w:rPr>
              <w:t>Test group</w:t>
            </w:r>
          </w:p>
        </w:tc>
        <w:tc>
          <w:tcPr>
            <w:tcW w:type="dxa" w:w="6768"/>
            <w:shd w:fill="0B6B75"/>
            <w:vAlign w:val="center"/>
          </w:tcPr>
          <w:p>
            <w:pPr>
              <w:spacing w:after="40" w:before="0"/>
            </w:pPr>
            <w:r>
              <w:rPr>
                <w:b/>
                <w:color w:val="FFFFFF"/>
                <w:sz w:val="17"/>
              </w:rPr>
              <w:t>Minimum required cases</w:t>
            </w:r>
          </w:p>
        </w:tc>
      </w:tr>
      <w:tr>
        <w:tc>
          <w:tcPr>
            <w:tcW w:type="dxa" w:w="2880"/>
            <w:vAlign w:val="top"/>
          </w:tcPr>
          <w:p>
            <w:pPr>
              <w:spacing w:after="40" w:before="0"/>
            </w:pPr>
            <w:r>
              <w:rPr>
                <w:sz w:val="17"/>
              </w:rPr>
              <w:t>Deployment name validation</w:t>
            </w:r>
          </w:p>
        </w:tc>
        <w:tc>
          <w:tcPr>
            <w:tcW w:type="dxa" w:w="6768"/>
            <w:vAlign w:val="top"/>
          </w:tcPr>
          <w:p>
            <w:pPr>
              <w:spacing w:after="40" w:before="0"/>
            </w:pPr>
            <w:r>
              <w:rPr>
                <w:sz w:val="17"/>
              </w:rPr>
              <w:t>Valid Unicode names; NFKC; trim/collapse; empty; over 120 code points; controls; unpaired surrogate; safe errors.</w:t>
            </w:r>
          </w:p>
        </w:tc>
      </w:tr>
      <w:tr>
        <w:tc>
          <w:tcPr>
            <w:tcW w:type="dxa" w:w="2880"/>
            <w:vAlign w:val="top"/>
          </w:tcPr>
          <w:p>
            <w:pPr>
              <w:spacing w:after="40" w:before="0"/>
            </w:pPr>
            <w:r>
              <w:rPr>
                <w:sz w:val="17"/>
              </w:rPr>
              <w:t>Timezone validation</w:t>
            </w:r>
          </w:p>
        </w:tc>
        <w:tc>
          <w:tcPr>
            <w:tcW w:type="dxa" w:w="6768"/>
            <w:vAlign w:val="top"/>
          </w:tcPr>
          <w:p>
            <w:pPr>
              <w:spacing w:after="40" w:before="0"/>
            </w:pPr>
            <w:r>
              <w:rPr>
                <w:sz w:val="17"/>
              </w:rPr>
              <w:t>Africa/Douala; UTC if supported; canonicalization; invalid zone; whitespace; overlength; controls; safe errors.</w:t>
            </w:r>
          </w:p>
        </w:tc>
      </w:tr>
      <w:tr>
        <w:tc>
          <w:tcPr>
            <w:tcW w:type="dxa" w:w="2880"/>
            <w:vAlign w:val="top"/>
          </w:tcPr>
          <w:p>
            <w:pPr>
              <w:spacing w:after="40" w:before="0"/>
            </w:pPr>
            <w:r>
              <w:rPr>
                <w:sz w:val="17"/>
              </w:rPr>
              <w:t>Fresh state</w:t>
            </w:r>
          </w:p>
        </w:tc>
        <w:tc>
          <w:tcPr>
            <w:tcW w:type="dxa" w:w="6768"/>
            <w:vAlign w:val="top"/>
          </w:tcPr>
          <w:p>
            <w:pPr>
              <w:spacing w:after="40" w:before="0"/>
            </w:pPr>
            <w:r>
              <w:rPr>
                <w:sz w:val="17"/>
              </w:rPr>
              <w:t>A temporary migrated schema-v1 database returns UNINITIALIZED, zero installation rows, user_version=1, and unchanged ledger.</w:t>
            </w:r>
          </w:p>
        </w:tc>
      </w:tr>
      <w:tr>
        <w:tc>
          <w:tcPr>
            <w:tcW w:type="dxa" w:w="2880"/>
            <w:vAlign w:val="top"/>
          </w:tcPr>
          <w:p>
            <w:pPr>
              <w:spacing w:after="40" w:before="0"/>
            </w:pPr>
            <w:r>
              <w:rPr>
                <w:sz w:val="17"/>
              </w:rPr>
              <w:t>Durable insert</w:t>
            </w:r>
          </w:p>
        </w:tc>
        <w:tc>
          <w:tcPr>
            <w:tcW w:type="dxa" w:w="6768"/>
            <w:vAlign w:val="top"/>
          </w:tcPr>
          <w:p>
            <w:pPr>
              <w:spacing w:after="40" w:before="0"/>
            </w:pPr>
            <w:r>
              <w:rPr>
                <w:sz w:val="17"/>
              </w:rPr>
              <w:t>Insert through the HSD-008 executor with deterministic UUID/time; return exact frozen record; reopen the file and read INITIALIZED.</w:t>
            </w:r>
          </w:p>
        </w:tc>
      </w:tr>
      <w:tr>
        <w:tc>
          <w:tcPr>
            <w:tcW w:type="dxa" w:w="2880"/>
            <w:vAlign w:val="top"/>
          </w:tcPr>
          <w:p>
            <w:pPr>
              <w:spacing w:after="40" w:before="0"/>
            </w:pPr>
            <w:r>
              <w:rPr>
                <w:sz w:val="17"/>
              </w:rPr>
              <w:t>Exact singleton</w:t>
            </w:r>
          </w:p>
        </w:tc>
        <w:tc>
          <w:tcPr>
            <w:tcW w:type="dxa" w:w="6768"/>
            <w:vAlign w:val="top"/>
          </w:tcPr>
          <w:p>
            <w:pPr>
              <w:spacing w:after="40" w:before="0"/>
            </w:pPr>
            <w:r>
              <w:rPr>
                <w:sz w:val="17"/>
              </w:rPr>
              <w:t>singleton_id remains 1 and is not exposed as a mutable domain field.</w:t>
            </w:r>
          </w:p>
        </w:tc>
      </w:tr>
      <w:tr>
        <w:tc>
          <w:tcPr>
            <w:tcW w:type="dxa" w:w="2880"/>
            <w:vAlign w:val="top"/>
          </w:tcPr>
          <w:p>
            <w:pPr>
              <w:spacing w:after="40" w:before="0"/>
            </w:pPr>
            <w:r>
              <w:rPr>
                <w:sz w:val="17"/>
              </w:rPr>
              <w:t>Duplicate refusal</w:t>
            </w:r>
          </w:p>
        </w:tc>
        <w:tc>
          <w:tcPr>
            <w:tcW w:type="dxa" w:w="6768"/>
            <w:vAlign w:val="top"/>
          </w:tcPr>
          <w:p>
            <w:pPr>
              <w:spacing w:after="40" w:before="0"/>
            </w:pPr>
            <w:r>
              <w:rPr>
                <w:sz w:val="17"/>
              </w:rPr>
              <w:t>A second insert fails with the controlled duplicate error; original row remains byte-for-byte equivalent; no update occurs.</w:t>
            </w:r>
          </w:p>
        </w:tc>
      </w:tr>
      <w:tr>
        <w:tc>
          <w:tcPr>
            <w:tcW w:type="dxa" w:w="2880"/>
            <w:vAlign w:val="top"/>
          </w:tcPr>
          <w:p>
            <w:pPr>
              <w:spacing w:after="40" w:before="0"/>
            </w:pPr>
            <w:r>
              <w:rPr>
                <w:sz w:val="17"/>
              </w:rPr>
              <w:t>Outer rollback</w:t>
            </w:r>
          </w:p>
        </w:tc>
        <w:tc>
          <w:tcPr>
            <w:tcW w:type="dxa" w:w="6768"/>
            <w:vAlign w:val="top"/>
          </w:tcPr>
          <w:p>
            <w:pPr>
              <w:spacing w:after="40" w:before="0"/>
            </w:pPr>
            <w:r>
              <w:rPr>
                <w:sz w:val="17"/>
              </w:rPr>
              <w:t>Insert installation plus another test write, then throw; both writes roll back and state remains UNINITIALIZED.</w:t>
            </w:r>
          </w:p>
        </w:tc>
      </w:tr>
      <w:tr>
        <w:tc>
          <w:tcPr>
            <w:tcW w:type="dxa" w:w="2880"/>
            <w:vAlign w:val="top"/>
          </w:tcPr>
          <w:p>
            <w:pPr>
              <w:spacing w:after="40" w:before="0"/>
            </w:pPr>
            <w:r>
              <w:rPr>
                <w:sz w:val="17"/>
              </w:rPr>
              <w:t>Invalid create input</w:t>
            </w:r>
          </w:p>
        </w:tc>
        <w:tc>
          <w:tcPr>
            <w:tcW w:type="dxa" w:w="6768"/>
            <w:vAlign w:val="top"/>
          </w:tcPr>
          <w:p>
            <w:pPr>
              <w:spacing w:after="40" w:before="0"/>
            </w:pPr>
            <w:r>
              <w:rPr>
                <w:sz w:val="17"/>
              </w:rPr>
              <w:t>Runtime casts containing invalid UUID, timestamp, deployment name, timezone, or unequal create/update timestamps fail before any row persists.</w:t>
            </w:r>
          </w:p>
        </w:tc>
      </w:tr>
      <w:tr>
        <w:tc>
          <w:tcPr>
            <w:tcW w:type="dxa" w:w="2880"/>
            <w:vAlign w:val="top"/>
          </w:tcPr>
          <w:p>
            <w:pPr>
              <w:spacing w:after="40" w:before="0"/>
            </w:pPr>
            <w:r>
              <w:rPr>
                <w:sz w:val="17"/>
              </w:rPr>
              <w:t>Corrupt persisted row</w:t>
            </w:r>
          </w:p>
        </w:tc>
        <w:tc>
          <w:tcPr>
            <w:tcW w:type="dxa" w:w="6768"/>
            <w:vAlign w:val="top"/>
          </w:tcPr>
          <w:p>
            <w:pPr>
              <w:spacing w:after="40" w:before="0"/>
            </w:pPr>
            <w:r>
              <w:rPr>
                <w:sz w:val="17"/>
              </w:rPr>
              <w:t>Manually insert an invalid UUID, invalid timestamp, invalid timezone, or bad ordering; get/getState refuses it as data-integrity failure, not UNINITIALIZED.</w:t>
            </w:r>
          </w:p>
        </w:tc>
      </w:tr>
      <w:tr>
        <w:tc>
          <w:tcPr>
            <w:tcW w:type="dxa" w:w="2880"/>
            <w:vAlign w:val="top"/>
          </w:tcPr>
          <w:p>
            <w:pPr>
              <w:spacing w:after="40" w:before="0"/>
            </w:pPr>
            <w:r>
              <w:rPr>
                <w:sz w:val="17"/>
              </w:rPr>
              <w:t>Closed/read failure</w:t>
            </w:r>
          </w:p>
        </w:tc>
        <w:tc>
          <w:tcPr>
            <w:tcW w:type="dxa" w:w="6768"/>
            <w:vAlign w:val="top"/>
          </w:tcPr>
          <w:p>
            <w:pPr>
              <w:spacing w:after="40" w:before="0"/>
            </w:pPr>
            <w:r>
              <w:rPr>
                <w:sz w:val="17"/>
              </w:rPr>
              <w:t>Closed connection or injected prepare/get failure becomes a safe controlled read error with no raw cause or path.</w:t>
            </w:r>
          </w:p>
        </w:tc>
      </w:tr>
      <w:tr>
        <w:tc>
          <w:tcPr>
            <w:tcW w:type="dxa" w:w="2880"/>
            <w:vAlign w:val="top"/>
          </w:tcPr>
          <w:p>
            <w:pPr>
              <w:spacing w:after="40" w:before="0"/>
            </w:pPr>
            <w:r>
              <w:rPr>
                <w:sz w:val="17"/>
              </w:rPr>
              <w:t>Write failure</w:t>
            </w:r>
          </w:p>
        </w:tc>
        <w:tc>
          <w:tcPr>
            <w:tcW w:type="dxa" w:w="6768"/>
            <w:vAlign w:val="top"/>
          </w:tcPr>
          <w:p>
            <w:pPr>
              <w:spacing w:after="40" w:before="0"/>
            </w:pPr>
            <w:r>
              <w:rPr>
                <w:sz w:val="17"/>
              </w:rPr>
              <w:t>Injected insert/verification failure becomes a safe controlled write error and caller transaction rolls back.</w:t>
            </w:r>
          </w:p>
        </w:tc>
      </w:tr>
      <w:tr>
        <w:tc>
          <w:tcPr>
            <w:tcW w:type="dxa" w:w="2880"/>
            <w:vAlign w:val="top"/>
          </w:tcPr>
          <w:p>
            <w:pPr>
              <w:spacing w:after="40" w:before="0"/>
            </w:pPr>
            <w:r>
              <w:rPr>
                <w:sz w:val="17"/>
              </w:rPr>
              <w:t>Expired scope</w:t>
            </w:r>
          </w:p>
        </w:tc>
        <w:tc>
          <w:tcPr>
            <w:tcW w:type="dxa" w:w="6768"/>
            <w:vAlign w:val="top"/>
          </w:tcPr>
          <w:p>
            <w:pPr>
              <w:spacing w:after="40" w:before="0"/>
            </w:pPr>
            <w:r>
              <w:rPr>
                <w:sz w:val="17"/>
              </w:rPr>
              <w:t>Capture a scoped connection or repository operation and call it after transaction completion; HSD-008 state protection blocks it and no row changes.</w:t>
            </w:r>
          </w:p>
        </w:tc>
      </w:tr>
      <w:tr>
        <w:tc>
          <w:tcPr>
            <w:tcW w:type="dxa" w:w="2880"/>
            <w:vAlign w:val="top"/>
          </w:tcPr>
          <w:p>
            <w:pPr>
              <w:spacing w:after="40" w:before="0"/>
            </w:pPr>
            <w:r>
              <w:rPr>
                <w:sz w:val="17"/>
              </w:rPr>
              <w:t>No transaction SQL</w:t>
            </w:r>
          </w:p>
        </w:tc>
        <w:tc>
          <w:tcPr>
            <w:tcW w:type="dxa" w:w="6768"/>
            <w:vAlign w:val="top"/>
          </w:tcPr>
          <w:p>
            <w:pPr>
              <w:spacing w:after="40" w:before="0"/>
            </w:pPr>
            <w:r>
              <w:rPr>
                <w:sz w:val="17"/>
              </w:rPr>
              <w:t>Repository implementation never issues BEGIN, COMMIT, END, ROLLBACK, SAVEPOINT, RELEASE, or ROLLBACK TO.</w:t>
            </w:r>
          </w:p>
        </w:tc>
      </w:tr>
      <w:tr>
        <w:tc>
          <w:tcPr>
            <w:tcW w:type="dxa" w:w="2880"/>
            <w:vAlign w:val="top"/>
          </w:tcPr>
          <w:p>
            <w:pPr>
              <w:spacing w:after="40" w:before="0"/>
            </w:pPr>
            <w:r>
              <w:rPr>
                <w:sz w:val="17"/>
              </w:rPr>
              <w:t>Serialization safety</w:t>
            </w:r>
          </w:p>
        </w:tc>
        <w:tc>
          <w:tcPr>
            <w:tcW w:type="dxa" w:w="6768"/>
            <w:vAlign w:val="top"/>
          </w:tcPr>
          <w:p>
            <w:pPr>
              <w:spacing w:after="40" w:before="0"/>
            </w:pPr>
            <w:r>
              <w:rPr>
                <w:sz w:val="17"/>
              </w:rPr>
              <w:t>All errors have fixed code/message, no stack/cause, and JSON/log output excludes SQL, paths, UUIDs, timestamps, deployment names, and timezone values.</w:t>
            </w:r>
          </w:p>
        </w:tc>
      </w:tr>
      <w:tr>
        <w:tc>
          <w:tcPr>
            <w:tcW w:type="dxa" w:w="2880"/>
            <w:vAlign w:val="top"/>
          </w:tcPr>
          <w:p>
            <w:pPr>
              <w:spacing w:after="40" w:before="0"/>
            </w:pPr>
            <w:r>
              <w:rPr>
                <w:sz w:val="17"/>
              </w:rPr>
              <w:t>Regression</w:t>
            </w:r>
          </w:p>
        </w:tc>
        <w:tc>
          <w:tcPr>
            <w:tcW w:type="dxa" w:w="6768"/>
            <w:vAlign w:val="top"/>
          </w:tcPr>
          <w:p>
            <w:pPr>
              <w:spacing w:after="40" w:before="0"/>
            </w:pPr>
            <w:r>
              <w:rPr>
                <w:sz w:val="17"/>
              </w:rPr>
              <w:t>All HSD-001 through HSD-008 tests continue to pass.</w:t>
            </w:r>
          </w:p>
        </w:tc>
      </w:tr>
    </w:tbl>
    <w:p>
      <w:pPr>
        <w:pStyle w:val="Heading2"/>
        <w:keepNext/>
      </w:pPr>
      <w:r>
        <w:t>12.1 Test database discipline</w:t>
      </w:r>
    </w:p>
    <w:p>
      <w:pPr>
        <w:pStyle w:val="ListBullet"/>
      </w:pPr>
      <w:r>
        <w:t>Use temporary file-backed databases, not :memory:, for repository integration tests.</w:t>
      </w:r>
    </w:p>
    <w:p>
      <w:pPr>
        <w:pStyle w:val="ListBullet"/>
      </w:pPr>
      <w:r>
        <w:t>Apply the production HSD-006 pragmas and production HSD-007 migration runner before repository tests.</w:t>
      </w:r>
    </w:p>
    <w:p>
      <w:pPr>
        <w:pStyle w:val="ListBullet"/>
      </w:pPr>
      <w:r>
        <w:t>Use deterministic HSD-008 ID and clock providers.</w:t>
      </w:r>
    </w:p>
    <w:p>
      <w:pPr>
        <w:pStyle w:val="ListBullet"/>
      </w:pPr>
      <w:r>
        <w:t>Close every connection and remove temporary database, WAL, and SHM files in finally blocks.</w:t>
      </w:r>
    </w:p>
    <w:p>
      <w:pPr>
        <w:pStyle w:val="ListBullet"/>
      </w:pPr>
      <w:r>
        <w:t>Do not write SQLite artifacts into the repository.</w:t>
      </w:r>
    </w:p>
    <w:p>
      <w:pPr>
        <w:pStyle w:val="Heading1"/>
        <w:keepNext/>
      </w:pPr>
      <w:r>
        <w:t>13. Documentation Requirements</w:t>
      </w:r>
    </w:p>
    <w:p>
      <w:pPr>
        <w:pStyle w:val="ListBullet"/>
      </w:pPr>
      <w:r>
        <w:t>Document that repositories are main-process-only and do not expose SQLite through IPC.</w:t>
      </w:r>
    </w:p>
    <w:p>
      <w:pPr>
        <w:pStyle w:val="ListBullet"/>
      </w:pPr>
      <w:r>
        <w:t>Document the split between unrestricted read connection ownership and transaction-scoped write capability.</w:t>
      </w:r>
    </w:p>
    <w:p>
      <w:pPr>
        <w:pStyle w:val="ListBullet"/>
      </w:pPr>
      <w:r>
        <w:t>Document that the installation repository does not own transactions or use automatic retry.</w:t>
      </w:r>
    </w:p>
    <w:p>
      <w:pPr>
        <w:pStyle w:val="ListBullet"/>
      </w:pPr>
      <w:r>
        <w:t>Document first-run state semantics and the difference between absence and corruption.</w:t>
      </w:r>
    </w:p>
    <w:p>
      <w:pPr>
        <w:pStyle w:val="ListBullet"/>
      </w:pPr>
      <w:r>
        <w:t>Document canonical deployment-name and timezone rules.</w:t>
      </w:r>
    </w:p>
    <w:p>
      <w:pPr>
        <w:pStyle w:val="ListBullet"/>
      </w:pPr>
      <w:r>
        <w:t>Document prohibited repository behaviors: SELECT *, raw error propagation, SQL/value logging, automatic repair, and schema mutation.</w:t>
      </w:r>
    </w:p>
    <w:p>
      <w:pPr>
        <w:pStyle w:val="ListBullet"/>
      </w:pPr>
      <w:r>
        <w:t>Update the repository structure and engineering standards without claiming that first-run setup or authentication is implemented.</w:t>
      </w:r>
    </w:p>
    <w:p>
      <w:pPr>
        <w:pStyle w:val="Heading1"/>
        <w:keepNext/>
      </w:pPr>
      <w:r>
        <w:t>14. Explicit Prohibitions</w:t>
      </w:r>
    </w:p>
    <w:p>
      <w:pPr/>
      <w:r>
        <w:t>Do not add or implement any of the following in HSD-009:</w:t>
      </w:r>
    </w:p>
    <w:p>
      <w:pPr>
        <w:pStyle w:val="ListBullet"/>
      </w:pPr>
      <w:r>
        <w:t>first-run IPC contracts, handlers, preload APIs, renderer forms, routing, or window changes;</w:t>
      </w:r>
    </w:p>
    <w:p>
      <w:pPr>
        <w:pStyle w:val="ListBullet"/>
      </w:pPr>
      <w:r>
        <w:t>password generation, hashing, salt creation, credential storage, login, logout, session, lockout, or forced password change;</w:t>
      </w:r>
    </w:p>
    <w:p>
      <w:pPr>
        <w:pStyle w:val="ListBullet"/>
      </w:pPr>
      <w:r>
        <w:t>user, role, location, protocol, audit, settings, patient, consent, screening, referral, follow-up, report, or outbox production repositories;</w:t>
      </w:r>
    </w:p>
    <w:p>
      <w:pPr>
        <w:pStyle w:val="ListBullet"/>
      </w:pPr>
      <w:r>
        <w:t>installation update, delete, replace, repair, import, export, backup, restore, sync, or remote registration;</w:t>
      </w:r>
    </w:p>
    <w:p>
      <w:pPr>
        <w:pStyle w:val="ListBullet"/>
      </w:pPr>
      <w:r>
        <w:t>migration 0002 or schema-v1 edits;</w:t>
      </w:r>
    </w:p>
    <w:p>
      <w:pPr>
        <w:pStyle w:val="ListBullet"/>
      </w:pPr>
      <w:r>
        <w:t>new dependencies, ORM, query builder, DI container, event bus, background worker, network client, FHIR, portal, or AI code;</w:t>
      </w:r>
    </w:p>
    <w:p>
      <w:pPr>
        <w:pStyle w:val="ListBullet"/>
      </w:pPr>
      <w:r>
        <w:t>production startup calls to getState or insert solely to demonstrate the repository;</w:t>
      </w:r>
    </w:p>
    <w:p>
      <w:pPr>
        <w:pStyle w:val="ListBullet"/>
      </w:pPr>
      <w:r>
        <w:t>new IPC channels or widening of the HSD-005 typed IPC surface.</w:t>
      </w:r>
    </w:p>
    <w:p>
      <w:pPr>
        <w:pStyle w:val="Heading1"/>
        <w:keepNext/>
      </w:pPr>
      <w:r>
        <w:t>15. Required Commands and Evidence</w:t>
      </w:r>
    </w:p>
    <w:p>
      <w:pPr>
        <w:pStyle w:val="CodeBlock"/>
        <w:keepLines/>
      </w:pPr>
      <w:r>
        <w:t>pnpm install</w:t>
        <w:br/>
        <w:t>pnpm format:check</w:t>
        <w:br/>
        <w:t>pnpm lint</w:t>
        <w:br/>
        <w:t>pnpm typecheck</w:t>
        <w:br/>
        <w:t>pnpm test</w:t>
        <w:br/>
        <w:t>pnpm verify</w:t>
        <w:br/>
        <w:t>pnpm build</w:t>
      </w:r>
    </w:p>
    <w:p>
      <w:pPr/>
      <w:r>
        <w:t>After automated gates pass, run all existing runtime modes:</w:t>
      </w:r>
    </w:p>
    <w:p>
      <w:pPr>
        <w:pStyle w:val="CodeBlock"/>
        <w:keepLines/>
      </w:pPr>
      <w:r>
        <w:t>pnpm dev</w:t>
        <w:br/>
        <w:t>pnpm start</w:t>
        <w:br/>
        <w:t>pnpm build:unpack</w:t>
      </w:r>
    </w:p>
    <w:p>
      <w:pPr>
        <w:pStyle w:val="ListBullet"/>
      </w:pPr>
      <w:r>
        <w:t>Development and preview must still show Database: Ready and Desktop IPC: Available.</w:t>
      </w:r>
    </w:p>
    <w:p>
      <w:pPr>
        <w:pStyle w:val="ListBullet"/>
      </w:pPr>
      <w:r>
        <w:t>The unpacked Windows application must open successfully and retain packaged preview status.</w:t>
      </w:r>
    </w:p>
    <w:p>
      <w:pPr>
        <w:pStyle w:val="ListBullet"/>
      </w:pPr>
      <w:r>
        <w:t>No installation row may be created by these runtime smoke tests.</w:t>
      </w:r>
    </w:p>
    <w:p>
      <w:pPr>
        <w:pStyle w:val="ListBullet"/>
      </w:pPr>
      <w:r>
        <w:t>No external SQL file or new native dependency may be required by the packaged application.</w:t>
      </w:r>
    </w:p>
    <w:p>
      <w:pPr>
        <w:pStyle w:val="ListBullet"/>
      </w:pPr>
      <w:r>
        <w:t>Provide exact command output, test counts, runtime status, and git status in the implementation report.</w:t>
      </w:r>
    </w:p>
    <w:p>
      <w:pPr>
        <w:pStyle w:val="Heading1"/>
        <w:keepNext/>
      </w:pPr>
      <w:r>
        <w:t>16. Commit and Push Requirements</w:t>
      </w:r>
    </w:p>
    <w:p>
      <w:pPr/>
      <w:r>
        <w:t>Create one primary implementation commit after all required files and tests pass:</w:t>
      </w:r>
    </w:p>
    <w:p>
      <w:pPr>
        <w:pStyle w:val="CodeBlock"/>
        <w:keepLines/>
      </w:pPr>
      <w:r>
        <w:t>git add .</w:t>
        <w:br/>
        <w:t>git commit -m "feat: add installation state repository"</w:t>
        <w:br/>
        <w:t>git push -u origin feature/hsd-009-installation-repository</w:t>
      </w:r>
    </w:p>
    <w:p>
      <w:pPr>
        <w:pStyle w:val="ListBullet"/>
      </w:pPr>
      <w:r>
        <w:t>Do not use a vague commit message such as update, fix files, or task complete.</w:t>
      </w:r>
    </w:p>
    <w:p>
      <w:pPr>
        <w:pStyle w:val="ListBullet"/>
      </w:pPr>
      <w:r>
        <w:t>Do not amend or squash the commit after review begins.</w:t>
      </w:r>
    </w:p>
    <w:p>
      <w:pPr>
        <w:pStyle w:val="ListBullet"/>
      </w:pPr>
      <w:r>
        <w:t>Do not merge into main until the implementation, tests, and packaged runtime are reviewed and approved.</w:t>
      </w:r>
    </w:p>
    <w:p>
      <w:pPr>
        <w:pStyle w:val="ListBullet"/>
      </w:pPr>
      <w:r>
        <w:t>A later review correction must be a separate commit.</w:t>
      </w:r>
    </w:p>
    <w:p>
      <w:pPr>
        <w:pStyle w:val="Heading1"/>
        <w:keepNext/>
      </w:pPr>
      <w:r>
        <w:t>17. Reviewer Checklist</w:t>
      </w:r>
    </w:p>
    <w:tbl>
      <w:tblPr>
        <w:tblStyle w:val="LightShading-Accent1"/>
        <w:tblW w:type="auto" w:w="0"/>
        <w:tblLook w:firstColumn="1" w:firstRow="1" w:lastColumn="0" w:lastRow="0" w:noHBand="0" w:noVBand="1" w:val="04A0"/>
      </w:tblPr>
      <w:tblGrid>
        <w:gridCol w:w="5040"/>
        <w:gridCol w:w="5040"/>
      </w:tblGrid>
      <w:tr>
        <w:trPr>
          <w:tblHeader w:val="true"/>
        </w:trPr>
        <w:tc>
          <w:tcPr>
            <w:tcW w:type="dxa" w:w="2880"/>
            <w:shd w:fill="0B6B75"/>
            <w:vAlign w:val="center"/>
          </w:tcPr>
          <w:p>
            <w:pPr>
              <w:spacing w:after="40" w:before="0"/>
            </w:pPr>
            <w:r>
              <w:rPr>
                <w:b/>
                <w:color w:val="FFFFFF"/>
                <w:sz w:val="17"/>
              </w:rPr>
              <w:t>Reviewer check</w:t>
            </w:r>
          </w:p>
        </w:tc>
        <w:tc>
          <w:tcPr>
            <w:tcW w:type="dxa" w:w="6768"/>
            <w:shd w:fill="0B6B75"/>
            <w:vAlign w:val="center"/>
          </w:tcPr>
          <w:p>
            <w:pPr>
              <w:spacing w:after="40" w:before="0"/>
            </w:pPr>
            <w:r>
              <w:rPr>
                <w:b/>
                <w:color w:val="FFFFFF"/>
                <w:sz w:val="17"/>
              </w:rPr>
              <w:t>Pass condition</w:t>
            </w:r>
          </w:p>
        </w:tc>
      </w:tr>
      <w:tr>
        <w:tc>
          <w:tcPr>
            <w:tcW w:type="dxa" w:w="2880"/>
            <w:vAlign w:val="top"/>
          </w:tcPr>
          <w:p>
            <w:pPr>
              <w:spacing w:after="40" w:before="0"/>
            </w:pPr>
            <w:r>
              <w:rPr>
                <w:sz w:val="17"/>
              </w:rPr>
              <w:t>Branch ancestry</w:t>
            </w:r>
          </w:p>
        </w:tc>
        <w:tc>
          <w:tcPr>
            <w:tcW w:type="dxa" w:w="6768"/>
            <w:vAlign w:val="top"/>
          </w:tcPr>
          <w:p>
            <w:pPr>
              <w:spacing w:after="40" w:before="0"/>
            </w:pPr>
            <w:r>
              <w:rPr>
                <w:sz w:val="17"/>
              </w:rPr>
              <w:t>Branch starts from e936c25 or the approved HSD-008 main baseline.</w:t>
            </w:r>
          </w:p>
        </w:tc>
      </w:tr>
      <w:tr>
        <w:tc>
          <w:tcPr>
            <w:tcW w:type="dxa" w:w="2880"/>
            <w:vAlign w:val="top"/>
          </w:tcPr>
          <w:p>
            <w:pPr>
              <w:spacing w:after="40" w:before="0"/>
            </w:pPr>
            <w:r>
              <w:rPr>
                <w:sz w:val="17"/>
              </w:rPr>
              <w:t>Dependencies</w:t>
            </w:r>
          </w:p>
        </w:tc>
        <w:tc>
          <w:tcPr>
            <w:tcW w:type="dxa" w:w="6768"/>
            <w:vAlign w:val="top"/>
          </w:tcPr>
          <w:p>
            <w:pPr>
              <w:spacing w:after="40" w:before="0"/>
            </w:pPr>
            <w:r>
              <w:rPr>
                <w:sz w:val="17"/>
              </w:rPr>
              <w:t>package.json and pnpm-lock.yaml unchanged.</w:t>
            </w:r>
          </w:p>
        </w:tc>
      </w:tr>
      <w:tr>
        <w:tc>
          <w:tcPr>
            <w:tcW w:type="dxa" w:w="2880"/>
            <w:vAlign w:val="top"/>
          </w:tcPr>
          <w:p>
            <w:pPr>
              <w:spacing w:after="40" w:before="0"/>
            </w:pPr>
            <w:r>
              <w:rPr>
                <w:sz w:val="17"/>
              </w:rPr>
              <w:t>Schema</w:t>
            </w:r>
          </w:p>
        </w:tc>
        <w:tc>
          <w:tcPr>
            <w:tcW w:type="dxa" w:w="6768"/>
            <w:vAlign w:val="top"/>
          </w:tcPr>
          <w:p>
            <w:pPr>
              <w:spacing w:after="40" w:before="0"/>
            </w:pPr>
            <w:r>
              <w:rPr>
                <w:sz w:val="17"/>
              </w:rPr>
              <w:t>No migration or schema-v1 change; user_version remains 1.</w:t>
            </w:r>
          </w:p>
        </w:tc>
      </w:tr>
      <w:tr>
        <w:tc>
          <w:tcPr>
            <w:tcW w:type="dxa" w:w="2880"/>
            <w:vAlign w:val="top"/>
          </w:tcPr>
          <w:p>
            <w:pPr>
              <w:spacing w:after="40" w:before="0"/>
            </w:pPr>
            <w:r>
              <w:rPr>
                <w:sz w:val="17"/>
              </w:rPr>
              <w:t>Boundary</w:t>
            </w:r>
          </w:p>
        </w:tc>
        <w:tc>
          <w:tcPr>
            <w:tcW w:type="dxa" w:w="6768"/>
            <w:vAlign w:val="top"/>
          </w:tcPr>
          <w:p>
            <w:pPr>
              <w:spacing w:after="40" w:before="0"/>
            </w:pPr>
            <w:r>
              <w:rPr>
                <w:sz w:val="17"/>
              </w:rPr>
              <w:t>Repository implementation is main-process-only; no preload/renderer/shared import.</w:t>
            </w:r>
          </w:p>
        </w:tc>
      </w:tr>
      <w:tr>
        <w:tc>
          <w:tcPr>
            <w:tcW w:type="dxa" w:w="2880"/>
            <w:vAlign w:val="top"/>
          </w:tcPr>
          <w:p>
            <w:pPr>
              <w:spacing w:after="40" w:before="0"/>
            </w:pPr>
            <w:r>
              <w:rPr>
                <w:sz w:val="17"/>
              </w:rPr>
              <w:t>Read path</w:t>
            </w:r>
          </w:p>
        </w:tc>
        <w:tc>
          <w:tcPr>
            <w:tcW w:type="dxa" w:w="6768"/>
            <w:vAlign w:val="top"/>
          </w:tcPr>
          <w:p>
            <w:pPr>
              <w:spacing w:after="40" w:before="0"/>
            </w:pPr>
            <w:r>
              <w:rPr>
                <w:sz w:val="17"/>
              </w:rPr>
              <w:t>Explicit SELECT, strict decoder, no writes, no repair, no cache.</w:t>
            </w:r>
          </w:p>
        </w:tc>
      </w:tr>
      <w:tr>
        <w:tc>
          <w:tcPr>
            <w:tcW w:type="dxa" w:w="2880"/>
            <w:vAlign w:val="top"/>
          </w:tcPr>
          <w:p>
            <w:pPr>
              <w:spacing w:after="40" w:before="0"/>
            </w:pPr>
            <w:r>
              <w:rPr>
                <w:sz w:val="17"/>
              </w:rPr>
              <w:t>Write path</w:t>
            </w:r>
          </w:p>
        </w:tc>
        <w:tc>
          <w:tcPr>
            <w:tcW w:type="dxa" w:w="6768"/>
            <w:vAlign w:val="top"/>
          </w:tcPr>
          <w:p>
            <w:pPr>
              <w:spacing w:after="40" w:before="0"/>
            </w:pPr>
            <w:r>
              <w:rPr>
                <w:sz w:val="17"/>
              </w:rPr>
              <w:t>Uses only DatabaseTransactionConnection, bound parameters, singleton_id=1, and no transaction ownership.</w:t>
            </w:r>
          </w:p>
        </w:tc>
      </w:tr>
      <w:tr>
        <w:tc>
          <w:tcPr>
            <w:tcW w:type="dxa" w:w="2880"/>
            <w:vAlign w:val="top"/>
          </w:tcPr>
          <w:p>
            <w:pPr>
              <w:spacing w:after="40" w:before="0"/>
            </w:pPr>
            <w:r>
              <w:rPr>
                <w:sz w:val="17"/>
              </w:rPr>
              <w:t>Types</w:t>
            </w:r>
          </w:p>
        </w:tc>
        <w:tc>
          <w:tcPr>
            <w:tcW w:type="dxa" w:w="6768"/>
            <w:vAlign w:val="top"/>
          </w:tcPr>
          <w:p>
            <w:pPr>
              <w:spacing w:after="40" w:before="0"/>
            </w:pPr>
            <w:r>
              <w:rPr>
                <w:sz w:val="17"/>
              </w:rPr>
              <w:t>EntityId/UtcTimestamp reuse HSD-008; deployment name/timezone parsers are deterministic and safe.</w:t>
            </w:r>
          </w:p>
        </w:tc>
      </w:tr>
      <w:tr>
        <w:tc>
          <w:tcPr>
            <w:tcW w:type="dxa" w:w="2880"/>
            <w:vAlign w:val="top"/>
          </w:tcPr>
          <w:p>
            <w:pPr>
              <w:spacing w:after="40" w:before="0"/>
            </w:pPr>
            <w:r>
              <w:rPr>
                <w:sz w:val="17"/>
              </w:rPr>
              <w:t>Duplicate</w:t>
            </w:r>
          </w:p>
        </w:tc>
        <w:tc>
          <w:tcPr>
            <w:tcW w:type="dxa" w:w="6768"/>
            <w:vAlign w:val="top"/>
          </w:tcPr>
          <w:p>
            <w:pPr>
              <w:spacing w:after="40" w:before="0"/>
            </w:pPr>
            <w:r>
              <w:rPr>
                <w:sz w:val="17"/>
              </w:rPr>
              <w:t>Second initialization is refused and original row remains unchanged.</w:t>
            </w:r>
          </w:p>
        </w:tc>
      </w:tr>
      <w:tr>
        <w:tc>
          <w:tcPr>
            <w:tcW w:type="dxa" w:w="2880"/>
            <w:vAlign w:val="top"/>
          </w:tcPr>
          <w:p>
            <w:pPr>
              <w:spacing w:after="40" w:before="0"/>
            </w:pPr>
            <w:r>
              <w:rPr>
                <w:sz w:val="17"/>
              </w:rPr>
              <w:t>Corruption</w:t>
            </w:r>
          </w:p>
        </w:tc>
        <w:tc>
          <w:tcPr>
            <w:tcW w:type="dxa" w:w="6768"/>
            <w:vAlign w:val="top"/>
          </w:tcPr>
          <w:p>
            <w:pPr>
              <w:spacing w:after="40" w:before="0"/>
            </w:pPr>
            <w:r>
              <w:rPr>
                <w:sz w:val="17"/>
              </w:rPr>
              <w:t>Malformed persisted row fails closed as data-integrity error.</w:t>
            </w:r>
          </w:p>
        </w:tc>
      </w:tr>
      <w:tr>
        <w:tc>
          <w:tcPr>
            <w:tcW w:type="dxa" w:w="2880"/>
            <w:vAlign w:val="top"/>
          </w:tcPr>
          <w:p>
            <w:pPr>
              <w:spacing w:after="40" w:before="0"/>
            </w:pPr>
            <w:r>
              <w:rPr>
                <w:sz w:val="17"/>
              </w:rPr>
              <w:t>Errors</w:t>
            </w:r>
          </w:p>
        </w:tc>
        <w:tc>
          <w:tcPr>
            <w:tcW w:type="dxa" w:w="6768"/>
            <w:vAlign w:val="top"/>
          </w:tcPr>
          <w:p>
            <w:pPr>
              <w:spacing w:after="40" w:before="0"/>
            </w:pPr>
            <w:r>
              <w:rPr>
                <w:sz w:val="17"/>
              </w:rPr>
              <w:t>Fixed messages/codes, allowlisted errorType, no raw cause/stack/SQL/path/value.</w:t>
            </w:r>
          </w:p>
        </w:tc>
      </w:tr>
      <w:tr>
        <w:tc>
          <w:tcPr>
            <w:tcW w:type="dxa" w:w="2880"/>
            <w:vAlign w:val="top"/>
          </w:tcPr>
          <w:p>
            <w:pPr>
              <w:spacing w:after="40" w:before="0"/>
            </w:pPr>
            <w:r>
              <w:rPr>
                <w:sz w:val="17"/>
              </w:rPr>
              <w:t>Tests</w:t>
            </w:r>
          </w:p>
        </w:tc>
        <w:tc>
          <w:tcPr>
            <w:tcW w:type="dxa" w:w="6768"/>
            <w:vAlign w:val="top"/>
          </w:tcPr>
          <w:p>
            <w:pPr>
              <w:spacing w:after="40" w:before="0"/>
            </w:pPr>
            <w:r>
              <w:rPr>
                <w:sz w:val="17"/>
              </w:rPr>
              <w:t>Temporary file-backed integration coverage proves durable success and rollback behavior.</w:t>
            </w:r>
          </w:p>
        </w:tc>
      </w:tr>
      <w:tr>
        <w:tc>
          <w:tcPr>
            <w:tcW w:type="dxa" w:w="2880"/>
            <w:vAlign w:val="top"/>
          </w:tcPr>
          <w:p>
            <w:pPr>
              <w:spacing w:after="40" w:before="0"/>
            </w:pPr>
            <w:r>
              <w:rPr>
                <w:sz w:val="17"/>
              </w:rPr>
              <w:t>No hidden feature</w:t>
            </w:r>
          </w:p>
        </w:tc>
        <w:tc>
          <w:tcPr>
            <w:tcW w:type="dxa" w:w="6768"/>
            <w:vAlign w:val="top"/>
          </w:tcPr>
          <w:p>
            <w:pPr>
              <w:spacing w:after="40" w:before="0"/>
            </w:pPr>
            <w:r>
              <w:rPr>
                <w:sz w:val="17"/>
              </w:rPr>
              <w:t>No user/location/protocol/audit/auth/IPC/UI/sync/clinical implementation.</w:t>
            </w:r>
          </w:p>
        </w:tc>
      </w:tr>
      <w:tr>
        <w:tc>
          <w:tcPr>
            <w:tcW w:type="dxa" w:w="2880"/>
            <w:vAlign w:val="top"/>
          </w:tcPr>
          <w:p>
            <w:pPr>
              <w:spacing w:after="40" w:before="0"/>
            </w:pPr>
            <w:r>
              <w:rPr>
                <w:sz w:val="17"/>
              </w:rPr>
              <w:t>Runtime</w:t>
            </w:r>
          </w:p>
        </w:tc>
        <w:tc>
          <w:tcPr>
            <w:tcW w:type="dxa" w:w="6768"/>
            <w:vAlign w:val="top"/>
          </w:tcPr>
          <w:p>
            <w:pPr>
              <w:spacing w:after="40" w:before="0"/>
            </w:pPr>
            <w:r>
              <w:rPr>
                <w:sz w:val="17"/>
              </w:rPr>
              <w:t>Development, preview, and unpacked application remain Ready/Available.</w:t>
            </w:r>
          </w:p>
        </w:tc>
      </w:tr>
      <w:tr>
        <w:tc>
          <w:tcPr>
            <w:tcW w:type="dxa" w:w="2880"/>
            <w:vAlign w:val="top"/>
          </w:tcPr>
          <w:p>
            <w:pPr>
              <w:spacing w:after="40" w:before="0"/>
            </w:pPr>
            <w:r>
              <w:rPr>
                <w:sz w:val="17"/>
              </w:rPr>
              <w:t>Repository state</w:t>
            </w:r>
          </w:p>
        </w:tc>
        <w:tc>
          <w:tcPr>
            <w:tcW w:type="dxa" w:w="6768"/>
            <w:vAlign w:val="top"/>
          </w:tcPr>
          <w:p>
            <w:pPr>
              <w:spacing w:after="40" w:before="0"/>
            </w:pPr>
            <w:r>
              <w:rPr>
                <w:sz w:val="17"/>
              </w:rPr>
              <w:t>Working tree clean; branch pushed; reviewed commits not rewritten.</w:t>
            </w:r>
          </w:p>
        </w:tc>
      </w:tr>
    </w:tbl>
    <w:p>
      <w:pPr>
        <w:pStyle w:val="Heading1"/>
        <w:keepNext/>
      </w:pPr>
      <w:r>
        <w:t>18. Codex Execution Prompt</w:t>
      </w:r>
    </w:p>
    <w:p>
      <w:pPr>
        <w:pStyle w:val="CodeBlock"/>
        <w:keepLines/>
      </w:pPr>
      <w:r>
        <w:t>Implement HSD-009 exactly as specified in</w:t>
        <w:br/>
        <w:t>doc/HSD-009_Typed_Installation_Repository_and_First_Run_State_Codex_Task.docx.</w:t>
        <w:br/>
        <w:br/>
        <w:t>Baseline: main at e936c25, the approved HSD-008 merge.</w:t>
        <w:br/>
        <w:t>Branch: feature/hsd-009-installation-repository.</w:t>
        <w:br/>
        <w:t>Primary commit: feat: add installation state repository.</w:t>
        <w:br/>
        <w:br/>
        <w:t>Create a main-process-only typed installation repository and read-only first-run state query over the existing schema-v1 installation table. Reuse HSD-008 EntityId, UtcTimestamp, and DatabaseTransactionConnection. Add deterministic deployment-name and IANA-timezone validation, strict row decoding, controlled repository errors, caller-owned transaction writes, temporary file-backed tests, and repository-boundary documentation.</w:t>
        <w:br/>
        <w:br/>
        <w:t>Do not add dependencies, migrations, schema changes, seed data, startup writes, authentication, password handling, users, locations, protocol, audit, clinical workflows, sync, IPC, preload, renderer, routes, UI, FHIR, portal, AI, backup, restore, printing, or reporting.</w:t>
        <w:br/>
        <w:br/>
        <w:t>Run the full required command set and all runtime smoke modes. Commit and push only after all evidence passes.</w:t>
      </w:r>
    </w:p>
    <w:p>
      <w:pPr>
        <w:pStyle w:val="Heading1"/>
        <w:keepNext/>
      </w:pPr>
      <w:r>
        <w:t>19. Definition of Done</w:t>
      </w:r>
    </w:p>
    <w:tbl>
      <w:tblPr>
        <w:tblW w:type="auto" w:w="0"/>
        <w:tblLook w:firstColumn="1" w:firstRow="1" w:lastColumn="0" w:lastRow="0" w:noHBand="0" w:noVBand="1" w:val="04A0"/>
      </w:tblPr>
      <w:tblGrid>
        <w:gridCol w:w="10080"/>
      </w:tblGrid>
      <w:tr>
        <w:tc>
          <w:tcPr>
            <w:tcW w:type="dxa" w:w="10080"/>
            <w:shd w:fill="E2F0D9"/>
            <w:vAlign w:val="center"/>
          </w:tcPr>
          <w:p>
            <w:pPr>
              <w:spacing w:after="40" w:before="0"/>
            </w:pPr>
            <w:r>
              <w:rPr>
                <w:b/>
                <w:sz w:val="17"/>
              </w:rPr>
              <w:t>HSD-009 is complete only when a fresh migrated database reports UNINITIALIZED without writes; a validated installation can be inserted only through the HSD-008 transaction-scoped connection; the record persists and decodes exactly after reopen; duplicate initialization is refused without mutation; malformed persisted data fails closed; all repository errors and logs remain free of raw causes, stacks, SQL, paths, UUIDs, timestamps, deployment names, and timezone values; no schema, dependency, IPC, renderer, authentication, or production-startup behavior changes; all automated gates and development/preview/unpacked runtime checks pass; and the branch is pushed with a clean working tree for review.</w:t>
            </w:r>
          </w:p>
        </w:tc>
      </w:tr>
    </w:tbl>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95959"/>
        <w:sz w:val="16"/>
      </w:rPr>
      <w:t>HEALTH SCREENING OFFLINE DESKTOP APPLICATION  |  CODEX TASK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163A5F"/>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365F9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60"/>
      <w:contextualSpacing/>
    </w:pPr>
    <w:rPr>
      <w:rFonts w:asciiTheme="majorHAnsi" w:eastAsiaTheme="majorEastAsia" w:hAnsiTheme="majorHAnsi" w:cstheme="majorBidi" w:ascii="Aptos Display" w:hAnsi="Aptos Display"/>
      <w:b/>
      <w:color w:val="163A5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160" w:after="80"/>
    </w:pPr>
    <w:rPr>
      <w:rFonts w:asciiTheme="majorHAnsi" w:eastAsiaTheme="majorEastAsia" w:hAnsiTheme="majorHAnsi" w:cstheme="majorBidi" w:ascii="Aptos" w:hAnsi="Aptos"/>
      <w:b/>
      <w:i/>
      <w:iCs/>
      <w:color w:val="4472C4"/>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line="240" w:lineRule="auto"/>
      <w:ind w:left="259" w:right="259"/>
      <w:shd w:fill="F2F2F2"/>
    </w:pPr>
    <w:rPr>
      <w:rFonts w:ascii="Cascadia Mono" w:hAnsi="Cascadia Mono"/>
      <w:color w:val="1E1E1E"/>
      <w:sz w:val="16"/>
    </w:rPr>
  </w:style>
  <w:style w:type="paragraph" w:customStyle="1" w:styleId="SmallNote">
    <w:name w:val="Small Note"/>
    <w:basedOn w:val="Normal"/>
    <w:rPr>
      <w:rFonts w:ascii="Aptos" w:hAnsi="Aptos"/>
      <w:color w:val="595959"/>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HSD-009 Typed Installation Repository and First-Run State</dc:title>
  <dc:subject>Bounded Codex implementation task for the Health Screening Offline Desktop Application</dc:subject>
  <dc:creator/>
  <cp:keywords>HSD-009, SQLite, repository, installation, first-run, Electron, TypeScript</cp:keywords>
  <dc:description/>
  <cp:lastModifiedBy/>
  <cp:revision>1</cp:revision>
  <dcterms:created xsi:type="dcterms:W3CDTF">2013-12-23T23:15:00Z</dcterms:created>
  <dcterms:modified xsi:type="dcterms:W3CDTF">2013-12-23T23:15:00Z</dcterms:modified>
  <cp:category/>
</cp:coreProperties>
</file>