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 w:line="252" w:lineRule="auto"/>
        <w:jc w:val="center"/>
      </w:pPr>
      <w:r>
        <w:rPr>
          <w:rFonts w:ascii="Aptos Display" w:hAnsi="Aptos Display"/>
          <w:b/>
          <w:color w:val="4472C4"/>
          <w:sz w:val="40"/>
        </w:rPr>
        <w:t>HSD-015</w:t>
      </w:r>
    </w:p>
    <w:p>
      <w:pPr>
        <w:pStyle w:val="Title"/>
        <w:widowControl/>
        <w:spacing w:after="160"/>
        <w:jc w:val="center"/>
      </w:pPr>
      <w:r>
        <w:t>First-Run IPC Contract, Trusted Handler, and Preload Boundary</w:t>
      </w:r>
    </w:p>
    <w:p>
      <w:pPr>
        <w:pStyle w:val="Subtitle"/>
        <w:widowControl/>
        <w:spacing w:after="160"/>
        <w:jc w:val="center"/>
      </w:pPr>
      <w:r>
        <w:t>Bounded Codex Implementation Task</w:t>
      </w:r>
    </w:p>
    <w:p>
      <w:pPr>
        <w:widowControl/>
        <w:spacing w:after="160" w:line="252" w:lineRule="auto"/>
        <w:jc w:val="center"/>
      </w:pPr>
      <w:r>
        <w:rPr>
          <w:b/>
          <w:color w:val="17365D"/>
        </w:rPr>
        <w:t>Health Screening Offline Desktop Application</w:t>
      </w:r>
    </w:p>
    <w:p>
      <w:pPr>
        <w:widowControl/>
        <w:spacing w:after="160" w:line="252" w:lineRule="auto"/>
        <w:jc w:val="center"/>
      </w:pPr>
      <w:r>
        <w:rPr>
          <w:i/>
        </w:rPr>
        <w:t>Implementation must preserve the approved HSD-001 through HSD-014 baseline.</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376"/>
            <w:vAlign w:val="center"/>
            <w:tcMar>
              <w:top w:w="80" w:type="dxa"/>
              <w:start w:w="100" w:type="dxa"/>
              <w:bottom w:w="80" w:type="dxa"/>
              <w:end w:w="100" w:type="dxa"/>
            </w:tcMar>
            <w:shd w:fill="17365D"/>
          </w:tcPr>
          <w:p>
            <w:r>
              <w:rPr>
                <w:b/>
                <w:color w:val="FFFFFF"/>
                <w:sz w:val="18"/>
              </w:rPr>
              <w:t>Field</w:t>
            </w:r>
          </w:p>
        </w:tc>
        <w:tc>
          <w:tcPr>
            <w:tcW w:type="dxa" w:w="7272"/>
            <w:vAlign w:val="center"/>
            <w:tcMar>
              <w:top w:w="80" w:type="dxa"/>
              <w:start w:w="100" w:type="dxa"/>
              <w:bottom w:w="80" w:type="dxa"/>
              <w:end w:w="100" w:type="dxa"/>
            </w:tcMar>
            <w:shd w:fill="17365D"/>
          </w:tcPr>
          <w:p>
            <w:r>
              <w:rPr>
                <w:b/>
                <w:color w:val="FFFFFF"/>
                <w:sz w:val="18"/>
              </w:rPr>
              <w:t>Required value</w:t>
            </w:r>
          </w:p>
        </w:tc>
      </w:tr>
      <w:tr>
        <w:trPr>
          <w:cantSplit/>
        </w:trPr>
        <w:tc>
          <w:tcPr>
            <w:tcW w:type="dxa" w:w="2376"/>
            <w:vAlign w:val="center"/>
            <w:tcMar>
              <w:top w:w="80" w:type="dxa"/>
              <w:start w:w="100" w:type="dxa"/>
              <w:bottom w:w="80" w:type="dxa"/>
              <w:end w:w="100" w:type="dxa"/>
            </w:tcMar>
          </w:tcPr>
          <w:p>
            <w:r>
              <w:rPr>
                <w:sz w:val="18"/>
              </w:rPr>
              <w:t>Task ID</w:t>
            </w:r>
          </w:p>
        </w:tc>
        <w:tc>
          <w:tcPr>
            <w:tcW w:type="dxa" w:w="7272"/>
            <w:vAlign w:val="center"/>
            <w:tcMar>
              <w:top w:w="80" w:type="dxa"/>
              <w:start w:w="100" w:type="dxa"/>
              <w:bottom w:w="80" w:type="dxa"/>
              <w:end w:w="100" w:type="dxa"/>
            </w:tcMar>
          </w:tcPr>
          <w:p>
            <w:r>
              <w:rPr>
                <w:sz w:val="18"/>
              </w:rPr>
              <w:t>HSD-015</w:t>
            </w:r>
          </w:p>
        </w:tc>
      </w:tr>
      <w:tr>
        <w:trPr>
          <w:cantSplit/>
        </w:trPr>
        <w:tc>
          <w:tcPr>
            <w:tcW w:type="dxa" w:w="2376"/>
            <w:vAlign w:val="center"/>
            <w:tcMar>
              <w:top w:w="80" w:type="dxa"/>
              <w:start w:w="100" w:type="dxa"/>
              <w:bottom w:w="80" w:type="dxa"/>
              <w:end w:w="100" w:type="dxa"/>
            </w:tcMar>
          </w:tcPr>
          <w:p>
            <w:r>
              <w:rPr>
                <w:sz w:val="18"/>
              </w:rPr>
              <w:t>Status</w:t>
            </w:r>
          </w:p>
        </w:tc>
        <w:tc>
          <w:tcPr>
            <w:tcW w:type="dxa" w:w="7272"/>
            <w:vAlign w:val="center"/>
            <w:tcMar>
              <w:top w:w="80" w:type="dxa"/>
              <w:start w:w="100" w:type="dxa"/>
              <w:bottom w:w="80" w:type="dxa"/>
              <w:end w:w="100" w:type="dxa"/>
            </w:tcMar>
          </w:tcPr>
          <w:p>
            <w:r>
              <w:rPr>
                <w:sz w:val="18"/>
              </w:rPr>
              <w:t>Ready for implementation after HSD-014 approval and merge</w:t>
            </w:r>
          </w:p>
        </w:tc>
      </w:tr>
      <w:tr>
        <w:trPr>
          <w:cantSplit/>
        </w:trPr>
        <w:tc>
          <w:tcPr>
            <w:tcW w:type="dxa" w:w="2376"/>
            <w:vAlign w:val="center"/>
            <w:tcMar>
              <w:top w:w="80" w:type="dxa"/>
              <w:start w:w="100" w:type="dxa"/>
              <w:bottom w:w="80" w:type="dxa"/>
              <w:end w:w="100" w:type="dxa"/>
            </w:tcMar>
          </w:tcPr>
          <w:p>
            <w:r>
              <w:rPr>
                <w:sz w:val="18"/>
              </w:rPr>
              <w:t>Baseline</w:t>
            </w:r>
          </w:p>
        </w:tc>
        <w:tc>
          <w:tcPr>
            <w:tcW w:type="dxa" w:w="7272"/>
            <w:vAlign w:val="center"/>
            <w:tcMar>
              <w:top w:w="80" w:type="dxa"/>
              <w:start w:w="100" w:type="dxa"/>
              <w:bottom w:w="80" w:type="dxa"/>
              <w:end w:w="100" w:type="dxa"/>
            </w:tcMar>
          </w:tcPr>
          <w:p>
            <w:r>
              <w:rPr>
                <w:sz w:val="18"/>
              </w:rPr>
              <w:t>abe0863 - merge: complete HSD-014 first-run bootstrap service</w:t>
            </w:r>
          </w:p>
        </w:tc>
      </w:tr>
      <w:tr>
        <w:trPr>
          <w:cantSplit/>
        </w:trPr>
        <w:tc>
          <w:tcPr>
            <w:tcW w:type="dxa" w:w="2376"/>
            <w:vAlign w:val="center"/>
            <w:tcMar>
              <w:top w:w="80" w:type="dxa"/>
              <w:start w:w="100" w:type="dxa"/>
              <w:bottom w:w="80" w:type="dxa"/>
              <w:end w:w="100" w:type="dxa"/>
            </w:tcMar>
          </w:tcPr>
          <w:p>
            <w:r>
              <w:rPr>
                <w:sz w:val="18"/>
              </w:rPr>
              <w:t>Work package</w:t>
            </w:r>
          </w:p>
        </w:tc>
        <w:tc>
          <w:tcPr>
            <w:tcW w:type="dxa" w:w="7272"/>
            <w:vAlign w:val="center"/>
            <w:tcMar>
              <w:top w:w="80" w:type="dxa"/>
              <w:start w:w="100" w:type="dxa"/>
              <w:bottom w:w="80" w:type="dxa"/>
              <w:end w:w="100" w:type="dxa"/>
            </w:tcMar>
          </w:tcPr>
          <w:p>
            <w:r>
              <w:rPr>
                <w:sz w:val="18"/>
              </w:rPr>
              <w:t>WP4 - Local authentication, administration, and first-run initialization</w:t>
            </w:r>
          </w:p>
        </w:tc>
      </w:tr>
      <w:tr>
        <w:trPr>
          <w:cantSplit/>
        </w:trPr>
        <w:tc>
          <w:tcPr>
            <w:tcW w:type="dxa" w:w="2376"/>
            <w:vAlign w:val="center"/>
            <w:tcMar>
              <w:top w:w="80" w:type="dxa"/>
              <w:start w:w="100" w:type="dxa"/>
              <w:bottom w:w="80" w:type="dxa"/>
              <w:end w:w="100" w:type="dxa"/>
            </w:tcMar>
          </w:tcPr>
          <w:p>
            <w:r>
              <w:rPr>
                <w:sz w:val="18"/>
              </w:rPr>
              <w:t>Branch</w:t>
            </w:r>
          </w:p>
        </w:tc>
        <w:tc>
          <w:tcPr>
            <w:tcW w:type="dxa" w:w="7272"/>
            <w:vAlign w:val="center"/>
            <w:tcMar>
              <w:top w:w="80" w:type="dxa"/>
              <w:start w:w="100" w:type="dxa"/>
              <w:bottom w:w="80" w:type="dxa"/>
              <w:end w:w="100" w:type="dxa"/>
            </w:tcMar>
          </w:tcPr>
          <w:p>
            <w:r>
              <w:rPr>
                <w:sz w:val="18"/>
              </w:rPr>
              <w:t>feature/hsd-015-first-run-ipc-boundary</w:t>
            </w:r>
          </w:p>
        </w:tc>
      </w:tr>
      <w:tr>
        <w:trPr>
          <w:cantSplit/>
        </w:trPr>
        <w:tc>
          <w:tcPr>
            <w:tcW w:type="dxa" w:w="2376"/>
            <w:vAlign w:val="center"/>
            <w:tcMar>
              <w:top w:w="80" w:type="dxa"/>
              <w:start w:w="100" w:type="dxa"/>
              <w:bottom w:w="80" w:type="dxa"/>
              <w:end w:w="100" w:type="dxa"/>
            </w:tcMar>
          </w:tcPr>
          <w:p>
            <w:r>
              <w:rPr>
                <w:sz w:val="18"/>
              </w:rPr>
              <w:t>Primary commit</w:t>
            </w:r>
          </w:p>
        </w:tc>
        <w:tc>
          <w:tcPr>
            <w:tcW w:type="dxa" w:w="7272"/>
            <w:vAlign w:val="center"/>
            <w:tcMar>
              <w:top w:w="80" w:type="dxa"/>
              <w:start w:w="100" w:type="dxa"/>
              <w:bottom w:w="80" w:type="dxa"/>
              <w:end w:w="100" w:type="dxa"/>
            </w:tcMar>
          </w:tcPr>
          <w:p>
            <w:r>
              <w:rPr>
                <w:sz w:val="18"/>
              </w:rPr>
              <w:t>feat: expose first-run bootstrap over trusted ipc</w:t>
            </w:r>
          </w:p>
        </w:tc>
      </w:tr>
      <w:tr>
        <w:trPr>
          <w:cantSplit/>
        </w:trPr>
        <w:tc>
          <w:tcPr>
            <w:tcW w:type="dxa" w:w="2376"/>
            <w:vAlign w:val="center"/>
            <w:tcMar>
              <w:top w:w="80" w:type="dxa"/>
              <w:start w:w="100" w:type="dxa"/>
              <w:bottom w:w="80" w:type="dxa"/>
              <w:end w:w="100" w:type="dxa"/>
            </w:tcMar>
          </w:tcPr>
          <w:p>
            <w:r>
              <w:rPr>
                <w:sz w:val="18"/>
              </w:rPr>
              <w:t>Process boundary</w:t>
            </w:r>
          </w:p>
        </w:tc>
        <w:tc>
          <w:tcPr>
            <w:tcW w:type="dxa" w:w="7272"/>
            <w:vAlign w:val="center"/>
            <w:tcMar>
              <w:top w:w="80" w:type="dxa"/>
              <w:start w:w="100" w:type="dxa"/>
              <w:bottom w:w="80" w:type="dxa"/>
              <w:end w:w="100" w:type="dxa"/>
            </w:tcMar>
          </w:tcPr>
          <w:p>
            <w:r>
              <w:rPr>
                <w:sz w:val="18"/>
              </w:rPr>
              <w:t>Shared serializable contracts + Electron main IPC/composition + preload API</w:t>
            </w:r>
          </w:p>
        </w:tc>
      </w:tr>
      <w:tr>
        <w:trPr>
          <w:cantSplit/>
        </w:trPr>
        <w:tc>
          <w:tcPr>
            <w:tcW w:type="dxa" w:w="2376"/>
            <w:vAlign w:val="center"/>
            <w:tcMar>
              <w:top w:w="80" w:type="dxa"/>
              <w:start w:w="100" w:type="dxa"/>
              <w:bottom w:w="80" w:type="dxa"/>
              <w:end w:w="100" w:type="dxa"/>
            </w:tcMar>
          </w:tcPr>
          <w:p>
            <w:r>
              <w:rPr>
                <w:sz w:val="18"/>
              </w:rPr>
              <w:t>Database boundary</w:t>
            </w:r>
          </w:p>
        </w:tc>
        <w:tc>
          <w:tcPr>
            <w:tcW w:type="dxa" w:w="7272"/>
            <w:vAlign w:val="center"/>
            <w:tcMar>
              <w:top w:w="80" w:type="dxa"/>
              <w:start w:w="100" w:type="dxa"/>
              <w:bottom w:w="80" w:type="dxa"/>
              <w:end w:w="100" w:type="dxa"/>
            </w:tcMar>
          </w:tcPr>
          <w:p>
            <w:r>
              <w:rPr>
                <w:sz w:val="18"/>
              </w:rPr>
              <w:t>Existing schema-v1 through HSD-014 only; no migrations or direct SQL</w:t>
            </w:r>
          </w:p>
        </w:tc>
      </w:tr>
      <w:tr>
        <w:trPr>
          <w:cantSplit/>
        </w:trPr>
        <w:tc>
          <w:tcPr>
            <w:tcW w:type="dxa" w:w="2376"/>
            <w:vAlign w:val="center"/>
            <w:tcMar>
              <w:top w:w="80" w:type="dxa"/>
              <w:start w:w="100" w:type="dxa"/>
              <w:bottom w:w="80" w:type="dxa"/>
              <w:end w:w="100" w:type="dxa"/>
            </w:tcMar>
          </w:tcPr>
          <w:p>
            <w:r>
              <w:rPr>
                <w:sz w:val="18"/>
              </w:rPr>
              <w:t>Primary outcome</w:t>
            </w:r>
          </w:p>
        </w:tc>
        <w:tc>
          <w:tcPr>
            <w:tcW w:type="dxa" w:w="7272"/>
            <w:vAlign w:val="center"/>
            <w:tcMar>
              <w:top w:w="80" w:type="dxa"/>
              <w:start w:w="100" w:type="dxa"/>
              <w:bottom w:w="80" w:type="dxa"/>
              <w:end w:w="100" w:type="dxa"/>
            </w:tcMar>
          </w:tcPr>
          <w:p>
            <w:r>
              <w:rPr>
                <w:sz w:val="18"/>
              </w:rPr>
              <w:t>Renderer-safe first-run state and initialization methods over fixed trusted IPC channels</w:t>
            </w:r>
          </w:p>
        </w:tc>
      </w:tr>
    </w:tbl>
    <w:p>
      <w:pPr>
        <w:widowControl/>
        <w:spacing w:after="160" w:line="252" w:lineRule="auto"/>
      </w:pPr>
    </w:p>
    <w:tbl>
      <w:tblPr>
        <w:tblStyle w:val="TableGrid"/>
        <w:tblW w:type="auto" w:w="0"/>
        <w:jc w:val="center"/>
        <w:tblLook w:firstColumn="1" w:firstRow="1" w:lastColumn="0" w:lastRow="0" w:noHBand="0" w:noVBand="1" w:val="04A0"/>
      </w:tblPr>
      <w:tblGrid>
        <w:gridCol w:w="10080"/>
      </w:tblGrid>
      <w:tr>
        <w:trPr>
          <w:cantSplit/>
        </w:trPr>
        <w:tc>
          <w:tcPr>
            <w:tcW w:type="dxa" w:w="10080"/>
            <w:shd w:fill="EAF2F8"/>
            <w:tcMar>
              <w:top w:w="140" w:type="dxa"/>
              <w:start w:w="180" w:type="dxa"/>
              <w:bottom w:w="140" w:type="dxa"/>
              <w:end w:w="180" w:type="dxa"/>
            </w:tcMar>
          </w:tcPr>
          <w:p>
            <w:r>
              <w:rPr>
                <w:b/>
                <w:color w:val="17365D"/>
                <w:sz w:val="20"/>
              </w:rPr>
              <w:t>Scope boundary: HSD-015 exposes the approved HSD-014 first-run bootstrap service through strict shared contracts, sender-validated Electron handlers, production main-process composition, and a narrow preload API. It does not add the React setup screen, routing, login, sessions, password change, administration UI, protocol settings, active-location selection, or clinical workflows.</w:t>
            </w:r>
          </w:p>
        </w:tc>
      </w:tr>
    </w:tbl>
    <w:p>
      <w:pPr>
        <w:widowControl/>
        <w:spacing w:after="100" w:line="252" w:lineRule="auto"/>
      </w:pPr>
    </w:p>
    <w:p>
      <w:pPr>
        <w:widowControl/>
        <w:spacing w:after="100" w:line="252" w:lineRule="auto"/>
      </w:pPr>
      <w:r>
        <w:br w:type="page"/>
      </w:r>
    </w:p>
    <w:p>
      <w:pPr>
        <w:pStyle w:val="Heading1"/>
        <w:keepNext/>
        <w:widowControl/>
      </w:pPr>
      <w:r>
        <w:t>1. Task Brief</w:t>
      </w:r>
    </w:p>
    <w:p>
      <w:pPr>
        <w:widowControl/>
        <w:spacing w:after="100" w:line="252" w:lineRule="auto"/>
      </w:pPr>
      <w:r>
        <w:t>HSD-015 creates the first renderer-callable business boundary in the desktop application. It adds two fixed operations: read first-run state and request one atomic first-run initialization. Untrusted renderer values must cross a strict shared schema, an allowed-main-frame sender check, a main-process handler, and the existing HSD-014 service without exposing SQLite, repositories, credentials, audit records, identifiers, timestamps, paths, or arbitrary Electron IPC capability.</w:t>
      </w:r>
    </w:p>
    <w:p>
      <w:pPr>
        <w:widowControl/>
        <w:spacing w:after="100" w:line="252" w:lineRule="auto"/>
      </w:pPr>
      <w:r>
        <w:t>The renderer UI remains unchanged in this task. HSD-015 prepares the trusted bridge that a later task will consume to render and navigate the first-run setup workflow. Application startup may construct and register the service after the database is initialized, but it must never invoke initialization, generate setup data, or inspect state merely because the application launched.</w:t>
      </w:r>
    </w:p>
    <w:p>
      <w:pPr>
        <w:pStyle w:val="Heading1"/>
        <w:keepNext/>
        <w:widowControl/>
      </w:pPr>
      <w:r>
        <w:t>2. Prerequisite and Branch Setup</w:t>
      </w:r>
    </w:p>
    <w:p>
      <w:pPr>
        <w:widowControl/>
        <w:spacing w:after="100" w:line="252" w:lineRule="auto"/>
      </w:pPr>
      <w:r>
        <w:t>HSD-014 must already be approved, merged into main, pushed, and locally verified. The required baseline is:</w:t>
      </w:r>
    </w:p>
    <w:p>
      <w:pPr>
        <w:pStyle w:val="CodeBlock"/>
        <w:keepLines w:val="0"/>
        <w:widowControl/>
        <w:spacing w:before="60" w:after="120"/>
      </w:pPr>
      <w:r>
        <w:t>abe0863 merge: complete HSD-014 first-run bootstrap service</w:t>
      </w:r>
    </w:p>
    <w:p>
      <w:pPr>
        <w:pStyle w:val="CodeBlock"/>
        <w:keepLines w:val="0"/>
        <w:widowControl/>
        <w:spacing w:before="60" w:after="120"/>
      </w:pPr>
      <w:r>
        <w:t>git switch main</w:t>
        <w:br/>
        <w:t>git pull origin main</w:t>
        <w:br/>
        <w:t>git status</w:t>
        <w:br/>
        <w:t>git log -8 --oneline</w:t>
        <w:br/>
        <w:t>git switch -c feature/hsd-015-first-run-ipc-boundary</w:t>
      </w:r>
    </w:p>
    <w:p>
      <w:pPr>
        <w:pStyle w:val="ListBullet"/>
        <w:widowControl/>
      </w:pPr>
      <w:r>
        <w:t>The working tree must be clean before branch creation.</w:t>
      </w:r>
    </w:p>
    <w:p>
      <w:pPr>
        <w:pStyle w:val="ListBullet"/>
        <w:widowControl/>
      </w:pPr>
      <w:r>
        <w:t>The branch must start from main at abe0863 or a later explicitly reviewed main commit containing the same HSD-014 merge.</w:t>
      </w:r>
    </w:p>
    <w:p>
      <w:pPr>
        <w:pStyle w:val="ListBullet"/>
        <w:widowControl/>
      </w:pPr>
      <w:r>
        <w:t>Copy this task document into doc/ without changing its requirements.</w:t>
      </w:r>
    </w:p>
    <w:p>
      <w:pPr>
        <w:pStyle w:val="ListBullet"/>
        <w:widowControl/>
      </w:pPr>
      <w:r>
        <w:t>Do not amend, squash, reset, rebase, force-push, or rewrite reviewed commits.</w:t>
      </w:r>
    </w:p>
    <w:p>
      <w:pPr>
        <w:pStyle w:val="ListBullet"/>
        <w:widowControl/>
      </w:pPr>
      <w:r>
        <w:t>Do not update dependencies, package-manager versions, Electron, Zod, SQLite, build tooling, or lint rules.</w:t>
      </w:r>
    </w:p>
    <w:p>
      <w:pPr>
        <w:pStyle w:val="ListBullet"/>
        <w:widowControl/>
      </w:pPr>
      <w:r>
        <w:t>Do not commit directly to main.</w:t>
      </w:r>
    </w:p>
    <w:p>
      <w:pPr>
        <w:pStyle w:val="Heading1"/>
        <w:keepNext/>
        <w:widowControl/>
      </w:pPr>
      <w:r>
        <w:t>3. Goal</w:t>
      </w:r>
    </w:p>
    <w:p>
      <w:pPr>
        <w:widowControl/>
        <w:spacing w:after="100" w:line="252" w:lineRule="auto"/>
      </w:pPr>
      <w:r>
        <w:t>Expose the HSD-014 first-run bootstrap use case through two fixed, typed, structured-clone-safe operations while preserving process isolation and data minimization. The main handler must validate the sender before parsing a request, validate the request before invoking the service, map domain failures to fixed renderer-safe envelopes, validate and minimize every response, and log only channel, safe code, and reviewed error type. The preload must expose only named methods and must never expose ipcRenderer, arbitrary channels, subscriptions, events, raw errors, or internal records.</w:t>
      </w:r>
    </w:p>
    <w:p>
      <w:pPr>
        <w:pStyle w:val="Heading1"/>
        <w:keepNext/>
        <w:widowControl/>
      </w:pPr>
      <w:r>
        <w:t>4. Required Outcomes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232"/>
            <w:vAlign w:val="center"/>
            <w:tcMar>
              <w:top w:w="80" w:type="dxa"/>
              <w:start w:w="100" w:type="dxa"/>
              <w:bottom w:w="80" w:type="dxa"/>
              <w:end w:w="100" w:type="dxa"/>
            </w:tcMar>
            <w:shd w:fill="17365D"/>
          </w:tcPr>
          <w:p>
            <w:r>
              <w:rPr>
                <w:b/>
                <w:color w:val="FFFFFF"/>
                <w:sz w:val="18"/>
              </w:rPr>
              <w:t>Area</w:t>
            </w:r>
          </w:p>
        </w:tc>
        <w:tc>
          <w:tcPr>
            <w:tcW w:type="dxa" w:w="7416"/>
            <w:vAlign w:val="center"/>
            <w:tcMar>
              <w:top w:w="80" w:type="dxa"/>
              <w:start w:w="100" w:type="dxa"/>
              <w:bottom w:w="80" w:type="dxa"/>
              <w:end w:w="100" w:type="dxa"/>
            </w:tcMar>
            <w:shd w:fill="17365D"/>
          </w:tcPr>
          <w:p>
            <w:r>
              <w:rPr>
                <w:b/>
                <w:color w:val="FFFFFF"/>
                <w:sz w:val="18"/>
              </w:rPr>
              <w:t>Required outcome</w:t>
            </w:r>
          </w:p>
        </w:tc>
      </w:tr>
      <w:tr>
        <w:trPr>
          <w:cantSplit/>
        </w:trPr>
        <w:tc>
          <w:tcPr>
            <w:tcW w:type="dxa" w:w="2232"/>
            <w:vAlign w:val="center"/>
            <w:tcMar>
              <w:top w:w="80" w:type="dxa"/>
              <w:start w:w="100" w:type="dxa"/>
              <w:bottom w:w="80" w:type="dxa"/>
              <w:end w:w="100" w:type="dxa"/>
            </w:tcMar>
          </w:tcPr>
          <w:p>
            <w:r>
              <w:rPr>
                <w:sz w:val="18"/>
              </w:rPr>
              <w:t>Channels</w:t>
            </w:r>
          </w:p>
        </w:tc>
        <w:tc>
          <w:tcPr>
            <w:tcW w:type="dxa" w:w="7416"/>
            <w:vAlign w:val="center"/>
            <w:tcMar>
              <w:top w:w="80" w:type="dxa"/>
              <w:start w:w="100" w:type="dxa"/>
              <w:bottom w:w="80" w:type="dxa"/>
              <w:end w:w="100" w:type="dxa"/>
            </w:tcMar>
          </w:tcPr>
          <w:p>
            <w:r>
              <w:rPr>
                <w:sz w:val="18"/>
              </w:rPr>
              <w:t>Add exactly health-screening:first-run:get-state and health-screening:first-run:initialize.</w:t>
            </w:r>
          </w:p>
        </w:tc>
      </w:tr>
      <w:tr>
        <w:trPr>
          <w:cantSplit/>
        </w:trPr>
        <w:tc>
          <w:tcPr>
            <w:tcW w:type="dxa" w:w="2232"/>
            <w:vAlign w:val="center"/>
            <w:tcMar>
              <w:top w:w="80" w:type="dxa"/>
              <w:start w:w="100" w:type="dxa"/>
              <w:bottom w:w="80" w:type="dxa"/>
              <w:end w:w="100" w:type="dxa"/>
            </w:tcMar>
          </w:tcPr>
          <w:p>
            <w:r>
              <w:rPr>
                <w:sz w:val="18"/>
              </w:rPr>
              <w:t>Shared contracts</w:t>
            </w:r>
          </w:p>
        </w:tc>
        <w:tc>
          <w:tcPr>
            <w:tcW w:type="dxa" w:w="7416"/>
            <w:vAlign w:val="center"/>
            <w:tcMar>
              <w:top w:w="80" w:type="dxa"/>
              <w:start w:w="100" w:type="dxa"/>
              <w:bottom w:w="80" w:type="dxa"/>
              <w:end w:w="100" w:type="dxa"/>
            </w:tcMar>
          </w:tcPr>
          <w:p>
            <w:r>
              <w:rPr>
                <w:sz w:val="18"/>
              </w:rPr>
              <w:t>Strict request, public-state, success, and operation-specific failure schemas inferred through Zod.</w:t>
            </w:r>
          </w:p>
        </w:tc>
      </w:tr>
      <w:tr>
        <w:trPr>
          <w:cantSplit/>
        </w:trPr>
        <w:tc>
          <w:tcPr>
            <w:tcW w:type="dxa" w:w="2232"/>
            <w:vAlign w:val="center"/>
            <w:tcMar>
              <w:top w:w="80" w:type="dxa"/>
              <w:start w:w="100" w:type="dxa"/>
              <w:bottom w:w="80" w:type="dxa"/>
              <w:end w:w="100" w:type="dxa"/>
            </w:tcMar>
          </w:tcPr>
          <w:p>
            <w:r>
              <w:rPr>
                <w:sz w:val="18"/>
              </w:rPr>
              <w:t>State response</w:t>
            </w:r>
          </w:p>
        </w:tc>
        <w:tc>
          <w:tcPr>
            <w:tcW w:type="dxa" w:w="7416"/>
            <w:vAlign w:val="center"/>
            <w:tcMar>
              <w:top w:w="80" w:type="dxa"/>
              <w:start w:w="100" w:type="dxa"/>
              <w:bottom w:w="80" w:type="dxa"/>
              <w:end w:w="100" w:type="dxa"/>
            </w:tcMar>
          </w:tcPr>
          <w:p>
            <w:r>
              <w:rPr>
                <w:sz w:val="18"/>
              </w:rPr>
              <w:t>Expose REQUIRED, INITIALIZED, or INCONSISTENT without installation ID, timestamps, rows, or repositories.</w:t>
            </w:r>
          </w:p>
        </w:tc>
      </w:tr>
      <w:tr>
        <w:trPr>
          <w:cantSplit/>
        </w:trPr>
        <w:tc>
          <w:tcPr>
            <w:tcW w:type="dxa" w:w="2232"/>
            <w:vAlign w:val="center"/>
            <w:tcMar>
              <w:top w:w="80" w:type="dxa"/>
              <w:start w:w="100" w:type="dxa"/>
              <w:bottom w:w="80" w:type="dxa"/>
              <w:end w:w="100" w:type="dxa"/>
            </w:tcMar>
          </w:tcPr>
          <w:p>
            <w:r>
              <w:rPr>
                <w:sz w:val="18"/>
              </w:rPr>
              <w:t>Initialization request</w:t>
            </w:r>
          </w:p>
        </w:tc>
        <w:tc>
          <w:tcPr>
            <w:tcW w:type="dxa" w:w="7416"/>
            <w:vAlign w:val="center"/>
            <w:tcMar>
              <w:top w:w="80" w:type="dxa"/>
              <w:start w:w="100" w:type="dxa"/>
              <w:bottom w:w="80" w:type="dxa"/>
              <w:end w:w="100" w:type="dxa"/>
            </w:tcMar>
          </w:tcPr>
          <w:p>
            <w:r>
              <w:rPr>
                <w:sz w:val="18"/>
              </w:rPr>
              <w:t>Carry only deployment, timezone, administrator, temporary password, and initial-location fields with exact nested shape.</w:t>
            </w:r>
          </w:p>
        </w:tc>
      </w:tr>
      <w:tr>
        <w:trPr>
          <w:cantSplit/>
        </w:trPr>
        <w:tc>
          <w:tcPr>
            <w:tcW w:type="dxa" w:w="2232"/>
            <w:vAlign w:val="center"/>
            <w:tcMar>
              <w:top w:w="80" w:type="dxa"/>
              <w:start w:w="100" w:type="dxa"/>
              <w:bottom w:w="80" w:type="dxa"/>
              <w:end w:w="100" w:type="dxa"/>
            </w:tcMar>
          </w:tcPr>
          <w:p>
            <w:r>
              <w:rPr>
                <w:sz w:val="18"/>
              </w:rPr>
              <w:t>Main handler</w:t>
            </w:r>
          </w:p>
        </w:tc>
        <w:tc>
          <w:tcPr>
            <w:tcW w:type="dxa" w:w="7416"/>
            <w:vAlign w:val="center"/>
            <w:tcMar>
              <w:top w:w="80" w:type="dxa"/>
              <w:start w:w="100" w:type="dxa"/>
              <w:bottom w:w="80" w:type="dxa"/>
              <w:end w:w="100" w:type="dxa"/>
            </w:tcMar>
          </w:tcPr>
          <w:p>
            <w:r>
              <w:rPr>
                <w:sz w:val="18"/>
              </w:rPr>
              <w:t>Validate trusted main-frame sender first, then request, invoke HSD-014, minimize output, validate output, and map errors safely.</w:t>
            </w:r>
          </w:p>
        </w:tc>
      </w:tr>
      <w:tr>
        <w:trPr>
          <w:cantSplit/>
        </w:trPr>
        <w:tc>
          <w:tcPr>
            <w:tcW w:type="dxa" w:w="2232"/>
            <w:vAlign w:val="center"/>
            <w:tcMar>
              <w:top w:w="80" w:type="dxa"/>
              <w:start w:w="100" w:type="dxa"/>
              <w:bottom w:w="80" w:type="dxa"/>
              <w:end w:w="100" w:type="dxa"/>
            </w:tcMar>
          </w:tcPr>
          <w:p>
            <w:r>
              <w:rPr>
                <w:sz w:val="18"/>
              </w:rPr>
              <w:t>Composition</w:t>
            </w:r>
          </w:p>
        </w:tc>
        <w:tc>
          <w:tcPr>
            <w:tcW w:type="dxa" w:w="7416"/>
            <w:vAlign w:val="center"/>
            <w:tcMar>
              <w:top w:w="80" w:type="dxa"/>
              <w:start w:w="100" w:type="dxa"/>
              <w:bottom w:w="80" w:type="dxa"/>
              <w:end w:w="100" w:type="dxa"/>
            </w:tcMar>
          </w:tcPr>
          <w:p>
            <w:r>
              <w:rPr>
                <w:sz w:val="18"/>
              </w:rPr>
              <w:t>After database initialization, construct production repositories, password service, transaction executor, HSD-014 service, and IPC handlers without executing setup.</w:t>
            </w:r>
          </w:p>
        </w:tc>
      </w:tr>
      <w:tr>
        <w:trPr>
          <w:cantSplit/>
        </w:trPr>
        <w:tc>
          <w:tcPr>
            <w:tcW w:type="dxa" w:w="2232"/>
            <w:vAlign w:val="center"/>
            <w:tcMar>
              <w:top w:w="80" w:type="dxa"/>
              <w:start w:w="100" w:type="dxa"/>
              <w:bottom w:w="80" w:type="dxa"/>
              <w:end w:w="100" w:type="dxa"/>
            </w:tcMar>
          </w:tcPr>
          <w:p>
            <w:r>
              <w:rPr>
                <w:sz w:val="18"/>
              </w:rPr>
              <w:t>Preload</w:t>
            </w:r>
          </w:p>
        </w:tc>
        <w:tc>
          <w:tcPr>
            <w:tcW w:type="dxa" w:w="7416"/>
            <w:vAlign w:val="center"/>
            <w:tcMar>
              <w:top w:w="80" w:type="dxa"/>
              <w:start w:w="100" w:type="dxa"/>
              <w:bottom w:w="80" w:type="dxa"/>
              <w:end w:w="100" w:type="dxa"/>
            </w:tcMar>
          </w:tcPr>
          <w:p>
            <w:r>
              <w:rPr>
                <w:sz w:val="18"/>
              </w:rPr>
              <w:t>Expose healthScreening.firstRun.getState() and initialize(command) over fixed channels only.</w:t>
            </w:r>
          </w:p>
        </w:tc>
      </w:tr>
      <w:tr>
        <w:trPr>
          <w:cantSplit/>
        </w:trPr>
        <w:tc>
          <w:tcPr>
            <w:tcW w:type="dxa" w:w="2232"/>
            <w:vAlign w:val="center"/>
            <w:tcMar>
              <w:top w:w="80" w:type="dxa"/>
              <w:start w:w="100" w:type="dxa"/>
              <w:bottom w:w="80" w:type="dxa"/>
              <w:end w:w="100" w:type="dxa"/>
            </w:tcMar>
          </w:tcPr>
          <w:p>
            <w:r>
              <w:rPr>
                <w:sz w:val="18"/>
              </w:rPr>
              <w:t>Credential minimization</w:t>
            </w:r>
          </w:p>
        </w:tc>
        <w:tc>
          <w:tcPr>
            <w:tcW w:type="dxa" w:w="7416"/>
            <w:vAlign w:val="center"/>
            <w:tcMar>
              <w:top w:w="80" w:type="dxa"/>
              <w:start w:w="100" w:type="dxa"/>
              <w:bottom w:w="80" w:type="dxa"/>
              <w:end w:w="100" w:type="dxa"/>
            </w:tcMar>
          </w:tcPr>
          <w:p>
            <w:r>
              <w:rPr>
                <w:sz w:val="18"/>
              </w:rPr>
              <w:t>Temporary password may appear only in the one initialize request and HSD-014 hash path; never in responses, errors, logs, state, or tests snapshots.</w:t>
            </w:r>
          </w:p>
        </w:tc>
      </w:tr>
      <w:tr>
        <w:trPr>
          <w:cantSplit/>
        </w:trPr>
        <w:tc>
          <w:tcPr>
            <w:tcW w:type="dxa" w:w="2232"/>
            <w:vAlign w:val="center"/>
            <w:tcMar>
              <w:top w:w="80" w:type="dxa"/>
              <w:start w:w="100" w:type="dxa"/>
              <w:bottom w:w="80" w:type="dxa"/>
              <w:end w:w="100" w:type="dxa"/>
            </w:tcMar>
          </w:tcPr>
          <w:p>
            <w:r>
              <w:rPr>
                <w:sz w:val="18"/>
              </w:rPr>
              <w:t>Compatibility</w:t>
            </w:r>
          </w:p>
        </w:tc>
        <w:tc>
          <w:tcPr>
            <w:tcW w:type="dxa" w:w="7416"/>
            <w:vAlign w:val="center"/>
            <w:tcMar>
              <w:top w:w="80" w:type="dxa"/>
              <w:start w:w="100" w:type="dxa"/>
              <w:bottom w:w="80" w:type="dxa"/>
              <w:end w:w="100" w:type="dxa"/>
            </w:tcMar>
          </w:tcPr>
          <w:p>
            <w:r>
              <w:rPr>
                <w:sz w:val="18"/>
              </w:rPr>
              <w:t>Preserve app.getInfo(), app.getHealth(), current status screen, navigation policy, CSP, and packaging behavior.</w:t>
            </w:r>
          </w:p>
        </w:tc>
      </w:tr>
      <w:tr>
        <w:trPr>
          <w:cantSplit/>
        </w:trPr>
        <w:tc>
          <w:tcPr>
            <w:tcW w:type="dxa" w:w="2232"/>
            <w:vAlign w:val="center"/>
            <w:tcMar>
              <w:top w:w="80" w:type="dxa"/>
              <w:start w:w="100" w:type="dxa"/>
              <w:bottom w:w="80" w:type="dxa"/>
              <w:end w:w="100" w:type="dxa"/>
            </w:tcMar>
          </w:tcPr>
          <w:p>
            <w:r>
              <w:rPr>
                <w:sz w:val="18"/>
              </w:rPr>
              <w:t>No renderer UI</w:t>
            </w:r>
          </w:p>
        </w:tc>
        <w:tc>
          <w:tcPr>
            <w:tcW w:type="dxa" w:w="7416"/>
            <w:vAlign w:val="center"/>
            <w:tcMar>
              <w:top w:w="80" w:type="dxa"/>
              <w:start w:w="100" w:type="dxa"/>
              <w:bottom w:w="80" w:type="dxa"/>
              <w:end w:w="100" w:type="dxa"/>
            </w:tcMar>
          </w:tcPr>
          <w:p>
            <w:r>
              <w:rPr>
                <w:sz w:val="18"/>
              </w:rPr>
              <w:t>No forms, routes, components, styling, automatic navigation, or setup-screen behavior in HSD-015.</w:t>
            </w:r>
          </w:p>
        </w:tc>
      </w:tr>
    </w:tbl>
    <w:p>
      <w:pPr>
        <w:widowControl/>
        <w:spacing w:after="100" w:line="252" w:lineRule="auto"/>
      </w:pPr>
    </w:p>
    <w:p>
      <w:pPr>
        <w:pStyle w:val="Heading1"/>
        <w:keepNext/>
        <w:widowControl/>
      </w:pPr>
      <w:r>
        <w:t>5. Scope</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4824"/>
            <w:vAlign w:val="center"/>
            <w:tcMar>
              <w:top w:w="80" w:type="dxa"/>
              <w:start w:w="100" w:type="dxa"/>
              <w:bottom w:w="80" w:type="dxa"/>
              <w:end w:w="100" w:type="dxa"/>
            </w:tcMar>
            <w:shd w:fill="17365D"/>
          </w:tcPr>
          <w:p>
            <w:r>
              <w:rPr>
                <w:b/>
                <w:color w:val="FFFFFF"/>
                <w:sz w:val="18"/>
              </w:rPr>
              <w:t>In scope</w:t>
            </w:r>
          </w:p>
        </w:tc>
        <w:tc>
          <w:tcPr>
            <w:tcW w:type="dxa" w:w="4824"/>
            <w:vAlign w:val="center"/>
            <w:tcMar>
              <w:top w:w="80" w:type="dxa"/>
              <w:start w:w="100" w:type="dxa"/>
              <w:bottom w:w="80" w:type="dxa"/>
              <w:end w:w="100" w:type="dxa"/>
            </w:tcMar>
            <w:shd w:fill="17365D"/>
          </w:tcPr>
          <w:p>
            <w:r>
              <w:rPr>
                <w:b/>
                <w:color w:val="FFFFFF"/>
                <w:sz w:val="18"/>
              </w:rPr>
              <w:t>Out of scope</w:t>
            </w:r>
          </w:p>
        </w:tc>
      </w:tr>
      <w:tr>
        <w:trPr>
          <w:cantSplit/>
        </w:trPr>
        <w:tc>
          <w:tcPr>
            <w:tcW w:type="dxa" w:w="4824"/>
            <w:vAlign w:val="center"/>
            <w:tcMar>
              <w:top w:w="80" w:type="dxa"/>
              <w:start w:w="100" w:type="dxa"/>
              <w:bottom w:w="80" w:type="dxa"/>
              <w:end w:w="100" w:type="dxa"/>
            </w:tcMar>
          </w:tcPr>
          <w:p>
            <w:r>
              <w:rPr>
                <w:sz w:val="18"/>
              </w:rPr>
              <w:t>Two first-run shared IPC channels and operation contracts.</w:t>
            </w:r>
          </w:p>
        </w:tc>
        <w:tc>
          <w:tcPr>
            <w:tcW w:type="dxa" w:w="4824"/>
            <w:vAlign w:val="center"/>
            <w:tcMar>
              <w:top w:w="80" w:type="dxa"/>
              <w:start w:w="100" w:type="dxa"/>
              <w:bottom w:w="80" w:type="dxa"/>
              <w:end w:w="100" w:type="dxa"/>
            </w:tcMar>
          </w:tcPr>
          <w:p>
            <w:r>
              <w:rPr>
                <w:sz w:val="18"/>
              </w:rPr>
              <w:t>React first-run page, form controls, validation text, loading indicators, route guards, or navigation.</w:t>
            </w:r>
          </w:p>
        </w:tc>
      </w:tr>
      <w:tr>
        <w:trPr>
          <w:cantSplit/>
        </w:trPr>
        <w:tc>
          <w:tcPr>
            <w:tcW w:type="dxa" w:w="4824"/>
            <w:vAlign w:val="center"/>
            <w:tcMar>
              <w:top w:w="80" w:type="dxa"/>
              <w:start w:w="100" w:type="dxa"/>
              <w:bottom w:w="80" w:type="dxa"/>
              <w:end w:w="100" w:type="dxa"/>
            </w:tcMar>
          </w:tcPr>
          <w:p>
            <w:r>
              <w:rPr>
                <w:sz w:val="18"/>
              </w:rPr>
              <w:t>Trusted main-frame sender validation for both operations.</w:t>
            </w:r>
          </w:p>
        </w:tc>
        <w:tc>
          <w:tcPr>
            <w:tcW w:type="dxa" w:w="4824"/>
            <w:vAlign w:val="center"/>
            <w:tcMar>
              <w:top w:w="80" w:type="dxa"/>
              <w:start w:w="100" w:type="dxa"/>
              <w:bottom w:w="80" w:type="dxa"/>
              <w:end w:w="100" w:type="dxa"/>
            </w:tcMar>
          </w:tcPr>
          <w:p>
            <w:r>
              <w:rPr>
                <w:sz w:val="18"/>
              </w:rPr>
              <w:t>Permission prompts, multi-window authorization, role authorization, login sessions, or token handling.</w:t>
            </w:r>
          </w:p>
        </w:tc>
      </w:tr>
      <w:tr>
        <w:trPr>
          <w:cantSplit/>
        </w:trPr>
        <w:tc>
          <w:tcPr>
            <w:tcW w:type="dxa" w:w="4824"/>
            <w:vAlign w:val="center"/>
            <w:tcMar>
              <w:top w:w="80" w:type="dxa"/>
              <w:start w:w="100" w:type="dxa"/>
              <w:bottom w:w="80" w:type="dxa"/>
              <w:end w:w="100" w:type="dxa"/>
            </w:tcMar>
          </w:tcPr>
          <w:p>
            <w:r>
              <w:rPr>
                <w:sz w:val="18"/>
              </w:rPr>
              <w:t>Main handlers that call HSD-014 and return minimized values.</w:t>
            </w:r>
          </w:p>
        </w:tc>
        <w:tc>
          <w:tcPr>
            <w:tcW w:type="dxa" w:w="4824"/>
            <w:vAlign w:val="center"/>
            <w:tcMar>
              <w:top w:w="80" w:type="dxa"/>
              <w:start w:w="100" w:type="dxa"/>
              <w:bottom w:w="80" w:type="dxa"/>
              <w:end w:w="100" w:type="dxa"/>
            </w:tcMar>
          </w:tcPr>
          <w:p>
            <w:r>
              <w:rPr>
                <w:sz w:val="18"/>
              </w:rPr>
              <w:t>Direct repository access from renderer/preload/shared code or direct SQL in handlers.</w:t>
            </w:r>
          </w:p>
        </w:tc>
      </w:tr>
      <w:tr>
        <w:trPr>
          <w:cantSplit/>
        </w:trPr>
        <w:tc>
          <w:tcPr>
            <w:tcW w:type="dxa" w:w="4824"/>
            <w:vAlign w:val="center"/>
            <w:tcMar>
              <w:top w:w="80" w:type="dxa"/>
              <w:start w:w="100" w:type="dxa"/>
              <w:bottom w:w="80" w:type="dxa"/>
              <w:end w:w="100" w:type="dxa"/>
            </w:tcMar>
          </w:tcPr>
          <w:p>
            <w:r>
              <w:rPr>
                <w:sz w:val="18"/>
              </w:rPr>
              <w:t>Production main-process composition after database initialization.</w:t>
            </w:r>
          </w:p>
        </w:tc>
        <w:tc>
          <w:tcPr>
            <w:tcW w:type="dxa" w:w="4824"/>
            <w:vAlign w:val="center"/>
            <w:tcMar>
              <w:top w:w="80" w:type="dxa"/>
              <w:start w:w="100" w:type="dxa"/>
              <w:bottom w:w="80" w:type="dxa"/>
              <w:end w:w="100" w:type="dxa"/>
            </w:tcMar>
          </w:tcPr>
          <w:p>
            <w:r>
              <w:rPr>
                <w:sz w:val="18"/>
              </w:rPr>
              <w:t>Calling getState or initialize during startup, migration, window creation, or packaging.</w:t>
            </w:r>
          </w:p>
        </w:tc>
      </w:tr>
      <w:tr>
        <w:trPr>
          <w:cantSplit/>
        </w:trPr>
        <w:tc>
          <w:tcPr>
            <w:tcW w:type="dxa" w:w="4824"/>
            <w:vAlign w:val="center"/>
            <w:tcMar>
              <w:top w:w="80" w:type="dxa"/>
              <w:start w:w="100" w:type="dxa"/>
              <w:bottom w:w="80" w:type="dxa"/>
              <w:end w:w="100" w:type="dxa"/>
            </w:tcMar>
          </w:tcPr>
          <w:p>
            <w:r>
              <w:rPr>
                <w:sz w:val="18"/>
              </w:rPr>
              <w:t>Narrow preload API and global Window typing.</w:t>
            </w:r>
          </w:p>
        </w:tc>
        <w:tc>
          <w:tcPr>
            <w:tcW w:type="dxa" w:w="4824"/>
            <w:vAlign w:val="center"/>
            <w:tcMar>
              <w:top w:w="80" w:type="dxa"/>
              <w:start w:w="100" w:type="dxa"/>
              <w:bottom w:w="80" w:type="dxa"/>
              <w:end w:w="100" w:type="dxa"/>
            </w:tcMar>
          </w:tcPr>
          <w:p>
            <w:r>
              <w:rPr>
                <w:sz w:val="18"/>
              </w:rPr>
              <w:t>Exposing ipcRenderer, invoke(channel), send, on, once, removeListener, raw events, or arbitrary channel strings.</w:t>
            </w:r>
          </w:p>
        </w:tc>
      </w:tr>
      <w:tr>
        <w:trPr>
          <w:cantSplit/>
        </w:trPr>
        <w:tc>
          <w:tcPr>
            <w:tcW w:type="dxa" w:w="4824"/>
            <w:vAlign w:val="center"/>
            <w:tcMar>
              <w:top w:w="80" w:type="dxa"/>
              <w:start w:w="100" w:type="dxa"/>
              <w:bottom w:w="80" w:type="dxa"/>
              <w:end w:w="100" w:type="dxa"/>
            </w:tcMar>
          </w:tcPr>
          <w:p>
            <w:r>
              <w:rPr>
                <w:sz w:val="18"/>
              </w:rPr>
              <w:t>Operation-specific safe error envelopes.</w:t>
            </w:r>
          </w:p>
        </w:tc>
        <w:tc>
          <w:tcPr>
            <w:tcW w:type="dxa" w:w="4824"/>
            <w:vAlign w:val="center"/>
            <w:tcMar>
              <w:top w:w="80" w:type="dxa"/>
              <w:start w:w="100" w:type="dxa"/>
              <w:bottom w:w="80" w:type="dxa"/>
              <w:end w:w="100" w:type="dxa"/>
            </w:tcMar>
          </w:tcPr>
          <w:p>
            <w:r>
              <w:rPr>
                <w:sz w:val="18"/>
              </w:rPr>
              <w:t>Raw HSD-014 errors, error messages, errorType, stacks, causes, IDs, SQL, paths, or metadata in renderer responses.</w:t>
            </w:r>
          </w:p>
        </w:tc>
      </w:tr>
      <w:tr>
        <w:trPr>
          <w:cantSplit/>
        </w:trPr>
        <w:tc>
          <w:tcPr>
            <w:tcW w:type="dxa" w:w="4824"/>
            <w:vAlign w:val="center"/>
            <w:tcMar>
              <w:top w:w="80" w:type="dxa"/>
              <w:start w:w="100" w:type="dxa"/>
              <w:bottom w:w="80" w:type="dxa"/>
              <w:end w:w="100" w:type="dxa"/>
            </w:tcMar>
          </w:tcPr>
          <w:p>
            <w:r>
              <w:rPr>
                <w:sz w:val="18"/>
              </w:rPr>
              <w:t>Shared/main/preload/unit and file-backed integration tests.</w:t>
            </w:r>
          </w:p>
        </w:tc>
        <w:tc>
          <w:tcPr>
            <w:tcW w:type="dxa" w:w="4824"/>
            <w:vAlign w:val="center"/>
            <w:tcMar>
              <w:top w:w="80" w:type="dxa"/>
              <w:start w:w="100" w:type="dxa"/>
              <w:bottom w:w="80" w:type="dxa"/>
              <w:end w:w="100" w:type="dxa"/>
            </w:tcMar>
          </w:tcPr>
          <w:p>
            <w:r>
              <w:rPr>
                <w:sz w:val="18"/>
              </w:rPr>
              <w:t>Patient, screening, referral, report, print, backup, restore, sync, FHIR, portal, or AI behavior.</w:t>
            </w:r>
          </w:p>
        </w:tc>
      </w:tr>
    </w:tbl>
    <w:p>
      <w:pPr>
        <w:widowControl/>
        <w:spacing w:after="100" w:line="252" w:lineRule="auto"/>
      </w:pPr>
    </w:p>
    <w:p>
      <w:pPr>
        <w:pStyle w:val="Heading1"/>
        <w:keepNext/>
        <w:widowControl/>
      </w:pPr>
      <w:r>
        <w:t>6. Required Files</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4104"/>
            <w:vAlign w:val="center"/>
            <w:tcMar>
              <w:top w:w="80" w:type="dxa"/>
              <w:start w:w="100" w:type="dxa"/>
              <w:bottom w:w="80" w:type="dxa"/>
              <w:end w:w="100" w:type="dxa"/>
            </w:tcMar>
            <w:shd w:fill="17365D"/>
          </w:tcPr>
          <w:p>
            <w:r>
              <w:rPr>
                <w:b/>
                <w:color w:val="FFFFFF"/>
                <w:sz w:val="18"/>
              </w:rPr>
              <w:t>Path</w:t>
            </w:r>
          </w:p>
        </w:tc>
        <w:tc>
          <w:tcPr>
            <w:tcW w:type="dxa" w:w="1440"/>
            <w:vAlign w:val="center"/>
            <w:tcMar>
              <w:top w:w="80" w:type="dxa"/>
              <w:start w:w="100" w:type="dxa"/>
              <w:bottom w:w="80" w:type="dxa"/>
              <w:end w:w="100" w:type="dxa"/>
            </w:tcMar>
            <w:shd w:fill="17365D"/>
          </w:tcPr>
          <w:p>
            <w:r>
              <w:rPr>
                <w:b/>
                <w:color w:val="FFFFFF"/>
                <w:sz w:val="18"/>
              </w:rPr>
              <w:t>Action</w:t>
            </w:r>
          </w:p>
        </w:tc>
        <w:tc>
          <w:tcPr>
            <w:tcW w:type="dxa" w:w="4320"/>
            <w:vAlign w:val="center"/>
            <w:tcMar>
              <w:top w:w="80" w:type="dxa"/>
              <w:start w:w="100" w:type="dxa"/>
              <w:bottom w:w="80" w:type="dxa"/>
              <w:end w:w="100" w:type="dxa"/>
            </w:tcMar>
            <w:shd w:fill="17365D"/>
          </w:tcPr>
          <w:p>
            <w:r>
              <w:rPr>
                <w:b/>
                <w:color w:val="FFFFFF"/>
                <w:sz w:val="18"/>
              </w:rPr>
              <w:t>Responsibility</w:t>
            </w:r>
          </w:p>
        </w:tc>
      </w:tr>
      <w:tr>
        <w:trPr>
          <w:cantSplit/>
        </w:trPr>
        <w:tc>
          <w:tcPr>
            <w:tcW w:type="dxa" w:w="4104"/>
            <w:vAlign w:val="center"/>
            <w:tcMar>
              <w:top w:w="80" w:type="dxa"/>
              <w:start w:w="100" w:type="dxa"/>
              <w:bottom w:w="80" w:type="dxa"/>
              <w:end w:w="100" w:type="dxa"/>
            </w:tcMar>
          </w:tcPr>
          <w:p>
            <w:r>
              <w:rPr>
                <w:sz w:val="18"/>
              </w:rPr>
              <w:t>doc/HSD-015_First_Run_IPC_Contract_Trusted_Handler_and_Preload_Boundary_Codex_Task.docx</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Store the approved task document unchanged.</w:t>
            </w:r>
          </w:p>
        </w:tc>
      </w:tr>
      <w:tr>
        <w:trPr>
          <w:cantSplit/>
        </w:trPr>
        <w:tc>
          <w:tcPr>
            <w:tcW w:type="dxa" w:w="4104"/>
            <w:vAlign w:val="center"/>
            <w:tcMar>
              <w:top w:w="80" w:type="dxa"/>
              <w:start w:w="100" w:type="dxa"/>
              <w:bottom w:w="80" w:type="dxa"/>
              <w:end w:w="100" w:type="dxa"/>
            </w:tcMar>
          </w:tcPr>
          <w:p>
            <w:r>
              <w:rPr>
                <w:sz w:val="18"/>
              </w:rPr>
              <w:t>src/shared/ipc/channels.ts</w:t>
            </w:r>
          </w:p>
        </w:tc>
        <w:tc>
          <w:tcPr>
            <w:tcW w:type="dxa" w:w="1440"/>
            <w:vAlign w:val="center"/>
            <w:tcMar>
              <w:top w:w="80" w:type="dxa"/>
              <w:start w:w="100" w:type="dxa"/>
              <w:bottom w:w="80" w:type="dxa"/>
              <w:end w:w="100" w:type="dxa"/>
            </w:tcMar>
          </w:tcPr>
          <w:p>
            <w:r>
              <w:rPr>
                <w:sz w:val="18"/>
              </w:rPr>
              <w:t>Update</w:t>
            </w:r>
          </w:p>
        </w:tc>
        <w:tc>
          <w:tcPr>
            <w:tcW w:type="dxa" w:w="4320"/>
            <w:vAlign w:val="center"/>
            <w:tcMar>
              <w:top w:w="80" w:type="dxa"/>
              <w:start w:w="100" w:type="dxa"/>
              <w:bottom w:w="80" w:type="dxa"/>
              <w:end w:w="100" w:type="dxa"/>
            </w:tcMar>
          </w:tcPr>
          <w:p>
            <w:r>
              <w:rPr>
                <w:sz w:val="18"/>
              </w:rPr>
              <w:t>Add the two fixed first-run channel strings and exact channel types.</w:t>
            </w:r>
          </w:p>
        </w:tc>
      </w:tr>
      <w:tr>
        <w:trPr>
          <w:cantSplit/>
        </w:trPr>
        <w:tc>
          <w:tcPr>
            <w:tcW w:type="dxa" w:w="4104"/>
            <w:vAlign w:val="center"/>
            <w:tcMar>
              <w:top w:w="80" w:type="dxa"/>
              <w:start w:w="100" w:type="dxa"/>
              <w:bottom w:w="80" w:type="dxa"/>
              <w:end w:w="100" w:type="dxa"/>
            </w:tcMar>
          </w:tcPr>
          <w:p>
            <w:r>
              <w:rPr>
                <w:sz w:val="18"/>
              </w:rPr>
              <w:t>src/shared/ipc/first-run-contracts.ts</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Strict request, public state, result, and first-run safe error schemas/types.</w:t>
            </w:r>
          </w:p>
        </w:tc>
      </w:tr>
      <w:tr>
        <w:trPr>
          <w:cantSplit/>
        </w:trPr>
        <w:tc>
          <w:tcPr>
            <w:tcW w:type="dxa" w:w="4104"/>
            <w:vAlign w:val="center"/>
            <w:tcMar>
              <w:top w:w="80" w:type="dxa"/>
              <w:start w:w="100" w:type="dxa"/>
              <w:bottom w:w="80" w:type="dxa"/>
              <w:end w:w="100" w:type="dxa"/>
            </w:tcMar>
          </w:tcPr>
          <w:p>
            <w:r>
              <w:rPr>
                <w:sz w:val="18"/>
              </w:rPr>
              <w:t>src/shared/ipc/index.ts</w:t>
            </w:r>
          </w:p>
        </w:tc>
        <w:tc>
          <w:tcPr>
            <w:tcW w:type="dxa" w:w="1440"/>
            <w:vAlign w:val="center"/>
            <w:tcMar>
              <w:top w:w="80" w:type="dxa"/>
              <w:start w:w="100" w:type="dxa"/>
              <w:bottom w:w="80" w:type="dxa"/>
              <w:end w:w="100" w:type="dxa"/>
            </w:tcMar>
          </w:tcPr>
          <w:p>
            <w:r>
              <w:rPr>
                <w:sz w:val="18"/>
              </w:rPr>
              <w:t>Update</w:t>
            </w:r>
          </w:p>
        </w:tc>
        <w:tc>
          <w:tcPr>
            <w:tcW w:type="dxa" w:w="4320"/>
            <w:vAlign w:val="center"/>
            <w:tcMar>
              <w:top w:w="80" w:type="dxa"/>
              <w:start w:w="100" w:type="dxa"/>
              <w:bottom w:w="80" w:type="dxa"/>
              <w:end w:w="100" w:type="dxa"/>
            </w:tcMar>
          </w:tcPr>
          <w:p>
            <w:r>
              <w:rPr>
                <w:sz w:val="18"/>
              </w:rPr>
              <w:t>Export reviewed first-run contracts only.</w:t>
            </w:r>
          </w:p>
        </w:tc>
      </w:tr>
      <w:tr>
        <w:trPr>
          <w:cantSplit/>
        </w:trPr>
        <w:tc>
          <w:tcPr>
            <w:tcW w:type="dxa" w:w="4104"/>
            <w:vAlign w:val="center"/>
            <w:tcMar>
              <w:top w:w="80" w:type="dxa"/>
              <w:start w:w="100" w:type="dxa"/>
              <w:bottom w:w="80" w:type="dxa"/>
              <w:end w:w="100" w:type="dxa"/>
            </w:tcMar>
          </w:tcPr>
          <w:p>
            <w:r>
              <w:rPr>
                <w:sz w:val="18"/>
              </w:rPr>
              <w:t>src/main/ipc/handlers/first-run-handlers.ts</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Sender-first validation, HSD-014 invocation, output minimization, error mapping, and safe logging.</w:t>
            </w:r>
          </w:p>
        </w:tc>
      </w:tr>
      <w:tr>
        <w:trPr>
          <w:cantSplit/>
        </w:trPr>
        <w:tc>
          <w:tcPr>
            <w:tcW w:type="dxa" w:w="4104"/>
            <w:vAlign w:val="center"/>
            <w:tcMar>
              <w:top w:w="80" w:type="dxa"/>
              <w:start w:w="100" w:type="dxa"/>
              <w:bottom w:w="80" w:type="dxa"/>
              <w:end w:w="100" w:type="dxa"/>
            </w:tcMar>
          </w:tcPr>
          <w:p>
            <w:r>
              <w:rPr>
                <w:sz w:val="18"/>
              </w:rPr>
              <w:t>src/main/ipc/register-handlers.ts</w:t>
            </w:r>
          </w:p>
        </w:tc>
        <w:tc>
          <w:tcPr>
            <w:tcW w:type="dxa" w:w="1440"/>
            <w:vAlign w:val="center"/>
            <w:tcMar>
              <w:top w:w="80" w:type="dxa"/>
              <w:start w:w="100" w:type="dxa"/>
              <w:bottom w:w="80" w:type="dxa"/>
              <w:end w:w="100" w:type="dxa"/>
            </w:tcMar>
          </w:tcPr>
          <w:p>
            <w:r>
              <w:rPr>
                <w:sz w:val="18"/>
              </w:rPr>
              <w:t>Update</w:t>
            </w:r>
          </w:p>
        </w:tc>
        <w:tc>
          <w:tcPr>
            <w:tcW w:type="dxa" w:w="4320"/>
            <w:vAlign w:val="center"/>
            <w:tcMar>
              <w:top w:w="80" w:type="dxa"/>
              <w:start w:w="100" w:type="dxa"/>
              <w:bottom w:w="80" w:type="dxa"/>
              <w:end w:w="100" w:type="dxa"/>
            </w:tcMar>
          </w:tcPr>
          <w:p>
            <w:r>
              <w:rPr>
                <w:sz w:val="18"/>
              </w:rPr>
              <w:t>Register/dispose app and first-run handlers without disturbing unrelated channels.</w:t>
            </w:r>
          </w:p>
        </w:tc>
      </w:tr>
      <w:tr>
        <w:trPr>
          <w:cantSplit/>
        </w:trPr>
        <w:tc>
          <w:tcPr>
            <w:tcW w:type="dxa" w:w="4104"/>
            <w:vAlign w:val="center"/>
            <w:tcMar>
              <w:top w:w="80" w:type="dxa"/>
              <w:start w:w="100" w:type="dxa"/>
              <w:bottom w:w="80" w:type="dxa"/>
              <w:end w:w="100" w:type="dxa"/>
            </w:tcMar>
          </w:tcPr>
          <w:p>
            <w:r>
              <w:rPr>
                <w:sz w:val="18"/>
              </w:rPr>
              <w:t>src/main/application/first-run/first-run-composition.ts</w:t>
            </w:r>
          </w:p>
        </w:tc>
        <w:tc>
          <w:tcPr>
            <w:tcW w:type="dxa" w:w="1440"/>
            <w:vAlign w:val="center"/>
            <w:tcMar>
              <w:top w:w="80" w:type="dxa"/>
              <w:start w:w="100" w:type="dxa"/>
              <w:bottom w:w="80" w:type="dxa"/>
              <w:end w:w="100" w:type="dxa"/>
            </w:tcMar>
          </w:tcPr>
          <w:p>
            <w:r>
              <w:rPr>
                <w:sz w:val="18"/>
              </w:rPr>
              <w:t>Add or equivalent</w:t>
            </w:r>
          </w:p>
        </w:tc>
        <w:tc>
          <w:tcPr>
            <w:tcW w:type="dxa" w:w="4320"/>
            <w:vAlign w:val="center"/>
            <w:tcMar>
              <w:top w:w="80" w:type="dxa"/>
              <w:start w:w="100" w:type="dxa"/>
              <w:bottom w:w="80" w:type="dxa"/>
              <w:end w:w="100" w:type="dxa"/>
            </w:tcMar>
          </w:tcPr>
          <w:p>
            <w:r>
              <w:rPr>
                <w:sz w:val="18"/>
              </w:rPr>
              <w:t>Construct production HSD-014 dependencies from an initialized database connection.</w:t>
            </w:r>
          </w:p>
        </w:tc>
      </w:tr>
      <w:tr>
        <w:trPr>
          <w:cantSplit/>
        </w:trPr>
        <w:tc>
          <w:tcPr>
            <w:tcW w:type="dxa" w:w="4104"/>
            <w:vAlign w:val="center"/>
            <w:tcMar>
              <w:top w:w="80" w:type="dxa"/>
              <w:start w:w="100" w:type="dxa"/>
              <w:bottom w:w="80" w:type="dxa"/>
              <w:end w:w="100" w:type="dxa"/>
            </w:tcMar>
          </w:tcPr>
          <w:p>
            <w:r>
              <w:rPr>
                <w:sz w:val="18"/>
              </w:rPr>
              <w:t>src/main/application/first-run/index.ts</w:t>
            </w:r>
          </w:p>
        </w:tc>
        <w:tc>
          <w:tcPr>
            <w:tcW w:type="dxa" w:w="1440"/>
            <w:vAlign w:val="center"/>
            <w:tcMar>
              <w:top w:w="80" w:type="dxa"/>
              <w:start w:w="100" w:type="dxa"/>
              <w:bottom w:w="80" w:type="dxa"/>
              <w:end w:w="100" w:type="dxa"/>
            </w:tcMar>
          </w:tcPr>
          <w:p>
            <w:r>
              <w:rPr>
                <w:sz w:val="18"/>
              </w:rPr>
              <w:t>Update</w:t>
            </w:r>
          </w:p>
        </w:tc>
        <w:tc>
          <w:tcPr>
            <w:tcW w:type="dxa" w:w="4320"/>
            <w:vAlign w:val="center"/>
            <w:tcMar>
              <w:top w:w="80" w:type="dxa"/>
              <w:start w:w="100" w:type="dxa"/>
              <w:bottom w:w="80" w:type="dxa"/>
              <w:end w:w="100" w:type="dxa"/>
            </w:tcMar>
          </w:tcPr>
          <w:p>
            <w:r>
              <w:rPr>
                <w:sz w:val="18"/>
              </w:rPr>
              <w:t>Export the production composition factory only within main-process code.</w:t>
            </w:r>
          </w:p>
        </w:tc>
      </w:tr>
      <w:tr>
        <w:trPr>
          <w:cantSplit/>
        </w:trPr>
        <w:tc>
          <w:tcPr>
            <w:tcW w:type="dxa" w:w="4104"/>
            <w:vAlign w:val="center"/>
            <w:tcMar>
              <w:top w:w="80" w:type="dxa"/>
              <w:start w:w="100" w:type="dxa"/>
              <w:bottom w:w="80" w:type="dxa"/>
              <w:end w:w="100" w:type="dxa"/>
            </w:tcMar>
          </w:tcPr>
          <w:p>
            <w:r>
              <w:rPr>
                <w:sz w:val="18"/>
              </w:rPr>
              <w:t>src/main/security/password/index.ts and/or safe main security barrel</w:t>
            </w:r>
          </w:p>
        </w:tc>
        <w:tc>
          <w:tcPr>
            <w:tcW w:type="dxa" w:w="1440"/>
            <w:vAlign w:val="center"/>
            <w:tcMar>
              <w:top w:w="80" w:type="dxa"/>
              <w:start w:w="100" w:type="dxa"/>
              <w:bottom w:w="80" w:type="dxa"/>
              <w:end w:w="100" w:type="dxa"/>
            </w:tcMar>
          </w:tcPr>
          <w:p>
            <w:r>
              <w:rPr>
                <w:sz w:val="18"/>
              </w:rPr>
              <w:t>Update only if needed</w:t>
            </w:r>
          </w:p>
        </w:tc>
        <w:tc>
          <w:tcPr>
            <w:tcW w:type="dxa" w:w="4320"/>
            <w:vAlign w:val="center"/>
            <w:tcMar>
              <w:top w:w="80" w:type="dxa"/>
              <w:start w:w="100" w:type="dxa"/>
              <w:bottom w:w="80" w:type="dxa"/>
              <w:end w:w="100" w:type="dxa"/>
            </w:tcMar>
          </w:tcPr>
          <w:p>
            <w:r>
              <w:rPr>
                <w:sz w:val="18"/>
              </w:rPr>
              <w:t>Expose a reviewed production password-service/provider factory without crossing preload/shared boundaries.</w:t>
            </w:r>
          </w:p>
        </w:tc>
      </w:tr>
      <w:tr>
        <w:trPr>
          <w:cantSplit/>
        </w:trPr>
        <w:tc>
          <w:tcPr>
            <w:tcW w:type="dxa" w:w="4104"/>
            <w:vAlign w:val="center"/>
            <w:tcMar>
              <w:top w:w="80" w:type="dxa"/>
              <w:start w:w="100" w:type="dxa"/>
              <w:bottom w:w="80" w:type="dxa"/>
              <w:end w:w="100" w:type="dxa"/>
            </w:tcMar>
          </w:tcPr>
          <w:p>
            <w:r>
              <w:rPr>
                <w:sz w:val="18"/>
              </w:rPr>
              <w:t>src/main/app/lifecycle.ts</w:t>
            </w:r>
          </w:p>
        </w:tc>
        <w:tc>
          <w:tcPr>
            <w:tcW w:type="dxa" w:w="1440"/>
            <w:vAlign w:val="center"/>
            <w:tcMar>
              <w:top w:w="80" w:type="dxa"/>
              <w:start w:w="100" w:type="dxa"/>
              <w:bottom w:w="80" w:type="dxa"/>
              <w:end w:w="100" w:type="dxa"/>
            </w:tcMar>
          </w:tcPr>
          <w:p>
            <w:r>
              <w:rPr>
                <w:sz w:val="18"/>
              </w:rPr>
              <w:t>Update</w:t>
            </w:r>
          </w:p>
        </w:tc>
        <w:tc>
          <w:tcPr>
            <w:tcW w:type="dxa" w:w="4320"/>
            <w:vAlign w:val="center"/>
            <w:tcMar>
              <w:top w:w="80" w:type="dxa"/>
              <w:start w:w="100" w:type="dxa"/>
              <w:bottom w:w="80" w:type="dxa"/>
              <w:end w:w="100" w:type="dxa"/>
            </w:tcMar>
          </w:tcPr>
          <w:p>
            <w:r>
              <w:rPr>
                <w:sz w:val="18"/>
              </w:rPr>
              <w:t>Construct service and register handlers after database initialization; never call setup methods at startup.</w:t>
            </w:r>
          </w:p>
        </w:tc>
      </w:tr>
      <w:tr>
        <w:trPr>
          <w:cantSplit/>
        </w:trPr>
        <w:tc>
          <w:tcPr>
            <w:tcW w:type="dxa" w:w="4104"/>
            <w:vAlign w:val="center"/>
            <w:tcMar>
              <w:top w:w="80" w:type="dxa"/>
              <w:start w:w="100" w:type="dxa"/>
              <w:bottom w:w="80" w:type="dxa"/>
              <w:end w:w="100" w:type="dxa"/>
            </w:tcMar>
          </w:tcPr>
          <w:p>
            <w:r>
              <w:rPr>
                <w:sz w:val="18"/>
              </w:rPr>
              <w:t>src/preload/api.ts</w:t>
            </w:r>
          </w:p>
        </w:tc>
        <w:tc>
          <w:tcPr>
            <w:tcW w:type="dxa" w:w="1440"/>
            <w:vAlign w:val="center"/>
            <w:tcMar>
              <w:top w:w="80" w:type="dxa"/>
              <w:start w:w="100" w:type="dxa"/>
              <w:bottom w:w="80" w:type="dxa"/>
              <w:end w:w="100" w:type="dxa"/>
            </w:tcMar>
          </w:tcPr>
          <w:p>
            <w:r>
              <w:rPr>
                <w:sz w:val="18"/>
              </w:rPr>
              <w:t>Update</w:t>
            </w:r>
          </w:p>
        </w:tc>
        <w:tc>
          <w:tcPr>
            <w:tcW w:type="dxa" w:w="4320"/>
            <w:vAlign w:val="center"/>
            <w:tcMar>
              <w:top w:w="80" w:type="dxa"/>
              <w:start w:w="100" w:type="dxa"/>
              <w:bottom w:w="80" w:type="dxa"/>
              <w:end w:w="100" w:type="dxa"/>
            </w:tcMar>
          </w:tcPr>
          <w:p>
            <w:r>
              <w:rPr>
                <w:sz w:val="18"/>
              </w:rPr>
              <w:t>Expose fixed firstRun methods and validate requests/results.</w:t>
            </w:r>
          </w:p>
        </w:tc>
      </w:tr>
      <w:tr>
        <w:trPr>
          <w:cantSplit/>
        </w:trPr>
        <w:tc>
          <w:tcPr>
            <w:tcW w:type="dxa" w:w="4104"/>
            <w:vAlign w:val="center"/>
            <w:tcMar>
              <w:top w:w="80" w:type="dxa"/>
              <w:start w:w="100" w:type="dxa"/>
              <w:bottom w:w="80" w:type="dxa"/>
              <w:end w:w="100" w:type="dxa"/>
            </w:tcMar>
          </w:tcPr>
          <w:p>
            <w:r>
              <w:rPr>
                <w:sz w:val="18"/>
              </w:rPr>
              <w:t>src/preload/index.d.ts</w:t>
            </w:r>
          </w:p>
        </w:tc>
        <w:tc>
          <w:tcPr>
            <w:tcW w:type="dxa" w:w="1440"/>
            <w:vAlign w:val="center"/>
            <w:tcMar>
              <w:top w:w="80" w:type="dxa"/>
              <w:start w:w="100" w:type="dxa"/>
              <w:bottom w:w="80" w:type="dxa"/>
              <w:end w:w="100" w:type="dxa"/>
            </w:tcMar>
          </w:tcPr>
          <w:p>
            <w:r>
              <w:rPr>
                <w:sz w:val="18"/>
              </w:rPr>
              <w:t>Update if type import requires</w:t>
            </w:r>
          </w:p>
        </w:tc>
        <w:tc>
          <w:tcPr>
            <w:tcW w:type="dxa" w:w="4320"/>
            <w:vAlign w:val="center"/>
            <w:tcMar>
              <w:top w:w="80" w:type="dxa"/>
              <w:start w:w="100" w:type="dxa"/>
              <w:bottom w:w="80" w:type="dxa"/>
              <w:end w:w="100" w:type="dxa"/>
            </w:tcMar>
          </w:tcPr>
          <w:p>
            <w:r>
              <w:rPr>
                <w:sz w:val="18"/>
              </w:rPr>
              <w:t>Keep Window.healthScreening typed to the expanded API.</w:t>
            </w:r>
          </w:p>
        </w:tc>
      </w:tr>
      <w:tr>
        <w:trPr>
          <w:cantSplit/>
        </w:trPr>
        <w:tc>
          <w:tcPr>
            <w:tcW w:type="dxa" w:w="4104"/>
            <w:vAlign w:val="center"/>
            <w:tcMar>
              <w:top w:w="80" w:type="dxa"/>
              <w:start w:w="100" w:type="dxa"/>
              <w:bottom w:w="80" w:type="dxa"/>
              <w:end w:w="100" w:type="dxa"/>
            </w:tcMar>
          </w:tcPr>
          <w:p>
            <w:r>
              <w:rPr>
                <w:sz w:val="18"/>
              </w:rPr>
              <w:t>docs/application/first-run-ipc.md</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Document channels, trust checks, safe mappings, lifecycle composition, and deferred UI.</w:t>
            </w:r>
          </w:p>
        </w:tc>
      </w:tr>
      <w:tr>
        <w:trPr>
          <w:cantSplit/>
        </w:trPr>
        <w:tc>
          <w:tcPr>
            <w:tcW w:type="dxa" w:w="4104"/>
            <w:vAlign w:val="center"/>
            <w:tcMar>
              <w:top w:w="80" w:type="dxa"/>
              <w:start w:w="100" w:type="dxa"/>
              <w:bottom w:w="80" w:type="dxa"/>
              <w:end w:w="100" w:type="dxa"/>
            </w:tcMar>
          </w:tcPr>
          <w:p>
            <w:r>
              <w:rPr>
                <w:sz w:val="18"/>
              </w:rPr>
              <w:t>docs/engineering-standards.md</w:t>
            </w:r>
          </w:p>
        </w:tc>
        <w:tc>
          <w:tcPr>
            <w:tcW w:type="dxa" w:w="1440"/>
            <w:vAlign w:val="center"/>
            <w:tcMar>
              <w:top w:w="80" w:type="dxa"/>
              <w:start w:w="100" w:type="dxa"/>
              <w:bottom w:w="80" w:type="dxa"/>
              <w:end w:w="100" w:type="dxa"/>
            </w:tcMar>
          </w:tcPr>
          <w:p>
            <w:r>
              <w:rPr>
                <w:sz w:val="18"/>
              </w:rPr>
              <w:t>Update</w:t>
            </w:r>
          </w:p>
        </w:tc>
        <w:tc>
          <w:tcPr>
            <w:tcW w:type="dxa" w:w="4320"/>
            <w:vAlign w:val="center"/>
            <w:tcMar>
              <w:top w:w="80" w:type="dxa"/>
              <w:start w:w="100" w:type="dxa"/>
              <w:bottom w:w="80" w:type="dxa"/>
              <w:end w:w="100" w:type="dxa"/>
            </w:tcMar>
          </w:tcPr>
          <w:p>
            <w:r>
              <w:rPr>
                <w:sz w:val="18"/>
              </w:rPr>
              <w:t>Record IPC sender-first, response-minimization, and credential transport rules.</w:t>
            </w:r>
          </w:p>
        </w:tc>
      </w:tr>
      <w:tr>
        <w:trPr>
          <w:cantSplit/>
        </w:trPr>
        <w:tc>
          <w:tcPr>
            <w:tcW w:type="dxa" w:w="4104"/>
            <w:vAlign w:val="center"/>
            <w:tcMar>
              <w:top w:w="80" w:type="dxa"/>
              <w:start w:w="100" w:type="dxa"/>
              <w:bottom w:w="80" w:type="dxa"/>
              <w:end w:w="100" w:type="dxa"/>
            </w:tcMar>
          </w:tcPr>
          <w:p>
            <w:r>
              <w:rPr>
                <w:sz w:val="18"/>
              </w:rPr>
              <w:t>docs/repository-structure.md</w:t>
            </w:r>
          </w:p>
        </w:tc>
        <w:tc>
          <w:tcPr>
            <w:tcW w:type="dxa" w:w="1440"/>
            <w:vAlign w:val="center"/>
            <w:tcMar>
              <w:top w:w="80" w:type="dxa"/>
              <w:start w:w="100" w:type="dxa"/>
              <w:bottom w:w="80" w:type="dxa"/>
              <w:end w:w="100" w:type="dxa"/>
            </w:tcMar>
          </w:tcPr>
          <w:p>
            <w:r>
              <w:rPr>
                <w:sz w:val="18"/>
              </w:rPr>
              <w:t>Update</w:t>
            </w:r>
          </w:p>
        </w:tc>
        <w:tc>
          <w:tcPr>
            <w:tcW w:type="dxa" w:w="4320"/>
            <w:vAlign w:val="center"/>
            <w:tcMar>
              <w:top w:w="80" w:type="dxa"/>
              <w:start w:w="100" w:type="dxa"/>
              <w:bottom w:w="80" w:type="dxa"/>
              <w:end w:w="100" w:type="dxa"/>
            </w:tcMar>
          </w:tcPr>
          <w:p>
            <w:r>
              <w:rPr>
                <w:sz w:val="18"/>
              </w:rPr>
              <w:t>Describe shared/main/preload ownership for first-run IPC.</w:t>
            </w:r>
          </w:p>
        </w:tc>
      </w:tr>
      <w:tr>
        <w:trPr>
          <w:cantSplit/>
        </w:trPr>
        <w:tc>
          <w:tcPr>
            <w:tcW w:type="dxa" w:w="4104"/>
            <w:vAlign w:val="center"/>
            <w:tcMar>
              <w:top w:w="80" w:type="dxa"/>
              <w:start w:w="100" w:type="dxa"/>
              <w:bottom w:w="80" w:type="dxa"/>
              <w:end w:w="100" w:type="dxa"/>
            </w:tcMar>
          </w:tcPr>
          <w:p>
            <w:r>
              <w:rPr>
                <w:sz w:val="18"/>
              </w:rPr>
              <w:t>tests/unit/shared/ipc-contracts.test.ts</w:t>
            </w:r>
          </w:p>
        </w:tc>
        <w:tc>
          <w:tcPr>
            <w:tcW w:type="dxa" w:w="1440"/>
            <w:vAlign w:val="center"/>
            <w:tcMar>
              <w:top w:w="80" w:type="dxa"/>
              <w:start w:w="100" w:type="dxa"/>
              <w:bottom w:w="80" w:type="dxa"/>
              <w:end w:w="100" w:type="dxa"/>
            </w:tcMar>
          </w:tcPr>
          <w:p>
            <w:r>
              <w:rPr>
                <w:sz w:val="18"/>
              </w:rPr>
              <w:t>Update or split</w:t>
            </w:r>
          </w:p>
        </w:tc>
        <w:tc>
          <w:tcPr>
            <w:tcW w:type="dxa" w:w="4320"/>
            <w:vAlign w:val="center"/>
            <w:tcMar>
              <w:top w:w="80" w:type="dxa"/>
              <w:start w:w="100" w:type="dxa"/>
              <w:bottom w:w="80" w:type="dxa"/>
              <w:end w:w="100" w:type="dxa"/>
            </w:tcMar>
          </w:tcPr>
          <w:p>
            <w:r>
              <w:rPr>
                <w:sz w:val="18"/>
              </w:rPr>
              <w:t>Exact channels, strict schemas, safe errors, clone safety, and no internal fields.</w:t>
            </w:r>
          </w:p>
        </w:tc>
      </w:tr>
      <w:tr>
        <w:trPr>
          <w:cantSplit/>
        </w:trPr>
        <w:tc>
          <w:tcPr>
            <w:tcW w:type="dxa" w:w="4104"/>
            <w:vAlign w:val="center"/>
            <w:tcMar>
              <w:top w:w="80" w:type="dxa"/>
              <w:start w:w="100" w:type="dxa"/>
              <w:bottom w:w="80" w:type="dxa"/>
              <w:end w:w="100" w:type="dxa"/>
            </w:tcMar>
          </w:tcPr>
          <w:p>
            <w:r>
              <w:rPr>
                <w:sz w:val="18"/>
              </w:rPr>
              <w:t>tests/unit/main/first-run-ipc-handlers.test.ts</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Sender, validation, mapping, output, logging, and registration behavior.</w:t>
            </w:r>
          </w:p>
        </w:tc>
      </w:tr>
      <w:tr>
        <w:trPr>
          <w:cantSplit/>
        </w:trPr>
        <w:tc>
          <w:tcPr>
            <w:tcW w:type="dxa" w:w="4104"/>
            <w:vAlign w:val="center"/>
            <w:tcMar>
              <w:top w:w="80" w:type="dxa"/>
              <w:start w:w="100" w:type="dxa"/>
              <w:bottom w:w="80" w:type="dxa"/>
              <w:end w:w="100" w:type="dxa"/>
            </w:tcMar>
          </w:tcPr>
          <w:p>
            <w:r>
              <w:rPr>
                <w:sz w:val="18"/>
              </w:rPr>
              <w:t>tests/unit/preload/preload-api.test.ts</w:t>
            </w:r>
          </w:p>
        </w:tc>
        <w:tc>
          <w:tcPr>
            <w:tcW w:type="dxa" w:w="1440"/>
            <w:vAlign w:val="center"/>
            <w:tcMar>
              <w:top w:w="80" w:type="dxa"/>
              <w:start w:w="100" w:type="dxa"/>
              <w:bottom w:w="80" w:type="dxa"/>
              <w:end w:w="100" w:type="dxa"/>
            </w:tcMar>
          </w:tcPr>
          <w:p>
            <w:r>
              <w:rPr>
                <w:sz w:val="18"/>
              </w:rPr>
              <w:t>Update</w:t>
            </w:r>
          </w:p>
        </w:tc>
        <w:tc>
          <w:tcPr>
            <w:tcW w:type="dxa" w:w="4320"/>
            <w:vAlign w:val="center"/>
            <w:tcMar>
              <w:top w:w="80" w:type="dxa"/>
              <w:start w:w="100" w:type="dxa"/>
              <w:bottom w:w="80" w:type="dxa"/>
              <w:end w:w="100" w:type="dxa"/>
            </w:tcMar>
          </w:tcPr>
          <w:p>
            <w:r>
              <w:rPr>
                <w:sz w:val="18"/>
              </w:rPr>
              <w:t>Exact API shape, channels, local validation, malformed-envelope fallback, and no generic IPC.</w:t>
            </w:r>
          </w:p>
        </w:tc>
      </w:tr>
      <w:tr>
        <w:trPr>
          <w:cantSplit/>
        </w:trPr>
        <w:tc>
          <w:tcPr>
            <w:tcW w:type="dxa" w:w="4104"/>
            <w:vAlign w:val="center"/>
            <w:tcMar>
              <w:top w:w="80" w:type="dxa"/>
              <w:start w:w="100" w:type="dxa"/>
              <w:bottom w:w="80" w:type="dxa"/>
              <w:end w:w="100" w:type="dxa"/>
            </w:tcMar>
          </w:tcPr>
          <w:p>
            <w:r>
              <w:rPr>
                <w:sz w:val="18"/>
              </w:rPr>
              <w:t>tests/integration/main/first-run-ipc.test.ts</w:t>
            </w:r>
          </w:p>
        </w:tc>
        <w:tc>
          <w:tcPr>
            <w:tcW w:type="dxa" w:w="1440"/>
            <w:vAlign w:val="center"/>
            <w:tcMar>
              <w:top w:w="80" w:type="dxa"/>
              <w:start w:w="100" w:type="dxa"/>
              <w:bottom w:w="80" w:type="dxa"/>
              <w:end w:w="100" w:type="dxa"/>
            </w:tcMar>
          </w:tcPr>
          <w:p>
            <w:r>
              <w:rPr>
                <w:sz w:val="18"/>
              </w:rPr>
              <w:t>Add</w:t>
            </w:r>
          </w:p>
        </w:tc>
        <w:tc>
          <w:tcPr>
            <w:tcW w:type="dxa" w:w="4320"/>
            <w:vAlign w:val="center"/>
            <w:tcMar>
              <w:top w:w="80" w:type="dxa"/>
              <w:start w:w="100" w:type="dxa"/>
              <w:bottom w:w="80" w:type="dxa"/>
              <w:end w:w="100" w:type="dxa"/>
            </w:tcMar>
          </w:tcPr>
          <w:p>
            <w:r>
              <w:rPr>
                <w:sz w:val="18"/>
              </w:rPr>
              <w:t>File-backed end-to-end handler-to-service bootstrap and safe renderer response.</w:t>
            </w:r>
          </w:p>
        </w:tc>
      </w:tr>
      <w:tr>
        <w:trPr>
          <w:cantSplit/>
        </w:trPr>
        <w:tc>
          <w:tcPr>
            <w:tcW w:type="dxa" w:w="4104"/>
            <w:vAlign w:val="center"/>
            <w:tcMar>
              <w:top w:w="80" w:type="dxa"/>
              <w:start w:w="100" w:type="dxa"/>
              <w:bottom w:w="80" w:type="dxa"/>
              <w:end w:w="100" w:type="dxa"/>
            </w:tcMar>
          </w:tcPr>
          <w:p>
            <w:r>
              <w:rPr>
                <w:sz w:val="18"/>
              </w:rPr>
              <w:t>tests/unit/main/lifecycle or composition test</w:t>
            </w:r>
          </w:p>
        </w:tc>
        <w:tc>
          <w:tcPr>
            <w:tcW w:type="dxa" w:w="1440"/>
            <w:vAlign w:val="center"/>
            <w:tcMar>
              <w:top w:w="80" w:type="dxa"/>
              <w:start w:w="100" w:type="dxa"/>
              <w:bottom w:w="80" w:type="dxa"/>
              <w:end w:w="100" w:type="dxa"/>
            </w:tcMar>
          </w:tcPr>
          <w:p>
            <w:r>
              <w:rPr>
                <w:sz w:val="18"/>
              </w:rPr>
              <w:t>Add/update</w:t>
            </w:r>
          </w:p>
        </w:tc>
        <w:tc>
          <w:tcPr>
            <w:tcW w:type="dxa" w:w="4320"/>
            <w:vAlign w:val="center"/>
            <w:tcMar>
              <w:top w:w="80" w:type="dxa"/>
              <w:start w:w="100" w:type="dxa"/>
              <w:bottom w:w="80" w:type="dxa"/>
              <w:end w:w="100" w:type="dxa"/>
            </w:tcMar>
          </w:tcPr>
          <w:p>
            <w:r>
              <w:rPr>
                <w:sz w:val="18"/>
              </w:rPr>
              <w:t>Prove production composition occurs only after DB init and never invokes setup at startup.</w:t>
            </w:r>
          </w:p>
        </w:tc>
      </w:tr>
    </w:tbl>
    <w:p>
      <w:pPr>
        <w:widowControl/>
        <w:spacing w:after="100" w:line="252" w:lineRule="auto"/>
      </w:pPr>
    </w:p>
    <w:p>
      <w:pPr>
        <w:widowControl/>
        <w:spacing w:after="100" w:line="252" w:lineRule="auto"/>
      </w:pPr>
      <w:r>
        <w:t>Equivalent file names are acceptable only when ownership remains explicit. Do not introduce a generic command bus, event bus, RPC framework, dependency-injection container, IPC router package, or generic handler base class.</w:t>
      </w:r>
    </w:p>
    <w:p>
      <w:pPr>
        <w:pStyle w:val="Heading1"/>
        <w:keepNext/>
        <w:widowControl/>
      </w:pPr>
      <w:r>
        <w:t>7. Architecture and Trust Boundaries</w:t>
      </w:r>
    </w:p>
    <w:p>
      <w:pPr>
        <w:pStyle w:val="Heading2"/>
        <w:keepNext/>
        <w:widowControl/>
      </w:pPr>
      <w:r>
        <w:t>7.1 Shared IPC code is serializable only</w:t>
      </w:r>
    </w:p>
    <w:p>
      <w:pPr>
        <w:pStyle w:val="ListBullet"/>
        <w:widowControl/>
      </w:pPr>
      <w:r>
        <w:t>src/shared/ipc may import Zod and other shared serializable modules only.</w:t>
      </w:r>
    </w:p>
    <w:p>
      <w:pPr>
        <w:pStyle w:val="ListBullet"/>
        <w:widowControl/>
      </w:pPr>
      <w:r>
        <w:t>Shared contracts must not import Electron, Node crypto, better-sqlite3, repositories, HSD-014 service classes, branded database types, filesystem paths, or main-process modules.</w:t>
      </w:r>
    </w:p>
    <w:p>
      <w:pPr>
        <w:pStyle w:val="ListBullet"/>
        <w:widowControl/>
      </w:pPr>
      <w:r>
        <w:t>Shared response values must be plain objects, strings, booleans, null, and reviewed literal codes only.</w:t>
      </w:r>
    </w:p>
    <w:p>
      <w:pPr>
        <w:pStyle w:val="ListBullet"/>
        <w:widowControl/>
      </w:pPr>
      <w:r>
        <w:t>Do not expose internal InstallationRecord, LocalUserRecord, LocationRecord, AuditEventRecord, EntityId, UtcTimestamp, StoredPasswordCredential, or transaction types.</w:t>
      </w:r>
    </w:p>
    <w:p>
      <w:pPr>
        <w:pStyle w:val="Heading2"/>
        <w:keepNext/>
        <w:widowControl/>
      </w:pPr>
      <w:r>
        <w:t>7.2 Main handler is the security boundary</w:t>
      </w:r>
    </w:p>
    <w:p>
      <w:pPr>
        <w:pStyle w:val="ListBullet"/>
        <w:widowControl/>
      </w:pPr>
      <w:r>
        <w:t>The sender policy check is the first executable decision for every request.</w:t>
      </w:r>
    </w:p>
    <w:p>
      <w:pPr>
        <w:pStyle w:val="ListBullet"/>
        <w:widowControl/>
      </w:pPr>
      <w:r>
        <w:t>Only the allowed renderer main frame may invoke the operation; missing senderFrame, subframes, and unapproved URLs return IPC_FORBIDDEN.</w:t>
      </w:r>
    </w:p>
    <w:p>
      <w:pPr>
        <w:pStyle w:val="ListBullet"/>
        <w:widowControl/>
      </w:pPr>
      <w:r>
        <w:t>Request parsing occurs only after sender approval.</w:t>
      </w:r>
    </w:p>
    <w:p>
      <w:pPr>
        <w:pStyle w:val="ListBullet"/>
        <w:widowControl/>
      </w:pPr>
      <w:r>
        <w:t>The HSD-014 service remains authoritative for all domain validation and atomicity; the IPC schema is a transport and size boundary, not a replacement.</w:t>
      </w:r>
    </w:p>
    <w:p>
      <w:pPr>
        <w:pStyle w:val="ListBullet"/>
        <w:widowControl/>
      </w:pPr>
      <w:r>
        <w:t>Responses are mapped to new plain public objects and validated before returning.</w:t>
      </w:r>
    </w:p>
    <w:p>
      <w:pPr>
        <w:pStyle w:val="ListBullet"/>
        <w:widowControl/>
      </w:pPr>
      <w:r>
        <w:t>Handlers never return or mutate HSD-014 repository records directly.</w:t>
      </w:r>
    </w:p>
    <w:p>
      <w:pPr>
        <w:pStyle w:val="Heading2"/>
        <w:keepNext/>
        <w:widowControl/>
      </w:pPr>
      <w:r>
        <w:t>7.3 Main-process production composition</w:t>
      </w:r>
    </w:p>
    <w:p>
      <w:pPr>
        <w:pStyle w:val="ListBullet"/>
        <w:widowControl/>
      </w:pPr>
      <w:r>
        <w:t>Application lifecycle initializes and migrates SQLite first, then obtains databaseRuntime.getConnection().</w:t>
      </w:r>
    </w:p>
    <w:p>
      <w:pPr>
        <w:pStyle w:val="ListBullet"/>
        <w:widowControl/>
      </w:pPr>
      <w:r>
        <w:t>Create approved installation, local-user, location, and audit repositories against that connection.</w:t>
      </w:r>
    </w:p>
    <w:p>
      <w:pPr>
        <w:pStyle w:val="ListBullet"/>
        <w:widowControl/>
      </w:pPr>
      <w:r>
        <w:t>Create one production password credential service using the HSD-010 Node crypto adapter.</w:t>
      </w:r>
    </w:p>
    <w:p>
      <w:pPr>
        <w:pStyle w:val="ListBullet"/>
        <w:widowControl/>
      </w:pPr>
      <w:r>
        <w:t>Create one HSD-008 transaction executor using the same connection, createSystemEntityIdGenerator(), createSystemUtcClock(), and the operational logger.</w:t>
      </w:r>
    </w:p>
    <w:p>
      <w:pPr>
        <w:pStyle w:val="ListBullet"/>
        <w:widowControl/>
      </w:pPr>
      <w:r>
        <w:t>Create one HSD-014 service instance and pass it to first-run handlers.</w:t>
      </w:r>
    </w:p>
    <w:p>
      <w:pPr>
        <w:pStyle w:val="ListBullet"/>
        <w:widowControl/>
      </w:pPr>
      <w:r>
        <w:t>Register handlers before the main window is created, and dispose them through the existing shutdown path.</w:t>
      </w:r>
    </w:p>
    <w:p>
      <w:pPr>
        <w:pStyle w:val="ListBullet"/>
        <w:widowControl/>
      </w:pPr>
      <w:r>
        <w:t>Composition must not call service.getState(), service.initialize(), repository reads/writes, password hashing, ID generation, or clock generation at startup.</w:t>
      </w:r>
    </w:p>
    <w:p>
      <w:pPr>
        <w:pStyle w:val="Heading2"/>
        <w:keepNext/>
        <w:widowControl/>
      </w:pPr>
      <w:r>
        <w:t>7.4 Preload is a narrow capability bridge</w:t>
      </w:r>
    </w:p>
    <w:p>
      <w:pPr>
        <w:pStyle w:val="ListBullet"/>
        <w:widowControl/>
      </w:pPr>
      <w:r>
        <w:t>Expose exactly app and firstRun groups under window.healthScreening.</w:t>
      </w:r>
    </w:p>
    <w:p>
      <w:pPr>
        <w:pStyle w:val="ListBullet"/>
        <w:widowControl/>
      </w:pPr>
      <w:r>
        <w:t>Expose named methods only; never expose ipcRenderer or a function accepting a renderer-supplied channel.</w:t>
      </w:r>
    </w:p>
    <w:p>
      <w:pPr>
        <w:pStyle w:val="ListBullet"/>
        <w:widowControl/>
      </w:pPr>
      <w:r>
        <w:t>Validate renderer initialize input locally before invoking Electron. A malformed local input returns a fixed VALIDATION_FAILED envelope and does not invoke IPC.</w:t>
      </w:r>
    </w:p>
    <w:p>
      <w:pPr>
        <w:pStyle w:val="ListBullet"/>
        <w:widowControl/>
      </w:pPr>
      <w:r>
        <w:t>Validate every returned envelope. Malformed responses or invoke rejection become IPC_UNAVAILABLE.</w:t>
      </w:r>
    </w:p>
    <w:p>
      <w:pPr>
        <w:pStyle w:val="ListBullet"/>
        <w:widowControl/>
      </w:pPr>
      <w:r>
        <w:t>Do not log requests, passwords, responses, failures, or raw Electron errors in preload.</w:t>
      </w:r>
    </w:p>
    <w:p>
      <w:pPr>
        <w:pStyle w:val="Heading2"/>
        <w:keepNext/>
        <w:widowControl/>
      </w:pPr>
      <w:r>
        <w:t>7.5 Renderer remains unchanged</w:t>
      </w:r>
    </w:p>
    <w:p>
      <w:pPr>
        <w:pStyle w:val="ListBullet"/>
        <w:widowControl/>
      </w:pPr>
      <w:r>
        <w:t>Do not import or call firstRun methods from src/renderer in HSD-015.</w:t>
      </w:r>
    </w:p>
    <w:p>
      <w:pPr>
        <w:pStyle w:val="ListBullet"/>
        <w:widowControl/>
      </w:pPr>
      <w:r>
        <w:t>Do not alter the visible status screen or add a hidden setup route/component.</w:t>
      </w:r>
    </w:p>
    <w:p>
      <w:pPr>
        <w:pStyle w:val="ListBullet"/>
        <w:widowControl/>
      </w:pPr>
      <w:r>
        <w:t>Do not automatically redirect based on first-run state.</w:t>
      </w:r>
    </w:p>
    <w:p>
      <w:pPr>
        <w:pStyle w:val="ListBullet"/>
        <w:widowControl/>
      </w:pPr>
      <w:r>
        <w:t>A later reviewed task will implement the UI using this boundary.</w:t>
      </w:r>
    </w:p>
    <w:p>
      <w:pPr>
        <w:pStyle w:val="Heading1"/>
        <w:keepNext/>
        <w:widowControl/>
      </w:pPr>
      <w:r>
        <w:t>8. Exact IPC Channels</w:t>
      </w:r>
    </w:p>
    <w:p>
      <w:pPr>
        <w:pStyle w:val="CodeBlock"/>
        <w:keepLines w:val="0"/>
        <w:widowControl/>
        <w:spacing w:before="60" w:after="120"/>
      </w:pPr>
      <w:r>
        <w:t>export const ipcChannels = {</w:t>
        <w:br/>
        <w:t xml:space="preserve">  app: {</w:t>
        <w:br/>
        <w:t xml:space="preserve">    getInfo: 'health-screening:app:get-info',</w:t>
        <w:br/>
        <w:t xml:space="preserve">    getHealth: 'health-screening:app:get-health'</w:t>
        <w:br/>
        <w:t xml:space="preserve">  },</w:t>
        <w:br/>
        <w:t xml:space="preserve">  firstRun: {</w:t>
        <w:br/>
        <w:t xml:space="preserve">    getState: 'health-screening:first-run:get-state',</w:t>
        <w:br/>
        <w:t xml:space="preserve">    initialize: 'health-screening:first-run:initialize'</w:t>
        <w:br/>
        <w:t xml:space="preserve">  }</w:t>
        <w:br/>
        <w:t>} as const</w:t>
        <w:br/>
        <w:br/>
        <w:t>export type FirstRunIpcChannel =</w:t>
        <w:br/>
        <w:t xml:space="preserve">  (typeof ipcChannels.firstRun)[keyof typeof ipcChannels.firstRun]</w:t>
        <w:br/>
      </w:r>
    </w:p>
    <w:p>
      <w:pPr>
        <w:pStyle w:val="ListBullet"/>
        <w:widowControl/>
      </w:pPr>
      <w:r>
        <w:t>Do not rename or alias the existing app channels.</w:t>
      </w:r>
    </w:p>
    <w:p>
      <w:pPr>
        <w:pStyle w:val="ListBullet"/>
        <w:widowControl/>
      </w:pPr>
      <w:r>
        <w:t>Do not add event/subscription channels.</w:t>
      </w:r>
    </w:p>
    <w:p>
      <w:pPr>
        <w:pStyle w:val="ListBullet"/>
        <w:widowControl/>
      </w:pPr>
      <w:r>
        <w:t>Do not accept a channel from a renderer method argument.</w:t>
      </w:r>
    </w:p>
    <w:p>
      <w:pPr>
        <w:pStyle w:val="ListBullet"/>
        <w:widowControl/>
      </w:pPr>
      <w:r>
        <w:t>Prove all four channel strings are unique.</w:t>
      </w:r>
    </w:p>
    <w:p>
      <w:pPr>
        <w:pStyle w:val="Heading1"/>
        <w:keepNext/>
        <w:widowControl/>
      </w:pPr>
      <w:r>
        <w:t>9. Shared First-Run Request Contracts</w:t>
      </w:r>
    </w:p>
    <w:p>
      <w:pPr>
        <w:pStyle w:val="Heading2"/>
        <w:keepNext/>
        <w:widowControl/>
      </w:pPr>
      <w:r>
        <w:t>9.1 Get-state request</w:t>
      </w:r>
    </w:p>
    <w:p>
      <w:pPr>
        <w:pStyle w:val="CodeBlock"/>
        <w:keepLines w:val="0"/>
        <w:widowControl/>
        <w:spacing w:before="60" w:after="120"/>
      </w:pPr>
      <w:r>
        <w:t>export const firstRunGetStateRequestSchema = z.object({}).strict()</w:t>
      </w:r>
    </w:p>
    <w:p>
      <w:pPr>
        <w:pStyle w:val="Heading2"/>
        <w:keepNext/>
        <w:widowControl/>
      </w:pPr>
      <w:r>
        <w:t>9.2 Initialize request</w:t>
      </w:r>
    </w:p>
    <w:p>
      <w:pPr>
        <w:pStyle w:val="CodeBlock"/>
        <w:keepLines w:val="0"/>
        <w:widowControl/>
        <w:spacing w:before="60" w:after="120"/>
      </w:pPr>
      <w:r>
        <w:t>export const firstRunInitializeRequestSchema = z</w:t>
        <w:br/>
        <w:t xml:space="preserve">  .object({</w:t>
        <w:br/>
        <w:t xml:space="preserve">    deploymentName: z.string().max(240),</w:t>
        <w:br/>
        <w:t xml:space="preserve">    timeZone: z.string().max(128),</w:t>
        <w:br/>
        <w:t xml:space="preserve">    administrator: z</w:t>
        <w:br/>
        <w:t xml:space="preserve">      .object({</w:t>
        <w:br/>
        <w:t xml:space="preserve">        username: z.string().max(128),</w:t>
        <w:br/>
        <w:t xml:space="preserve">        displayName: z.string().max(240),</w:t>
        <w:br/>
        <w:t xml:space="preserve">        temporaryPassword: z.string().max(256)</w:t>
        <w:br/>
        <w:t xml:space="preserve">      })</w:t>
        <w:br/>
        <w:t xml:space="preserve">      .strict(),</w:t>
        <w:br/>
        <w:t xml:space="preserve">    initialLocation: z</w:t>
        <w:br/>
        <w:t xml:space="preserve">      .object({</w:t>
        <w:br/>
        <w:t xml:space="preserve">        name: z.string().max(240),</w:t>
        <w:br/>
        <w:t xml:space="preserve">        locationType: z.enum([</w:t>
        <w:br/>
        <w:t xml:space="preserve">          'CHURCH',</w:t>
        <w:br/>
        <w:t xml:space="preserve">          'QUARTER',</w:t>
        <w:br/>
        <w:t xml:space="preserve">          'VILLAGE',</w:t>
        <w:br/>
        <w:t xml:space="preserve">          'COMMUNITY_SITE',</w:t>
        <w:br/>
        <w:t xml:space="preserve">          'OTHER'</w:t>
        <w:br/>
        <w:t xml:space="preserve">        ]),</w:t>
        <w:br/>
        <w:t xml:space="preserve">        village: z.string().max(240).nullable(),</w:t>
        <w:br/>
        <w:t xml:space="preserve">        subdivision: z.string().max(240).nullable(),</w:t>
        <w:br/>
        <w:t xml:space="preserve">        region: z.string().max(240).nullable(),</w:t>
        <w:br/>
        <w:t xml:space="preserve">        directions: z.string().max(1000).nullable()</w:t>
        <w:br/>
        <w:t xml:space="preserve">      })</w:t>
        <w:br/>
        <w:t xml:space="preserve">      .strict()</w:t>
        <w:br/>
        <w:t xml:space="preserve">  })</w:t>
        <w:br/>
        <w:t xml:space="preserve">  .strict()</w:t>
        <w:br/>
      </w:r>
    </w:p>
    <w:tbl>
      <w:tblPr>
        <w:tblStyle w:val="TableGrid"/>
        <w:tblW w:type="auto" w:w="0"/>
        <w:jc w:val="center"/>
        <w:tblLook w:firstColumn="1" w:firstRow="1" w:lastColumn="0" w:lastRow="0" w:noHBand="0" w:noVBand="1" w:val="04A0"/>
      </w:tblPr>
      <w:tblGrid>
        <w:gridCol w:w="10080"/>
      </w:tblGrid>
      <w:tr>
        <w:trPr>
          <w:cantSplit/>
        </w:trPr>
        <w:tc>
          <w:tcPr>
            <w:tcW w:type="dxa" w:w="10080"/>
            <w:shd w:fill="FFF2CC"/>
            <w:tcMar>
              <w:top w:w="140" w:type="dxa"/>
              <w:start w:w="180" w:type="dxa"/>
              <w:bottom w:w="140" w:type="dxa"/>
              <w:end w:w="180" w:type="dxa"/>
            </w:tcMar>
          </w:tcPr>
          <w:p>
            <w:r>
              <w:rPr>
                <w:b/>
                <w:color w:val="17365D"/>
                <w:sz w:val="20"/>
              </w:rPr>
              <w:t>Transport limits are deliberately coarse UTF-16 bounds chosen not to reject any value allowed by the authoritative code-point/UTF-8 domain parsers. The shared schema must not trim, normalize, lowercase, collapse whitespace, canonicalize timezone, or enforce password policy. HSD-014 remains authoritative.</w:t>
            </w:r>
          </w:p>
        </w:tc>
      </w:tr>
    </w:tbl>
    <w:p>
      <w:pPr>
        <w:widowControl/>
        <w:spacing w:after="100" w:line="252" w:lineRule="auto"/>
      </w:pPr>
    </w:p>
    <w:p>
      <w:pPr>
        <w:pStyle w:val="ListBullet"/>
        <w:widowControl/>
      </w:pPr>
      <w:r>
        <w:t>All fields are required, including optional business text fields, which must be explicitly null or a string.</w:t>
      </w:r>
    </w:p>
    <w:p>
      <w:pPr>
        <w:pStyle w:val="ListBullet"/>
        <w:widowControl/>
      </w:pPr>
      <w:r>
        <w:t>Undefined is not accepted for village, subdivision, region, or directions.</w:t>
      </w:r>
    </w:p>
    <w:p>
      <w:pPr>
        <w:pStyle w:val="ListBullet"/>
        <w:widowControl/>
      </w:pPr>
      <w:r>
        <w:t>No extra top-level or nested fields are accepted.</w:t>
      </w:r>
    </w:p>
    <w:p>
      <w:pPr>
        <w:pStyle w:val="ListBullet"/>
        <w:widowControl/>
      </w:pPr>
      <w:r>
        <w:t>Do not accept IDs, timestamps, role, active flags, mustChangePassword, normalized keys, credentials, actor IDs, audit metadata, protocol values, or settings.</w:t>
      </w:r>
    </w:p>
    <w:p>
      <w:pPr>
        <w:pStyle w:val="ListBullet"/>
        <w:widowControl/>
      </w:pPr>
      <w:r>
        <w:t>The request schema must infer the exported FirstRunInitializeRequest type.</w:t>
      </w:r>
    </w:p>
    <w:p>
      <w:pPr>
        <w:pStyle w:val="Heading1"/>
        <w:keepNext/>
        <w:widowControl/>
      </w:pPr>
      <w:r>
        <w:t>10. Renderer-Safe State and Success Contracts</w:t>
      </w:r>
    </w:p>
    <w:p>
      <w:pPr>
        <w:pStyle w:val="CodeBlock"/>
        <w:keepLines w:val="0"/>
        <w:widowControl/>
        <w:spacing w:before="60" w:after="120"/>
      </w:pPr>
      <w:r>
        <w:t>export const firstRunInconsistencyCodeSchema = z.enum([</w:t>
        <w:br/>
        <w:t xml:space="preserve">  'INSTALLATION_MISSING_WITH_LOCAL_DATA',</w:t>
        <w:br/>
        <w:t xml:space="preserve">  'INSTALLATION_PRESENT_WITHOUT_ADMINISTRATOR',</w:t>
        <w:br/>
        <w:t xml:space="preserve">  'INSTALLATION_PRESENT_WITHOUT_LOCATION',</w:t>
        <w:br/>
        <w:t xml:space="preserve">  'INSTALLATION_PRESENT_WITHOUT_ADMINISTRATOR_AND_LOCATION'</w:t>
        <w:br/>
        <w:t>])</w:t>
        <w:br/>
        <w:br/>
        <w:t>export const firstRunRequiredStateSchema = z</w:t>
        <w:br/>
        <w:t xml:space="preserve">  .object({ status: z.literal('REQUIRED') })</w:t>
        <w:br/>
        <w:t xml:space="preserve">  .strict()</w:t>
        <w:br/>
        <w:br/>
        <w:t>export const firstRunInitializedStateSchema = z</w:t>
        <w:br/>
        <w:t xml:space="preserve">  .object({</w:t>
        <w:br/>
        <w:t xml:space="preserve">    status: z.literal('INITIALIZED'),</w:t>
        <w:br/>
        <w:t xml:space="preserve">    deploymentName: z.string().min(1).max(120),</w:t>
        <w:br/>
        <w:t xml:space="preserve">    timeZone: z.string().min(1).max(64)</w:t>
        <w:br/>
        <w:t xml:space="preserve">  })</w:t>
        <w:br/>
        <w:t xml:space="preserve">  .strict()</w:t>
        <w:br/>
        <w:br/>
        <w:t>export const firstRunInconsistentStateSchema = z</w:t>
        <w:br/>
        <w:t xml:space="preserve">  .object({</w:t>
        <w:br/>
        <w:t xml:space="preserve">    status: z.literal('INCONSISTENT'),</w:t>
        <w:br/>
        <w:t xml:space="preserve">    code: firstRunInconsistencyCodeSchema</w:t>
        <w:br/>
        <w:t xml:space="preserve">  })</w:t>
        <w:br/>
        <w:t xml:space="preserve">  .strict()</w:t>
        <w:br/>
        <w:br/>
        <w:t>export const firstRunPublicStateSchema = z.discriminatedUnion('status', [</w:t>
        <w:br/>
        <w:t xml:space="preserve">  firstRunRequiredStateSchema,</w:t>
        <w:br/>
        <w:t xml:space="preserve">  firstRunInitializedStateSchema,</w:t>
        <w:br/>
        <w:t xml:space="preserve">  firstRunInconsistentStateSchema</w:t>
        <w:br/>
        <w:t>])</w:t>
        <w:br/>
      </w:r>
    </w:p>
    <w:p>
      <w:pPr>
        <w:pStyle w:val="ListBullet"/>
        <w:widowControl/>
      </w:pPr>
      <w:r>
        <w:t>INITIALIZED exposes canonical deploymentName and timeZone only.</w:t>
      </w:r>
    </w:p>
    <w:p>
      <w:pPr>
        <w:pStyle w:val="ListBullet"/>
        <w:widowControl/>
      </w:pPr>
      <w:r>
        <w:t>Do not expose installation ID, singleton ID, createdAt, updatedAt, user/location presence counts, or database status.</w:t>
      </w:r>
    </w:p>
    <w:p>
      <w:pPr>
        <w:pStyle w:val="ListBullet"/>
        <w:widowControl/>
      </w:pPr>
      <w:r>
        <w:t>Initialization success returns firstRunInitializedStateSchema, not the HSD-014 result object.</w:t>
      </w:r>
    </w:p>
    <w:p>
      <w:pPr>
        <w:pStyle w:val="ListBullet"/>
        <w:widowControl/>
      </w:pPr>
      <w:r>
        <w:t>Do not expose administrator, location, audit events, metadata, IDs, timestamps, password fields, credential fields, normalized names, or repository records.</w:t>
      </w:r>
    </w:p>
    <w:p>
      <w:pPr>
        <w:pStyle w:val="ListBullet"/>
        <w:widowControl/>
      </w:pPr>
      <w:r>
        <w:t>All result schemas must be strict and structured-clone safe.</w:t>
      </w:r>
    </w:p>
    <w:p>
      <w:pPr>
        <w:pStyle w:val="Heading1"/>
        <w:keepNext/>
        <w:widowControl/>
      </w:pPr>
      <w:r>
        <w:t>11. First-Run-Specific Safe Failure Contracts</w:t>
      </w:r>
    </w:p>
    <w:p>
      <w:pPr>
        <w:widowControl/>
        <w:spacing w:after="100" w:line="252" w:lineRule="auto"/>
      </w:pPr>
      <w:r>
        <w:t>Keep the existing common IPC errors unchanged. Define first-run operation errors in first-run-contracts.ts or an equivalently isolated shared module. Messages are exact literals and must not be caller supplied.</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952"/>
            <w:vAlign w:val="center"/>
            <w:tcMar>
              <w:top w:w="80" w:type="dxa"/>
              <w:start w:w="100" w:type="dxa"/>
              <w:bottom w:w="80" w:type="dxa"/>
              <w:end w:w="100" w:type="dxa"/>
            </w:tcMar>
            <w:shd w:fill="17365D"/>
          </w:tcPr>
          <w:p>
            <w:r>
              <w:rPr>
                <w:b/>
                <w:color w:val="FFFFFF"/>
                <w:sz w:val="18"/>
              </w:rPr>
              <w:t>Code</w:t>
            </w:r>
          </w:p>
        </w:tc>
        <w:tc>
          <w:tcPr>
            <w:tcW w:type="dxa" w:w="3816"/>
            <w:vAlign w:val="center"/>
            <w:tcMar>
              <w:top w:w="80" w:type="dxa"/>
              <w:start w:w="100" w:type="dxa"/>
              <w:bottom w:w="80" w:type="dxa"/>
              <w:end w:w="100" w:type="dxa"/>
            </w:tcMar>
            <w:shd w:fill="17365D"/>
          </w:tcPr>
          <w:p>
            <w:r>
              <w:rPr>
                <w:b/>
                <w:color w:val="FFFFFF"/>
                <w:sz w:val="18"/>
              </w:rPr>
              <w:t>Exact renderer-safe message</w:t>
            </w:r>
          </w:p>
        </w:tc>
        <w:tc>
          <w:tcPr>
            <w:tcW w:type="dxa" w:w="2880"/>
            <w:vAlign w:val="center"/>
            <w:tcMar>
              <w:top w:w="80" w:type="dxa"/>
              <w:start w:w="100" w:type="dxa"/>
              <w:bottom w:w="80" w:type="dxa"/>
              <w:end w:w="100" w:type="dxa"/>
            </w:tcMar>
            <w:shd w:fill="17365D"/>
          </w:tcPr>
          <w:p>
            <w:r>
              <w:rPr>
                <w:b/>
                <w:color w:val="FFFFFF"/>
                <w:sz w:val="18"/>
              </w:rPr>
              <w:t>Use</w:t>
            </w:r>
          </w:p>
        </w:tc>
      </w:tr>
      <w:tr>
        <w:trPr>
          <w:cantSplit/>
        </w:trPr>
        <w:tc>
          <w:tcPr>
            <w:tcW w:type="dxa" w:w="2952"/>
            <w:vAlign w:val="center"/>
            <w:tcMar>
              <w:top w:w="80" w:type="dxa"/>
              <w:start w:w="100" w:type="dxa"/>
              <w:bottom w:w="80" w:type="dxa"/>
              <w:end w:w="100" w:type="dxa"/>
            </w:tcMar>
          </w:tcPr>
          <w:p>
            <w:r>
              <w:rPr>
                <w:sz w:val="18"/>
              </w:rPr>
              <w:t>VALIDATION_FAILED</w:t>
            </w:r>
          </w:p>
        </w:tc>
        <w:tc>
          <w:tcPr>
            <w:tcW w:type="dxa" w:w="3816"/>
            <w:vAlign w:val="center"/>
            <w:tcMar>
              <w:top w:w="80" w:type="dxa"/>
              <w:start w:w="100" w:type="dxa"/>
              <w:bottom w:w="80" w:type="dxa"/>
              <w:end w:w="100" w:type="dxa"/>
            </w:tcMar>
          </w:tcPr>
          <w:p>
            <w:r>
              <w:rPr>
                <w:sz w:val="18"/>
              </w:rPr>
              <w:t>The request could not be processed.</w:t>
            </w:r>
          </w:p>
        </w:tc>
        <w:tc>
          <w:tcPr>
            <w:tcW w:type="dxa" w:w="2880"/>
            <w:vAlign w:val="center"/>
            <w:tcMar>
              <w:top w:w="80" w:type="dxa"/>
              <w:start w:w="100" w:type="dxa"/>
              <w:bottom w:w="80" w:type="dxa"/>
              <w:end w:w="100" w:type="dxa"/>
            </w:tcMar>
          </w:tcPr>
          <w:p>
            <w:r>
              <w:rPr>
                <w:sz w:val="18"/>
              </w:rPr>
              <w:t>Malformed transport request or FirstRunValidationError.</w:t>
            </w:r>
          </w:p>
        </w:tc>
      </w:tr>
      <w:tr>
        <w:trPr>
          <w:cantSplit/>
        </w:trPr>
        <w:tc>
          <w:tcPr>
            <w:tcW w:type="dxa" w:w="2952"/>
            <w:vAlign w:val="center"/>
            <w:tcMar>
              <w:top w:w="80" w:type="dxa"/>
              <w:start w:w="100" w:type="dxa"/>
              <w:bottom w:w="80" w:type="dxa"/>
              <w:end w:w="100" w:type="dxa"/>
            </w:tcMar>
          </w:tcPr>
          <w:p>
            <w:r>
              <w:rPr>
                <w:sz w:val="18"/>
              </w:rPr>
              <w:t>IPC_FORBIDDEN</w:t>
            </w:r>
          </w:p>
        </w:tc>
        <w:tc>
          <w:tcPr>
            <w:tcW w:type="dxa" w:w="3816"/>
            <w:vAlign w:val="center"/>
            <w:tcMar>
              <w:top w:w="80" w:type="dxa"/>
              <w:start w:w="100" w:type="dxa"/>
              <w:bottom w:w="80" w:type="dxa"/>
              <w:end w:w="100" w:type="dxa"/>
            </w:tcMar>
          </w:tcPr>
          <w:p>
            <w:r>
              <w:rPr>
                <w:sz w:val="18"/>
              </w:rPr>
              <w:t>This operation is unavailable from the current window.</w:t>
            </w:r>
          </w:p>
        </w:tc>
        <w:tc>
          <w:tcPr>
            <w:tcW w:type="dxa" w:w="2880"/>
            <w:vAlign w:val="center"/>
            <w:tcMar>
              <w:top w:w="80" w:type="dxa"/>
              <w:start w:w="100" w:type="dxa"/>
              <w:bottom w:w="80" w:type="dxa"/>
              <w:end w:w="100" w:type="dxa"/>
            </w:tcMar>
          </w:tcPr>
          <w:p>
            <w:r>
              <w:rPr>
                <w:sz w:val="18"/>
              </w:rPr>
              <w:t>Sender is absent, a subframe, or outside navigation policy.</w:t>
            </w:r>
          </w:p>
        </w:tc>
      </w:tr>
      <w:tr>
        <w:trPr>
          <w:cantSplit/>
        </w:trPr>
        <w:tc>
          <w:tcPr>
            <w:tcW w:type="dxa" w:w="2952"/>
            <w:vAlign w:val="center"/>
            <w:tcMar>
              <w:top w:w="80" w:type="dxa"/>
              <w:start w:w="100" w:type="dxa"/>
              <w:bottom w:w="80" w:type="dxa"/>
              <w:end w:w="100" w:type="dxa"/>
            </w:tcMar>
          </w:tcPr>
          <w:p>
            <w:r>
              <w:rPr>
                <w:sz w:val="18"/>
              </w:rPr>
              <w:t>IPC_UNAVAILABLE</w:t>
            </w:r>
          </w:p>
        </w:tc>
        <w:tc>
          <w:tcPr>
            <w:tcW w:type="dxa" w:w="3816"/>
            <w:vAlign w:val="center"/>
            <w:tcMar>
              <w:top w:w="80" w:type="dxa"/>
              <w:start w:w="100" w:type="dxa"/>
              <w:bottom w:w="80" w:type="dxa"/>
              <w:end w:w="100" w:type="dxa"/>
            </w:tcMar>
          </w:tcPr>
          <w:p>
            <w:r>
              <w:rPr>
                <w:sz w:val="18"/>
              </w:rPr>
              <w:t>The desktop service is unavailable.</w:t>
            </w:r>
          </w:p>
        </w:tc>
        <w:tc>
          <w:tcPr>
            <w:tcW w:type="dxa" w:w="2880"/>
            <w:vAlign w:val="center"/>
            <w:tcMar>
              <w:top w:w="80" w:type="dxa"/>
              <w:start w:w="100" w:type="dxa"/>
              <w:bottom w:w="80" w:type="dxa"/>
              <w:end w:w="100" w:type="dxa"/>
            </w:tcMar>
          </w:tcPr>
          <w:p>
            <w:r>
              <w:rPr>
                <w:sz w:val="18"/>
              </w:rPr>
              <w:t>Preload invoke rejection or malformed returned envelope.</w:t>
            </w:r>
          </w:p>
        </w:tc>
      </w:tr>
      <w:tr>
        <w:trPr>
          <w:cantSplit/>
        </w:trPr>
        <w:tc>
          <w:tcPr>
            <w:tcW w:type="dxa" w:w="2952"/>
            <w:vAlign w:val="center"/>
            <w:tcMar>
              <w:top w:w="80" w:type="dxa"/>
              <w:start w:w="100" w:type="dxa"/>
              <w:bottom w:w="80" w:type="dxa"/>
              <w:end w:w="100" w:type="dxa"/>
            </w:tcMar>
          </w:tcPr>
          <w:p>
            <w:r>
              <w:rPr>
                <w:sz w:val="18"/>
              </w:rPr>
              <w:t>INTERNAL_ERROR</w:t>
            </w:r>
          </w:p>
        </w:tc>
        <w:tc>
          <w:tcPr>
            <w:tcW w:type="dxa" w:w="3816"/>
            <w:vAlign w:val="center"/>
            <w:tcMar>
              <w:top w:w="80" w:type="dxa"/>
              <w:start w:w="100" w:type="dxa"/>
              <w:bottom w:w="80" w:type="dxa"/>
              <w:end w:w="100" w:type="dxa"/>
            </w:tcMar>
          </w:tcPr>
          <w:p>
            <w:r>
              <w:rPr>
                <w:sz w:val="18"/>
              </w:rPr>
              <w:t>The application could not complete the request.</w:t>
            </w:r>
          </w:p>
        </w:tc>
        <w:tc>
          <w:tcPr>
            <w:tcW w:type="dxa" w:w="2880"/>
            <w:vAlign w:val="center"/>
            <w:tcMar>
              <w:top w:w="80" w:type="dxa"/>
              <w:start w:w="100" w:type="dxa"/>
              <w:bottom w:w="80" w:type="dxa"/>
              <w:end w:w="100" w:type="dxa"/>
            </w:tcMar>
          </w:tcPr>
          <w:p>
            <w:r>
              <w:rPr>
                <w:sz w:val="18"/>
              </w:rPr>
              <w:t>Unexpected get-state or handler/output failure.</w:t>
            </w:r>
          </w:p>
        </w:tc>
      </w:tr>
      <w:tr>
        <w:trPr>
          <w:cantSplit/>
        </w:trPr>
        <w:tc>
          <w:tcPr>
            <w:tcW w:type="dxa" w:w="2952"/>
            <w:vAlign w:val="center"/>
            <w:tcMar>
              <w:top w:w="80" w:type="dxa"/>
              <w:start w:w="100" w:type="dxa"/>
              <w:bottom w:w="80" w:type="dxa"/>
              <w:end w:w="100" w:type="dxa"/>
            </w:tcMar>
          </w:tcPr>
          <w:p>
            <w:r>
              <w:rPr>
                <w:sz w:val="18"/>
              </w:rPr>
              <w:t>FIRST_RUN_ALREADY_INITIALIZED</w:t>
            </w:r>
          </w:p>
        </w:tc>
        <w:tc>
          <w:tcPr>
            <w:tcW w:type="dxa" w:w="3816"/>
            <w:vAlign w:val="center"/>
            <w:tcMar>
              <w:top w:w="80" w:type="dxa"/>
              <w:start w:w="100" w:type="dxa"/>
              <w:bottom w:w="80" w:type="dxa"/>
              <w:end w:w="100" w:type="dxa"/>
            </w:tcMar>
          </w:tcPr>
          <w:p>
            <w:r>
              <w:rPr>
                <w:sz w:val="18"/>
              </w:rPr>
              <w:t>Application setup is already complete.</w:t>
            </w:r>
          </w:p>
        </w:tc>
        <w:tc>
          <w:tcPr>
            <w:tcW w:type="dxa" w:w="2880"/>
            <w:vAlign w:val="center"/>
            <w:tcMar>
              <w:top w:w="80" w:type="dxa"/>
              <w:start w:w="100" w:type="dxa"/>
              <w:bottom w:w="80" w:type="dxa"/>
              <w:end w:w="100" w:type="dxa"/>
            </w:tcMar>
          </w:tcPr>
          <w:p>
            <w:r>
              <w:rPr>
                <w:sz w:val="18"/>
              </w:rPr>
              <w:t>FirstRunAlreadyInitializedError.</w:t>
            </w:r>
          </w:p>
        </w:tc>
      </w:tr>
      <w:tr>
        <w:trPr>
          <w:cantSplit/>
        </w:trPr>
        <w:tc>
          <w:tcPr>
            <w:tcW w:type="dxa" w:w="2952"/>
            <w:vAlign w:val="center"/>
            <w:tcMar>
              <w:top w:w="80" w:type="dxa"/>
              <w:start w:w="100" w:type="dxa"/>
              <w:bottom w:w="80" w:type="dxa"/>
              <w:end w:w="100" w:type="dxa"/>
            </w:tcMar>
          </w:tcPr>
          <w:p>
            <w:r>
              <w:rPr>
                <w:sz w:val="18"/>
              </w:rPr>
              <w:t>FIRST_RUN_STATE_INTEGRITY</w:t>
            </w:r>
          </w:p>
        </w:tc>
        <w:tc>
          <w:tcPr>
            <w:tcW w:type="dxa" w:w="3816"/>
            <w:vAlign w:val="center"/>
            <w:tcMar>
              <w:top w:w="80" w:type="dxa"/>
              <w:start w:w="100" w:type="dxa"/>
              <w:bottom w:w="80" w:type="dxa"/>
              <w:end w:w="100" w:type="dxa"/>
            </w:tcMar>
          </w:tcPr>
          <w:p>
            <w:r>
              <w:rPr>
                <w:sz w:val="18"/>
              </w:rPr>
              <w:t>Application setup state is inconsistent.</w:t>
            </w:r>
          </w:p>
        </w:tc>
        <w:tc>
          <w:tcPr>
            <w:tcW w:type="dxa" w:w="2880"/>
            <w:vAlign w:val="center"/>
            <w:tcMar>
              <w:top w:w="80" w:type="dxa"/>
              <w:start w:w="100" w:type="dxa"/>
              <w:bottom w:w="80" w:type="dxa"/>
              <w:end w:w="100" w:type="dxa"/>
            </w:tcMar>
          </w:tcPr>
          <w:p>
            <w:r>
              <w:rPr>
                <w:sz w:val="18"/>
              </w:rPr>
              <w:t>FirstRunStateIntegrityError.</w:t>
            </w:r>
          </w:p>
        </w:tc>
      </w:tr>
      <w:tr>
        <w:trPr>
          <w:cantSplit/>
        </w:trPr>
        <w:tc>
          <w:tcPr>
            <w:tcW w:type="dxa" w:w="2952"/>
            <w:vAlign w:val="center"/>
            <w:tcMar>
              <w:top w:w="80" w:type="dxa"/>
              <w:start w:w="100" w:type="dxa"/>
              <w:bottom w:w="80" w:type="dxa"/>
              <w:end w:w="100" w:type="dxa"/>
            </w:tcMar>
          </w:tcPr>
          <w:p>
            <w:r>
              <w:rPr>
                <w:sz w:val="18"/>
              </w:rPr>
              <w:t>FIRST_RUN_INITIALIZATION_IN_PROGRESS</w:t>
            </w:r>
          </w:p>
        </w:tc>
        <w:tc>
          <w:tcPr>
            <w:tcW w:type="dxa" w:w="3816"/>
            <w:vAlign w:val="center"/>
            <w:tcMar>
              <w:top w:w="80" w:type="dxa"/>
              <w:start w:w="100" w:type="dxa"/>
              <w:bottom w:w="80" w:type="dxa"/>
              <w:end w:w="100" w:type="dxa"/>
            </w:tcMar>
          </w:tcPr>
          <w:p>
            <w:r>
              <w:rPr>
                <w:sz w:val="18"/>
              </w:rPr>
              <w:t>Application setup is already in progress.</w:t>
            </w:r>
          </w:p>
        </w:tc>
        <w:tc>
          <w:tcPr>
            <w:tcW w:type="dxa" w:w="2880"/>
            <w:vAlign w:val="center"/>
            <w:tcMar>
              <w:top w:w="80" w:type="dxa"/>
              <w:start w:w="100" w:type="dxa"/>
              <w:bottom w:w="80" w:type="dxa"/>
              <w:end w:w="100" w:type="dxa"/>
            </w:tcMar>
          </w:tcPr>
          <w:p>
            <w:r>
              <w:rPr>
                <w:sz w:val="18"/>
              </w:rPr>
              <w:t>FirstRunInitializationInProgressError.</w:t>
            </w:r>
          </w:p>
        </w:tc>
      </w:tr>
      <w:tr>
        <w:trPr>
          <w:cantSplit/>
        </w:trPr>
        <w:tc>
          <w:tcPr>
            <w:tcW w:type="dxa" w:w="2952"/>
            <w:vAlign w:val="center"/>
            <w:tcMar>
              <w:top w:w="80" w:type="dxa"/>
              <w:start w:w="100" w:type="dxa"/>
              <w:bottom w:w="80" w:type="dxa"/>
              <w:end w:w="100" w:type="dxa"/>
            </w:tcMar>
          </w:tcPr>
          <w:p>
            <w:r>
              <w:rPr>
                <w:sz w:val="18"/>
              </w:rPr>
              <w:t>FIRST_RUN_INITIALIZATION_FAILED</w:t>
            </w:r>
          </w:p>
        </w:tc>
        <w:tc>
          <w:tcPr>
            <w:tcW w:type="dxa" w:w="3816"/>
            <w:vAlign w:val="center"/>
            <w:tcMar>
              <w:top w:w="80" w:type="dxa"/>
              <w:start w:w="100" w:type="dxa"/>
              <w:bottom w:w="80" w:type="dxa"/>
              <w:end w:w="100" w:type="dxa"/>
            </w:tcMar>
          </w:tcPr>
          <w:p>
            <w:r>
              <w:rPr>
                <w:sz w:val="18"/>
              </w:rPr>
              <w:t>Application setup could not be completed.</w:t>
            </w:r>
          </w:p>
        </w:tc>
        <w:tc>
          <w:tcPr>
            <w:tcW w:type="dxa" w:w="2880"/>
            <w:vAlign w:val="center"/>
            <w:tcMar>
              <w:top w:w="80" w:type="dxa"/>
              <w:start w:w="100" w:type="dxa"/>
              <w:bottom w:w="80" w:type="dxa"/>
              <w:end w:w="100" w:type="dxa"/>
            </w:tcMar>
          </w:tcPr>
          <w:p>
            <w:r>
              <w:rPr>
                <w:sz w:val="18"/>
              </w:rPr>
              <w:t>FirstRunInitializationError.</w:t>
            </w:r>
          </w:p>
        </w:tc>
      </w:tr>
    </w:tbl>
    <w:p>
      <w:pPr>
        <w:widowControl/>
        <w:spacing w:after="100" w:line="252" w:lineRule="auto"/>
      </w:pPr>
    </w:p>
    <w:p>
      <w:pPr>
        <w:pStyle w:val="ListBullet"/>
        <w:widowControl/>
      </w:pPr>
      <w:r>
        <w:t>Create strict operation-specific failure schemas rather than broadening existing app.getInfo/getHealth success data.</w:t>
      </w:r>
    </w:p>
    <w:p>
      <w:pPr>
        <w:pStyle w:val="ListBullet"/>
        <w:widowControl/>
      </w:pPr>
      <w:r>
        <w:t>The get-state result may allow only VALIDATION_FAILED, IPC_FORBIDDEN, IPC_UNAVAILABLE, and INTERNAL_ERROR failures.</w:t>
      </w:r>
    </w:p>
    <w:p>
      <w:pPr>
        <w:pStyle w:val="ListBullet"/>
        <w:widowControl/>
      </w:pPr>
      <w:r>
        <w:t>The initialize result may allow all reviewed first-run codes listed above.</w:t>
      </w:r>
    </w:p>
    <w:p>
      <w:pPr>
        <w:pStyle w:val="ListBullet"/>
        <w:widowControl/>
      </w:pPr>
      <w:r>
        <w:t>No renderer error object may include errorType, name, stack, cause, details, field path, Zod issues, database path, SQL, IDs, timestamps, metadata, or raw message.</w:t>
      </w:r>
    </w:p>
    <w:p>
      <w:pPr>
        <w:pStyle w:val="ListBullet"/>
        <w:widowControl/>
      </w:pPr>
      <w:r>
        <w:t>Create operation-specific helpers only when they remain small and explicit; do not create a generic RPC/error framework.</w:t>
      </w:r>
    </w:p>
    <w:p>
      <w:pPr>
        <w:pStyle w:val="Heading1"/>
        <w:keepNext/>
        <w:widowControl/>
      </w:pPr>
      <w:r>
        <w:t>12. Shared API Type</w:t>
      </w:r>
    </w:p>
    <w:p>
      <w:pPr>
        <w:pStyle w:val="CodeBlock"/>
        <w:keepLines w:val="0"/>
        <w:widowControl/>
        <w:spacing w:before="60" w:after="120"/>
      </w:pPr>
      <w:r>
        <w:t>export interface HealthScreeningApi {</w:t>
        <w:br/>
        <w:t xml:space="preserve">  app: {</w:t>
        <w:br/>
        <w:t xml:space="preserve">    getInfo(): Promise&lt;AppGetInfoResult&gt;</w:t>
        <w:br/>
        <w:t xml:space="preserve">    getHealth(): Promise&lt;AppGetHealthResult&gt;</w:t>
        <w:br/>
        <w:t xml:space="preserve">  }</w:t>
        <w:br/>
        <w:t xml:space="preserve">  firstRun: {</w:t>
        <w:br/>
        <w:t xml:space="preserve">    getState(): Promise&lt;FirstRunGetStateResult&gt;</w:t>
        <w:br/>
        <w:t xml:space="preserve">    initialize(</w:t>
        <w:br/>
        <w:t xml:space="preserve">      request: FirstRunInitializeRequest</w:t>
        <w:br/>
        <w:t xml:space="preserve">    ): Promise&lt;FirstRunInitializeResult&gt;</w:t>
        <w:br/>
        <w:t xml:space="preserve">  }</w:t>
        <w:br/>
        <w:t>}</w:t>
        <w:br/>
      </w:r>
    </w:p>
    <w:p>
      <w:pPr>
        <w:widowControl/>
        <w:spacing w:after="100" w:line="252" w:lineRule="auto"/>
      </w:pPr>
      <w:r>
        <w:t>The API type must not expose unknown internal result types, Electron event objects, channel strings, unsubscribe functions, or generic invocation methods.</w:t>
      </w:r>
    </w:p>
    <w:p>
      <w:pPr>
        <w:pStyle w:val="Heading1"/>
        <w:keepNext/>
        <w:widowControl/>
      </w:pPr>
      <w:r>
        <w:t>13. Main Handler Contract</w:t>
      </w:r>
    </w:p>
    <w:p>
      <w:pPr>
        <w:pStyle w:val="CodeBlock"/>
        <w:keepLines w:val="0"/>
        <w:widowControl/>
        <w:spacing w:before="60" w:after="120"/>
      </w:pPr>
      <w:r>
        <w:t>export interface FirstRunIpcHandlerDependencies {</w:t>
        <w:br/>
        <w:t xml:space="preserve">  readonly navigationPolicy: NavigationPolicy</w:t>
        <w:br/>
        <w:t xml:space="preserve">  readonly firstRunBootstrapService: FirstRunBootstrapService</w:t>
        <w:br/>
        <w:t xml:space="preserve">  readonly logger?: IpcOperationalLogger</w:t>
        <w:br/>
        <w:t>}</w:t>
        <w:br/>
        <w:br/>
        <w:t>export interface FirstRunIpcHandlers {</w:t>
        <w:br/>
        <w:t xml:space="preserve">  getState(</w:t>
        <w:br/>
        <w:t xml:space="preserve">    event: IpcSenderValidationEvent,</w:t>
        <w:br/>
        <w:t xml:space="preserve">    request: unknown</w:t>
        <w:br/>
        <w:t xml:space="preserve">  ): Promise&lt;FirstRunGetStateResult&gt;</w:t>
        <w:br/>
        <w:br/>
        <w:t xml:space="preserve">  initialize(</w:t>
        <w:br/>
        <w:t xml:space="preserve">    event: IpcSenderValidationEvent,</w:t>
        <w:br/>
        <w:t xml:space="preserve">    request: unknown</w:t>
        <w:br/>
        <w:t xml:space="preserve">  ): Promise&lt;FirstRunInitializeResult&gt;</w:t>
        <w:br/>
        <w:t>}</w:t>
        <w:br/>
      </w:r>
    </w:p>
    <w:p>
      <w:pPr>
        <w:pStyle w:val="Heading2"/>
        <w:keepNext/>
        <w:widowControl/>
      </w:pPr>
      <w:r>
        <w:t>13.1 Sender-first sequence</w:t>
      </w:r>
    </w:p>
    <w:p>
      <w:pPr>
        <w:pStyle w:val="CodeBlock"/>
        <w:keepLines w:val="0"/>
        <w:widowControl/>
        <w:spacing w:before="60" w:after="120"/>
      </w:pPr>
      <w:r>
        <w:t>handler(event, untrustedRequest):</w:t>
        <w:br/>
        <w:t xml:space="preserve">  if sender is not allowed:</w:t>
        <w:br/>
        <w:t xml:space="preserve">    log fixed channel/code only</w:t>
        <w:br/>
        <w:t xml:space="preserve">    return IPC_FORBIDDEN</w:t>
        <w:br/>
        <w:br/>
        <w:t xml:space="preserve">  parse request with the exact shared request schema</w:t>
        <w:br/>
        <w:t xml:space="preserve">  if parse fails:</w:t>
        <w:br/>
        <w:t xml:space="preserve">    log fixed channel/code only</w:t>
        <w:br/>
        <w:t xml:space="preserve">    return VALIDATION_FAILED</w:t>
        <w:br/>
        <w:br/>
        <w:t xml:space="preserve">  invoke the trusted HSD-014 service</w:t>
        <w:br/>
        <w:t xml:space="preserve">  map internal state/result to a new renderer-safe object</w:t>
        <w:br/>
        <w:t xml:space="preserve">  validate the mapped response schema</w:t>
        <w:br/>
        <w:t xml:space="preserve">  return strict success envelope</w:t>
        <w:br/>
        <w:br/>
        <w:t xml:space="preserve">  on controlled service error:</w:t>
        <w:br/>
        <w:t xml:space="preserve">    map by trusted class to one exact safe code</w:t>
        <w:br/>
        <w:t xml:space="preserve">    log channel/code/reviewed error type only</w:t>
        <w:br/>
        <w:t xml:space="preserve">    return fixed failure envelope</w:t>
        <w:br/>
        <w:br/>
        <w:t xml:space="preserve">  on unknown/output error:</w:t>
        <w:br/>
        <w:t xml:space="preserve">    log channel/code/reviewed error type only</w:t>
        <w:br/>
        <w:t xml:space="preserve">    return INTERNAL_ERROR</w:t>
        <w:br/>
      </w:r>
    </w:p>
    <w:p>
      <w:pPr>
        <w:pStyle w:val="ListBullet"/>
        <w:widowControl/>
      </w:pPr>
      <w:r>
        <w:t>Use isIpcSenderAllowed() exactly as the existing app handlers do.</w:t>
      </w:r>
    </w:p>
    <w:p>
      <w:pPr>
        <w:pStyle w:val="ListBullet"/>
        <w:widowControl/>
      </w:pPr>
      <w:r>
        <w:t>Do not parse the request, inspect nested fields, call the service, or log request data before sender approval.</w:t>
      </w:r>
    </w:p>
    <w:p>
      <w:pPr>
        <w:pStyle w:val="ListBullet"/>
        <w:widowControl/>
      </w:pPr>
      <w:r>
        <w:t>Pass requestResult.data to HSD-014; HSD-014 must revalidate the command authoritatively.</w:t>
      </w:r>
    </w:p>
    <w:p>
      <w:pPr>
        <w:pStyle w:val="ListBullet"/>
        <w:widowControl/>
      </w:pPr>
      <w:r>
        <w:t>Validate the public mapped response before creating a success result.</w:t>
      </w:r>
    </w:p>
    <w:p>
      <w:pPr>
        <w:pStyle w:val="ListBullet"/>
        <w:widowControl/>
      </w:pPr>
      <w:r>
        <w:t>A malformed trusted service result is INTERNAL_ERROR and must never cross to renderer.</w:t>
      </w:r>
    </w:p>
    <w:p>
      <w:pPr>
        <w:pStyle w:val="ListBullet"/>
        <w:widowControl/>
      </w:pPr>
      <w:r>
        <w:t>Do not throw raw errors through ipcMain.handle.</w:t>
      </w:r>
    </w:p>
    <w:p>
      <w:pPr>
        <w:pStyle w:val="Heading1"/>
        <w:keepNext/>
        <w:widowControl/>
      </w:pPr>
      <w:r>
        <w:t>14. Internal-to-Public Mapping</w:t>
      </w:r>
    </w:p>
    <w:p>
      <w:pPr>
        <w:pStyle w:val="CodeBlock"/>
        <w:keepLines w:val="0"/>
        <w:widowControl/>
        <w:spacing w:before="60" w:after="120"/>
      </w:pPr>
      <w:r>
        <w:t>toPublicFirstRunState(state):</w:t>
        <w:br/>
        <w:t xml:space="preserve">  REQUIRED -&gt; { status: 'REQUIRED' }</w:t>
        <w:br/>
        <w:br/>
        <w:t xml:space="preserve">  INITIALIZED -&gt; {</w:t>
        <w:br/>
        <w:t xml:space="preserve">    status: 'INITIALIZED',</w:t>
        <w:br/>
        <w:t xml:space="preserve">    deploymentName: state.installation.deploymentName,</w:t>
        <w:br/>
        <w:t xml:space="preserve">    timeZone: state.installation.timeZone</w:t>
        <w:br/>
        <w:t xml:space="preserve">  }</w:t>
        <w:br/>
        <w:br/>
        <w:t xml:space="preserve">  INCONSISTENT -&gt; {</w:t>
        <w:br/>
        <w:t xml:space="preserve">    status: 'INCONSISTENT',</w:t>
        <w:br/>
        <w:t xml:space="preserve">    code: state.code</w:t>
        <w:br/>
        <w:t xml:space="preserve">  }</w:t>
        <w:br/>
        <w:br/>
        <w:t>initialization result -&gt; {</w:t>
        <w:br/>
        <w:t xml:space="preserve">  status: 'INITIALIZED',</w:t>
        <w:br/>
        <w:t xml:space="preserve">  deploymentName: result.installation.deploymentName,</w:t>
        <w:br/>
        <w:t xml:space="preserve">  timeZone: result.installation.timeZone</w:t>
        <w:br/>
        <w:t>}</w:t>
        <w:br/>
      </w:r>
    </w:p>
    <w:p>
      <w:pPr>
        <w:pStyle w:val="ListBullet"/>
        <w:widowControl/>
      </w:pPr>
      <w:r>
        <w:t>Always allocate a new plain object; do not return an HSD-014 object by reference.</w:t>
      </w:r>
    </w:p>
    <w:p>
      <w:pPr>
        <w:pStyle w:val="ListBullet"/>
        <w:widowControl/>
      </w:pPr>
      <w:r>
        <w:t>Do not spread installation, administrator, location, audit, or error objects.</w:t>
      </w:r>
    </w:p>
    <w:p>
      <w:pPr>
        <w:pStyle w:val="ListBullet"/>
        <w:widowControl/>
      </w:pPr>
      <w:r>
        <w:t>Do not serialize the HSD-014 result to remove fields.</w:t>
      </w:r>
    </w:p>
    <w:p>
      <w:pPr>
        <w:pStyle w:val="ListBullet"/>
        <w:widowControl/>
      </w:pPr>
      <w:r>
        <w:t>Do not expose IDs or timestamps even though they are not passwords.</w:t>
      </w:r>
    </w:p>
    <w:p>
      <w:pPr>
        <w:pStyle w:val="ListBullet"/>
        <w:widowControl/>
      </w:pPr>
      <w:r>
        <w:t>Return only the exact schema-parsed public object.</w:t>
      </w:r>
    </w:p>
    <w:p>
      <w:pPr>
        <w:pStyle w:val="Heading1"/>
        <w:keepNext/>
        <w:widowControl/>
      </w:pPr>
      <w:r>
        <w:t>15. Domain Error Mapping</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4680"/>
            <w:vAlign w:val="center"/>
            <w:tcMar>
              <w:top w:w="80" w:type="dxa"/>
              <w:start w:w="100" w:type="dxa"/>
              <w:bottom w:w="80" w:type="dxa"/>
              <w:end w:w="100" w:type="dxa"/>
            </w:tcMar>
            <w:shd w:fill="17365D"/>
          </w:tcPr>
          <w:p>
            <w:r>
              <w:rPr>
                <w:b/>
                <w:color w:val="FFFFFF"/>
                <w:sz w:val="18"/>
              </w:rPr>
              <w:t>HSD-014 error</w:t>
            </w:r>
          </w:p>
        </w:tc>
        <w:tc>
          <w:tcPr>
            <w:tcW w:type="dxa" w:w="4968"/>
            <w:vAlign w:val="center"/>
            <w:tcMar>
              <w:top w:w="80" w:type="dxa"/>
              <w:start w:w="100" w:type="dxa"/>
              <w:bottom w:w="80" w:type="dxa"/>
              <w:end w:w="100" w:type="dxa"/>
            </w:tcMar>
            <w:shd w:fill="17365D"/>
          </w:tcPr>
          <w:p>
            <w:r>
              <w:rPr>
                <w:b/>
                <w:color w:val="FFFFFF"/>
                <w:sz w:val="18"/>
              </w:rPr>
              <w:t>IPC failure code</w:t>
            </w:r>
          </w:p>
        </w:tc>
      </w:tr>
      <w:tr>
        <w:trPr>
          <w:cantSplit/>
        </w:trPr>
        <w:tc>
          <w:tcPr>
            <w:tcW w:type="dxa" w:w="4680"/>
            <w:vAlign w:val="center"/>
            <w:tcMar>
              <w:top w:w="80" w:type="dxa"/>
              <w:start w:w="100" w:type="dxa"/>
              <w:bottom w:w="80" w:type="dxa"/>
              <w:end w:w="100" w:type="dxa"/>
            </w:tcMar>
          </w:tcPr>
          <w:p>
            <w:r>
              <w:rPr>
                <w:sz w:val="18"/>
              </w:rPr>
              <w:t>FirstRunValidationError</w:t>
            </w:r>
          </w:p>
        </w:tc>
        <w:tc>
          <w:tcPr>
            <w:tcW w:type="dxa" w:w="4968"/>
            <w:vAlign w:val="center"/>
            <w:tcMar>
              <w:top w:w="80" w:type="dxa"/>
              <w:start w:w="100" w:type="dxa"/>
              <w:bottom w:w="80" w:type="dxa"/>
              <w:end w:w="100" w:type="dxa"/>
            </w:tcMar>
          </w:tcPr>
          <w:p>
            <w:r>
              <w:rPr>
                <w:sz w:val="18"/>
              </w:rPr>
              <w:t>VALIDATION_FAILED</w:t>
            </w:r>
          </w:p>
        </w:tc>
      </w:tr>
      <w:tr>
        <w:trPr>
          <w:cantSplit/>
        </w:trPr>
        <w:tc>
          <w:tcPr>
            <w:tcW w:type="dxa" w:w="4680"/>
            <w:vAlign w:val="center"/>
            <w:tcMar>
              <w:top w:w="80" w:type="dxa"/>
              <w:start w:w="100" w:type="dxa"/>
              <w:bottom w:w="80" w:type="dxa"/>
              <w:end w:w="100" w:type="dxa"/>
            </w:tcMar>
          </w:tcPr>
          <w:p>
            <w:r>
              <w:rPr>
                <w:sz w:val="18"/>
              </w:rPr>
              <w:t>FirstRunAlreadyInitializedError</w:t>
            </w:r>
          </w:p>
        </w:tc>
        <w:tc>
          <w:tcPr>
            <w:tcW w:type="dxa" w:w="4968"/>
            <w:vAlign w:val="center"/>
            <w:tcMar>
              <w:top w:w="80" w:type="dxa"/>
              <w:start w:w="100" w:type="dxa"/>
              <w:bottom w:w="80" w:type="dxa"/>
              <w:end w:w="100" w:type="dxa"/>
            </w:tcMar>
          </w:tcPr>
          <w:p>
            <w:r>
              <w:rPr>
                <w:sz w:val="18"/>
              </w:rPr>
              <w:t>FIRST_RUN_ALREADY_INITIALIZED</w:t>
            </w:r>
          </w:p>
        </w:tc>
      </w:tr>
      <w:tr>
        <w:trPr>
          <w:cantSplit/>
        </w:trPr>
        <w:tc>
          <w:tcPr>
            <w:tcW w:type="dxa" w:w="4680"/>
            <w:vAlign w:val="center"/>
            <w:tcMar>
              <w:top w:w="80" w:type="dxa"/>
              <w:start w:w="100" w:type="dxa"/>
              <w:bottom w:w="80" w:type="dxa"/>
              <w:end w:w="100" w:type="dxa"/>
            </w:tcMar>
          </w:tcPr>
          <w:p>
            <w:r>
              <w:rPr>
                <w:sz w:val="18"/>
              </w:rPr>
              <w:t>FirstRunStateIntegrityError</w:t>
            </w:r>
          </w:p>
        </w:tc>
        <w:tc>
          <w:tcPr>
            <w:tcW w:type="dxa" w:w="4968"/>
            <w:vAlign w:val="center"/>
            <w:tcMar>
              <w:top w:w="80" w:type="dxa"/>
              <w:start w:w="100" w:type="dxa"/>
              <w:bottom w:w="80" w:type="dxa"/>
              <w:end w:w="100" w:type="dxa"/>
            </w:tcMar>
          </w:tcPr>
          <w:p>
            <w:r>
              <w:rPr>
                <w:sz w:val="18"/>
              </w:rPr>
              <w:t>FIRST_RUN_STATE_INTEGRITY</w:t>
            </w:r>
          </w:p>
        </w:tc>
      </w:tr>
      <w:tr>
        <w:trPr>
          <w:cantSplit/>
        </w:trPr>
        <w:tc>
          <w:tcPr>
            <w:tcW w:type="dxa" w:w="4680"/>
            <w:vAlign w:val="center"/>
            <w:tcMar>
              <w:top w:w="80" w:type="dxa"/>
              <w:start w:w="100" w:type="dxa"/>
              <w:bottom w:w="80" w:type="dxa"/>
              <w:end w:w="100" w:type="dxa"/>
            </w:tcMar>
          </w:tcPr>
          <w:p>
            <w:r>
              <w:rPr>
                <w:sz w:val="18"/>
              </w:rPr>
              <w:t>FirstRunInitializationInProgressError</w:t>
            </w:r>
          </w:p>
        </w:tc>
        <w:tc>
          <w:tcPr>
            <w:tcW w:type="dxa" w:w="4968"/>
            <w:vAlign w:val="center"/>
            <w:tcMar>
              <w:top w:w="80" w:type="dxa"/>
              <w:start w:w="100" w:type="dxa"/>
              <w:bottom w:w="80" w:type="dxa"/>
              <w:end w:w="100" w:type="dxa"/>
            </w:tcMar>
          </w:tcPr>
          <w:p>
            <w:r>
              <w:rPr>
                <w:sz w:val="18"/>
              </w:rPr>
              <w:t>FIRST_RUN_INITIALIZATION_IN_PROGRESS</w:t>
            </w:r>
          </w:p>
        </w:tc>
      </w:tr>
      <w:tr>
        <w:trPr>
          <w:cantSplit/>
        </w:trPr>
        <w:tc>
          <w:tcPr>
            <w:tcW w:type="dxa" w:w="4680"/>
            <w:vAlign w:val="center"/>
            <w:tcMar>
              <w:top w:w="80" w:type="dxa"/>
              <w:start w:w="100" w:type="dxa"/>
              <w:bottom w:w="80" w:type="dxa"/>
              <w:end w:w="100" w:type="dxa"/>
            </w:tcMar>
          </w:tcPr>
          <w:p>
            <w:r>
              <w:rPr>
                <w:sz w:val="18"/>
              </w:rPr>
              <w:t>FirstRunInitializationError</w:t>
            </w:r>
          </w:p>
        </w:tc>
        <w:tc>
          <w:tcPr>
            <w:tcW w:type="dxa" w:w="4968"/>
            <w:vAlign w:val="center"/>
            <w:tcMar>
              <w:top w:w="80" w:type="dxa"/>
              <w:start w:w="100" w:type="dxa"/>
              <w:bottom w:w="80" w:type="dxa"/>
              <w:end w:w="100" w:type="dxa"/>
            </w:tcMar>
          </w:tcPr>
          <w:p>
            <w:r>
              <w:rPr>
                <w:sz w:val="18"/>
              </w:rPr>
              <w:t>FIRST_RUN_INITIALIZATION_FAILED</w:t>
            </w:r>
          </w:p>
        </w:tc>
      </w:tr>
      <w:tr>
        <w:trPr>
          <w:cantSplit/>
        </w:trPr>
        <w:tc>
          <w:tcPr>
            <w:tcW w:type="dxa" w:w="4680"/>
            <w:vAlign w:val="center"/>
            <w:tcMar>
              <w:top w:w="80" w:type="dxa"/>
              <w:start w:w="100" w:type="dxa"/>
              <w:bottom w:w="80" w:type="dxa"/>
              <w:end w:w="100" w:type="dxa"/>
            </w:tcMar>
          </w:tcPr>
          <w:p>
            <w:r>
              <w:rPr>
                <w:sz w:val="18"/>
              </w:rPr>
              <w:t>Any other thrown value</w:t>
            </w:r>
          </w:p>
        </w:tc>
        <w:tc>
          <w:tcPr>
            <w:tcW w:type="dxa" w:w="4968"/>
            <w:vAlign w:val="center"/>
            <w:tcMar>
              <w:top w:w="80" w:type="dxa"/>
              <w:start w:w="100" w:type="dxa"/>
              <w:bottom w:w="80" w:type="dxa"/>
              <w:end w:w="100" w:type="dxa"/>
            </w:tcMar>
          </w:tcPr>
          <w:p>
            <w:r>
              <w:rPr>
                <w:sz w:val="18"/>
              </w:rPr>
              <w:t>INTERNAL_ERROR</w:t>
            </w:r>
          </w:p>
        </w:tc>
      </w:tr>
    </w:tbl>
    <w:p>
      <w:pPr>
        <w:widowControl/>
        <w:spacing w:after="100" w:line="252" w:lineRule="auto"/>
      </w:pPr>
    </w:p>
    <w:p>
      <w:pPr>
        <w:pStyle w:val="ListBullet"/>
        <w:widowControl/>
      </w:pPr>
      <w:r>
        <w:t>Map by instanceof against reviewed HSD-014 classes, not by raw error.name strings.</w:t>
      </w:r>
    </w:p>
    <w:p>
      <w:pPr>
        <w:pStyle w:val="ListBullet"/>
        <w:widowControl/>
      </w:pPr>
      <w:r>
        <w:t>Rebuild or discard the original error before logging/returning; do not retain cause or stack.</w:t>
      </w:r>
    </w:p>
    <w:p>
      <w:pPr>
        <w:pStyle w:val="ListBullet"/>
        <w:widowControl/>
      </w:pPr>
      <w:r>
        <w:t>The IPC response must never include HSD-014 errorType.</w:t>
      </w:r>
    </w:p>
    <w:p>
      <w:pPr>
        <w:pStyle w:val="ListBullet"/>
        <w:widowControl/>
      </w:pPr>
      <w:r>
        <w:t>The logger message may include only fixed channel, fixed IPC code, and sanitizeErrorType(error.name) or another reviewed type helper.</w:t>
      </w:r>
    </w:p>
    <w:p>
      <w:pPr>
        <w:pStyle w:val="ListBullet"/>
        <w:widowControl/>
      </w:pPr>
      <w:r>
        <w:t>Never include error.message, Zod issues, request paths, input values, password, or service result in logs.</w:t>
      </w:r>
    </w:p>
    <w:p>
      <w:pPr>
        <w:pStyle w:val="Heading1"/>
        <w:keepNext/>
        <w:widowControl/>
      </w:pPr>
      <w:r>
        <w:t>16. Handler Registration and Disposal</w:t>
      </w:r>
    </w:p>
    <w:p>
      <w:pPr>
        <w:pStyle w:val="ListBullet"/>
        <w:widowControl/>
      </w:pPr>
      <w:r>
        <w:t>registerApplicationIpcHandlers() must register exactly four owned handlers: two existing app handlers and two first-run handlers.</w:t>
      </w:r>
    </w:p>
    <w:p>
      <w:pPr>
        <w:pStyle w:val="ListBullet"/>
        <w:widowControl/>
      </w:pPr>
      <w:r>
        <w:t>Re-registration removes only these four owned handlers before replacement.</w:t>
      </w:r>
    </w:p>
    <w:p>
      <w:pPr>
        <w:pStyle w:val="ListBullet"/>
        <w:widowControl/>
      </w:pPr>
      <w:r>
        <w:t>The returned disposer removes only these four channels.</w:t>
      </w:r>
    </w:p>
    <w:p>
      <w:pPr>
        <w:pStyle w:val="ListBullet"/>
        <w:widowControl/>
      </w:pPr>
      <w:r>
        <w:t>Unrelated handlers remain registered and untouched.</w:t>
      </w:r>
    </w:p>
    <w:p>
      <w:pPr>
        <w:pStyle w:val="ListBullet"/>
        <w:widowControl/>
      </w:pPr>
      <w:r>
        <w:t>Handler registration order must be deterministic; app channels may remain first, followed by first-run channels.</w:t>
      </w:r>
    </w:p>
    <w:p>
      <w:pPr>
        <w:pStyle w:val="ListBullet"/>
        <w:widowControl/>
      </w:pPr>
      <w:r>
        <w:t>Do not use ipcMain.on, send, postMessage, MessagePort, webContents events, or wildcard routing.</w:t>
      </w:r>
    </w:p>
    <w:p>
      <w:pPr>
        <w:pStyle w:val="CodeBlock"/>
        <w:keepLines w:val="0"/>
        <w:widowControl/>
        <w:spacing w:before="60" w:after="120"/>
      </w:pPr>
      <w:r>
        <w:t>applicationIpcMain.handle(ipcChannels.app.getInfo, ...)</w:t>
        <w:br/>
        <w:t>applicationIpcMain.handle(ipcChannels.app.getHealth, ...)</w:t>
        <w:br/>
        <w:t>applicationIpcMain.handle(ipcChannels.firstRun.getState, ...)</w:t>
        <w:br/>
        <w:t>applicationIpcMain.handle(ipcChannels.firstRun.initialize, ...)</w:t>
        <w:br/>
      </w:r>
    </w:p>
    <w:p>
      <w:pPr>
        <w:pStyle w:val="Heading1"/>
        <w:keepNext/>
        <w:widowControl/>
      </w:pPr>
      <w:r>
        <w:t>17. Production Composition and Lifecycle Wiring</w:t>
      </w:r>
    </w:p>
    <w:p>
      <w:pPr>
        <w:pStyle w:val="Heading2"/>
        <w:keepNext/>
        <w:widowControl/>
      </w:pPr>
      <w:r>
        <w:t>17.1 Production composition factory</w:t>
      </w:r>
    </w:p>
    <w:p>
      <w:pPr>
        <w:pStyle w:val="CodeBlock"/>
        <w:keepLines w:val="0"/>
        <w:widowControl/>
        <w:spacing w:before="60" w:after="120"/>
      </w:pPr>
      <w:r>
        <w:t>createProductionFirstRunBootstrapService({ connection, logger }):</w:t>
        <w:br/>
        <w:t xml:space="preserve">  installationRepository = createInstallationRepository(connection)</w:t>
        <w:br/>
        <w:t xml:space="preserve">  localUserRepository = createLocalUserRepository(connection)</w:t>
        <w:br/>
        <w:t xml:space="preserve">  locationRepository = createLocationRepository(connection)</w:t>
        <w:br/>
        <w:t xml:space="preserve">  auditEventRepository = createAuditEventRepository(connection)</w:t>
        <w:br/>
        <w:t xml:space="preserve">  passwordCredentialService = createPasswordCredentialService(</w:t>
        <w:br/>
        <w:t xml:space="preserve">    createNodePasswordCryptoProvider()</w:t>
        <w:br/>
        <w:t xml:space="preserve">  )</w:t>
        <w:br/>
        <w:t xml:space="preserve">  transactionExecutor = createDatabaseTransactionExecutor({</w:t>
        <w:br/>
        <w:t xml:space="preserve">    connection,</w:t>
        <w:br/>
        <w:t xml:space="preserve">    idGenerator: createSystemEntityIdGenerator(),</w:t>
        <w:br/>
        <w:t xml:space="preserve">    clock: createSystemUtcClock(),</w:t>
        <w:br/>
        <w:t xml:space="preserve">    logger</w:t>
        <w:br/>
        <w:t xml:space="preserve">  })</w:t>
        <w:br/>
        <w:t xml:space="preserve">  return createFirstRunBootstrapService(...)</w:t>
        <w:br/>
      </w:r>
    </w:p>
    <w:p>
      <w:pPr>
        <w:pStyle w:val="ListBullet"/>
        <w:widowControl/>
      </w:pPr>
      <w:r>
        <w:t>The exact factory name may vary, but it must live in main-process code and return the HSD-014 service only.</w:t>
      </w:r>
    </w:p>
    <w:p>
      <w:pPr>
        <w:pStyle w:val="ListBullet"/>
        <w:widowControl/>
      </w:pPr>
      <w:r>
        <w:t>Do not expose the connection, repositories, password provider, transaction executor, or dependency object.</w:t>
      </w:r>
    </w:p>
    <w:p>
      <w:pPr>
        <w:pStyle w:val="ListBullet"/>
        <w:widowControl/>
      </w:pPr>
      <w:r>
        <w:t>Create one service instance for the application lifecycle; do not create one per request.</w:t>
      </w:r>
    </w:p>
    <w:p>
      <w:pPr>
        <w:pStyle w:val="ListBullet"/>
        <w:widowControl/>
      </w:pPr>
      <w:r>
        <w:t>Use the same initialized SQLite connection for repositories and transaction executor.</w:t>
      </w:r>
    </w:p>
    <w:p>
      <w:pPr>
        <w:pStyle w:val="ListBullet"/>
        <w:widowControl/>
      </w:pPr>
      <w:r>
        <w:t>Do not introduce a service locator or global mutable singleton.</w:t>
      </w:r>
    </w:p>
    <w:p>
      <w:pPr>
        <w:pStyle w:val="Heading2"/>
        <w:keepNext/>
        <w:widowControl/>
      </w:pPr>
      <w:r>
        <w:t>17.2 Lifecycle order</w:t>
      </w:r>
    </w:p>
    <w:p>
      <w:pPr>
        <w:pStyle w:val="CodeBlock"/>
        <w:keepLines w:val="0"/>
        <w:widowControl/>
        <w:spacing w:before="60" w:after="120"/>
      </w:pPr>
      <w:r>
        <w:t>databaseRuntime.initialize()</w:t>
        <w:br/>
        <w:t>connection = databaseRuntime.getConnection()</w:t>
        <w:br/>
        <w:t>firstRunService = createProductionFirstRunBootstrapService(...)</w:t>
        <w:br/>
        <w:t>registerApplicationIpcHandlers(ipcMain, {</w:t>
        <w:br/>
        <w:t xml:space="preserve">  existing app dependencies,</w:t>
        <w:br/>
        <w:t xml:space="preserve">  firstRun: {</w:t>
        <w:br/>
        <w:t xml:space="preserve">    navigationPolicy,</w:t>
        <w:br/>
        <w:t xml:space="preserve">    firstRunBootstrapService: firstRunService,</w:t>
        <w:br/>
        <w:t xml:space="preserve">    logger: console</w:t>
        <w:br/>
        <w:t xml:space="preserve">  }</w:t>
        <w:br/>
        <w:t>})</w:t>
        <w:br/>
        <w:t>registerApplicationShutdown(...)</w:t>
        <w:br/>
        <w:t>createOrFocusMainWindow(...)</w:t>
        <w:br/>
      </w:r>
    </w:p>
    <w:p>
      <w:pPr>
        <w:pStyle w:val="ListBullet"/>
        <w:widowControl/>
      </w:pPr>
      <w:r>
        <w:t>No service method may be called during this composition sequence.</w:t>
      </w:r>
    </w:p>
    <w:p>
      <w:pPr>
        <w:pStyle w:val="ListBullet"/>
        <w:widowControl/>
      </w:pPr>
      <w:r>
        <w:t>A fresh launch still contains zero installation, user, location, and audit rows until initialize IPC is explicitly invoked.</w:t>
      </w:r>
    </w:p>
    <w:p>
      <w:pPr>
        <w:pStyle w:val="ListBullet"/>
        <w:widowControl/>
      </w:pPr>
      <w:r>
        <w:t>Database initialization failure still quits before handlers/window creation.</w:t>
      </w:r>
    </w:p>
    <w:p>
      <w:pPr>
        <w:pStyle w:val="ListBullet"/>
        <w:widowControl/>
      </w:pPr>
      <w:r>
        <w:t>Shutdown still disposes handlers before/while closing the database through the existing reviewed path.</w:t>
      </w:r>
    </w:p>
    <w:p>
      <w:pPr>
        <w:pStyle w:val="ListBullet"/>
        <w:widowControl/>
      </w:pPr>
      <w:r>
        <w:t>Do not change navigation policy, BrowserWindow webPreferences, contextIsolation, sandbox, nodeIntegration, CSP, session security, or single-instance behavior.</w:t>
      </w:r>
    </w:p>
    <w:p>
      <w:pPr>
        <w:pStyle w:val="Heading1"/>
        <w:keepNext/>
        <w:widowControl/>
      </w:pPr>
      <w:r>
        <w:t>18. Preload Implementation</w:t>
      </w:r>
    </w:p>
    <w:p>
      <w:pPr>
        <w:pStyle w:val="CodeBlock"/>
        <w:keepLines w:val="0"/>
        <w:widowControl/>
        <w:spacing w:before="60" w:after="120"/>
      </w:pPr>
      <w:r>
        <w:t>return Object.freeze({</w:t>
        <w:br/>
        <w:t xml:space="preserve">  app: Object.freeze({</w:t>
        <w:br/>
        <w:t xml:space="preserve">    getInfo: ...,</w:t>
        <w:br/>
        <w:t xml:space="preserve">    getHealth: ...</w:t>
        <w:br/>
        <w:t xml:space="preserve">  }),</w:t>
        <w:br/>
        <w:t xml:space="preserve">  firstRun: Object.freeze({</w:t>
        <w:br/>
        <w:t xml:space="preserve">    getState: () =&gt; invokeValidated({</w:t>
        <w:br/>
        <w:t xml:space="preserve">      channel: ipcChannels.firstRun.getState,</w:t>
        <w:br/>
        <w:t xml:space="preserve">      request: firstRunGetStateRequestSchema.parse({}),</w:t>
        <w:br/>
        <w:t xml:space="preserve">      resultSchema: firstRunGetStateResultSchema</w:t>
        <w:br/>
        <w:t xml:space="preserve">    }),</w:t>
        <w:br/>
        <w:t xml:space="preserve">    initialize: (request) =&gt; {</w:t>
        <w:br/>
        <w:t xml:space="preserve">      const parsed = firstRunInitializeRequestSchema.safeParse(request)</w:t>
        <w:br/>
        <w:t xml:space="preserve">      if (!parsed.success) {</w:t>
        <w:br/>
        <w:t xml:space="preserve">        return Promise.resolve(createFirstRunFailure('VALIDATION_FAILED'))</w:t>
        <w:br/>
        <w:t xml:space="preserve">      }</w:t>
        <w:br/>
        <w:t xml:space="preserve">      return invokeValidated({</w:t>
        <w:br/>
        <w:t xml:space="preserve">        channel: ipcChannels.firstRun.initialize,</w:t>
        <w:br/>
        <w:t xml:space="preserve">        request: parsed.data,</w:t>
        <w:br/>
        <w:t xml:space="preserve">        resultSchema: firstRunInitializeResultSchema</w:t>
        <w:br/>
        <w:t xml:space="preserve">      })</w:t>
        <w:br/>
        <w:t xml:space="preserve">    }</w:t>
        <w:br/>
        <w:t xml:space="preserve">  })</w:t>
        <w:br/>
        <w:t>})</w:t>
        <w:br/>
      </w:r>
    </w:p>
    <w:p>
      <w:pPr>
        <w:pStyle w:val="ListBullet"/>
        <w:widowControl/>
      </w:pPr>
      <w:r>
        <w:t>Preserve existing app behavior and result validation.</w:t>
      </w:r>
    </w:p>
    <w:p>
      <w:pPr>
        <w:pStyle w:val="ListBullet"/>
        <w:widowControl/>
      </w:pPr>
      <w:r>
        <w:t>Freeze the root API and nested app/firstRun groups.</w:t>
      </w:r>
    </w:p>
    <w:p>
      <w:pPr>
        <w:pStyle w:val="ListBullet"/>
        <w:widowControl/>
      </w:pPr>
      <w:r>
        <w:t>getState accepts no renderer argument and always sends exactly {}.</w:t>
      </w:r>
    </w:p>
    <w:p>
      <w:pPr>
        <w:pStyle w:val="ListBullet"/>
        <w:widowControl/>
      </w:pPr>
      <w:r>
        <w:t>initialize accepts one typed command and never a channel or options argument.</w:t>
      </w:r>
    </w:p>
    <w:p>
      <w:pPr>
        <w:pStyle w:val="ListBullet"/>
        <w:widowControl/>
      </w:pPr>
      <w:r>
        <w:t>Invalid local request returns VALIDATION_FAILED without ipcRenderer.invoke.</w:t>
      </w:r>
    </w:p>
    <w:p>
      <w:pPr>
        <w:pStyle w:val="ListBullet"/>
        <w:widowControl/>
      </w:pPr>
      <w:r>
        <w:t>Malformed or rejected IPC responses return IPC_UNAVAILABLE with the fixed message.</w:t>
      </w:r>
    </w:p>
    <w:p>
      <w:pPr>
        <w:pStyle w:val="ListBullet"/>
        <w:widowControl/>
      </w:pPr>
      <w:r>
        <w:t>Do not catch and return raw Electron errors.</w:t>
      </w:r>
    </w:p>
    <w:p>
      <w:pPr>
        <w:pStyle w:val="ListBullet"/>
        <w:widowControl/>
      </w:pPr>
      <w:r>
        <w:t>Do not store requests in module state, queues, caches, debug variables, or event listeners.</w:t>
      </w:r>
    </w:p>
    <w:p>
      <w:pPr>
        <w:pStyle w:val="Heading1"/>
        <w:keepNext/>
        <w:widowControl/>
      </w:pPr>
      <w:r>
        <w:t>19. Password and Sensitive-Data Rules</w:t>
      </w:r>
    </w:p>
    <w:p>
      <w:pPr>
        <w:pStyle w:val="ListBullet"/>
        <w:widowControl/>
      </w:pPr>
      <w:r>
        <w:t>The temporary password is the only credential value allowed in a first-run IPC request.</w:t>
      </w:r>
    </w:p>
    <w:p>
      <w:pPr>
        <w:pStyle w:val="ListBullet"/>
        <w:widowControl/>
      </w:pPr>
      <w:r>
        <w:t>It must never appear in any response schema, success data, failure object, log, snapshot, source-code fixture outside tests, or completion report.</w:t>
      </w:r>
    </w:p>
    <w:p>
      <w:pPr>
        <w:pStyle w:val="ListBullet"/>
        <w:widowControl/>
      </w:pPr>
      <w:r>
        <w:t>Do not include username, display name, location name, geography, directions, deployment name, or timezone in handler logs.</w:t>
      </w:r>
    </w:p>
    <w:p>
      <w:pPr>
        <w:pStyle w:val="ListBullet"/>
        <w:widowControl/>
      </w:pPr>
      <w:r>
        <w:t>Do not include HSD-014 result records, audit metadata, IDs, timestamps, hashes, salts, credential strings, SQL, database paths, or raw rows in renderer-visible values.</w:t>
      </w:r>
    </w:p>
    <w:p>
      <w:pPr>
        <w:pStyle w:val="ListBullet"/>
        <w:widowControl/>
      </w:pPr>
      <w:r>
        <w:t>JavaScript strings cannot be reliably zeroized; minimize copies and avoid retaining request references after the awaited call completes.</w:t>
      </w:r>
    </w:p>
    <w:p>
      <w:pPr>
        <w:pStyle w:val="ListBullet"/>
        <w:widowControl/>
      </w:pPr>
      <w:r>
        <w:t>Tests may use a deterministic temporary password constant but must assert that it is absent from responses, errors, logs, and serialized API results.</w:t>
      </w:r>
    </w:p>
    <w:p>
      <w:pPr>
        <w:pStyle w:val="Heading1"/>
        <w:keepNext/>
        <w:widowControl/>
      </w:pPr>
      <w:r>
        <w:t>20. Required Tests</w:t>
      </w:r>
    </w:p>
    <w:p>
      <w:pPr>
        <w:pStyle w:val="Heading2"/>
        <w:keepNext/>
        <w:widowControl/>
      </w:pPr>
      <w:r>
        <w:t>20.1 Shared-contract tests</w:t>
      </w:r>
    </w:p>
    <w:p>
      <w:pPr>
        <w:pStyle w:val="ListBullet"/>
        <w:widowControl/>
      </w:pPr>
      <w:r>
        <w:t>Assert ipcChannels contains exactly app and firstRun groups with four unique approved strings.</w:t>
      </w:r>
    </w:p>
    <w:p>
      <w:pPr>
        <w:pStyle w:val="ListBullet"/>
        <w:widowControl/>
      </w:pPr>
      <w:r>
        <w:t>Assert get-state accepts only an exact empty object.</w:t>
      </w:r>
    </w:p>
    <w:p>
      <w:pPr>
        <w:pStyle w:val="ListBullet"/>
        <w:widowControl/>
      </w:pPr>
      <w:r>
        <w:t>Assert initialize accepts one exact valid request and rejects missing, extra, undefined optional, symbol, function, bigint, array, and wrong-type fields.</w:t>
      </w:r>
    </w:p>
    <w:p>
      <w:pPr>
        <w:pStyle w:val="ListBullet"/>
        <w:widowControl/>
      </w:pPr>
      <w:r>
        <w:t>Assert coarse transport limits reject oversized strings but do not normalize or alter accepted strings.</w:t>
      </w:r>
    </w:p>
    <w:p>
      <w:pPr>
        <w:pStyle w:val="ListBullet"/>
        <w:widowControl/>
      </w:pPr>
      <w:r>
        <w:t>Assert only reviewed location type codes are accepted.</w:t>
      </w:r>
    </w:p>
    <w:p>
      <w:pPr>
        <w:pStyle w:val="ListBullet"/>
        <w:widowControl/>
      </w:pPr>
      <w:r>
        <w:t>Assert public state/result schemas reject IDs, timestamps, installation objects, users, locations, auditEvents, metadata, credentials, normalized keys, extra fields, and arbitrary messages.</w:t>
      </w:r>
    </w:p>
    <w:p>
      <w:pPr>
        <w:pStyle w:val="ListBullet"/>
        <w:widowControl/>
      </w:pPr>
      <w:r>
        <w:t>Assert every success and failure envelope is structured-clone safe.</w:t>
      </w:r>
    </w:p>
    <w:p>
      <w:pPr>
        <w:pStyle w:val="ListBullet"/>
        <w:widowControl/>
      </w:pPr>
      <w:r>
        <w:t>Assert operation-specific error code/message combinations are exact and mismatched messages fail.</w:t>
      </w:r>
    </w:p>
    <w:p>
      <w:pPr>
        <w:pStyle w:val="Heading2"/>
        <w:keepNext/>
        <w:widowControl/>
      </w:pPr>
      <w:r>
        <w:t>20.2 Main-handler unit tests</w:t>
      </w:r>
    </w:p>
    <w:p>
      <w:pPr>
        <w:pStyle w:val="ListBullet"/>
        <w:widowControl/>
      </w:pPr>
      <w:r>
        <w:t>getState returns each of the three minimized state variants.</w:t>
      </w:r>
    </w:p>
    <w:p>
      <w:pPr>
        <w:pStyle w:val="ListBullet"/>
        <w:widowControl/>
      </w:pPr>
      <w:r>
        <w:t>INITIALIZED strips installation ID and timestamps.</w:t>
      </w:r>
    </w:p>
    <w:p>
      <w:pPr>
        <w:pStyle w:val="ListBullet"/>
        <w:widowControl/>
      </w:pPr>
      <w:r>
        <w:t>initialize passes the exact parsed command to HSD-014 and returns only initialized public state.</w:t>
      </w:r>
    </w:p>
    <w:p>
      <w:pPr>
        <w:pStyle w:val="ListBullet"/>
        <w:widowControl/>
      </w:pPr>
      <w:r>
        <w:t>initialize strips administrator, location, audit events, IDs, timestamps, metadata, and credentials from success.</w:t>
      </w:r>
    </w:p>
    <w:p>
      <w:pPr>
        <w:pStyle w:val="ListBullet"/>
        <w:widowControl/>
      </w:pPr>
      <w:r>
        <w:t>Forbidden sender is rejected before schema parsing and service invocation.</w:t>
      </w:r>
    </w:p>
    <w:p>
      <w:pPr>
        <w:pStyle w:val="ListBullet"/>
        <w:widowControl/>
      </w:pPr>
      <w:r>
        <w:t>Malformed request is rejected before service invocation.</w:t>
      </w:r>
    </w:p>
    <w:p>
      <w:pPr>
        <w:pStyle w:val="ListBullet"/>
        <w:widowControl/>
      </w:pPr>
      <w:r>
        <w:t>Map each HSD-014 controlled error to the exact IPC code.</w:t>
      </w:r>
    </w:p>
    <w:p>
      <w:pPr>
        <w:pStyle w:val="ListBullet"/>
        <w:widowControl/>
      </w:pPr>
      <w:r>
        <w:t>Map unknown throws and malformed trusted output to INTERNAL_ERROR.</w:t>
      </w:r>
    </w:p>
    <w:p>
      <w:pPr>
        <w:pStyle w:val="ListBullet"/>
        <w:widowControl/>
      </w:pPr>
      <w:r>
        <w:t>Prove logs contain channel/code/reviewed error type only and no request/result/error message data.</w:t>
      </w:r>
    </w:p>
    <w:p>
      <w:pPr>
        <w:pStyle w:val="ListBullet"/>
        <w:widowControl/>
      </w:pPr>
      <w:r>
        <w:t>Prove no handler throws a raw error to the caller.</w:t>
      </w:r>
    </w:p>
    <w:p>
      <w:pPr>
        <w:pStyle w:val="Heading2"/>
        <w:keepNext/>
        <w:widowControl/>
      </w:pPr>
      <w:r>
        <w:t>20.3 Registration tests</w:t>
      </w:r>
    </w:p>
    <w:p>
      <w:pPr>
        <w:pStyle w:val="ListBullet"/>
        <w:widowControl/>
      </w:pPr>
      <w:r>
        <w:t>Register exactly four owned handlers and preserve unrelated handlers.</w:t>
      </w:r>
    </w:p>
    <w:p>
      <w:pPr>
        <w:pStyle w:val="ListBullet"/>
        <w:widowControl/>
      </w:pPr>
      <w:r>
        <w:t>Re-register after removing only four owned channels.</w:t>
      </w:r>
    </w:p>
    <w:p>
      <w:pPr>
        <w:pStyle w:val="ListBullet"/>
        <w:widowControl/>
      </w:pPr>
      <w:r>
        <w:t>Dispose only four owned channels.</w:t>
      </w:r>
    </w:p>
    <w:p>
      <w:pPr>
        <w:pStyle w:val="ListBullet"/>
        <w:widowControl/>
      </w:pPr>
      <w:r>
        <w:t>Assert exact listener functions are associated with exact channels.</w:t>
      </w:r>
    </w:p>
    <w:p>
      <w:pPr>
        <w:pStyle w:val="Heading2"/>
        <w:keepNext/>
        <w:widowControl/>
      </w:pPr>
      <w:r>
        <w:t>20.4 Preload tests</w:t>
      </w:r>
    </w:p>
    <w:p>
      <w:pPr>
        <w:pStyle w:val="ListBullet"/>
        <w:widowControl/>
      </w:pPr>
      <w:r>
        <w:t>API root exposes exactly app and firstRun; firstRun exposes exactly getState and initialize.</w:t>
      </w:r>
    </w:p>
    <w:p>
      <w:pPr>
        <w:pStyle w:val="ListBullet"/>
        <w:widowControl/>
      </w:pPr>
      <w:r>
        <w:t>Root and nested groups are frozen.</w:t>
      </w:r>
    </w:p>
    <w:p>
      <w:pPr>
        <w:pStyle w:val="ListBullet"/>
        <w:widowControl/>
      </w:pPr>
      <w:r>
        <w:t>No invoke, send, on, once, removeListener, channel, ipcRenderer, or Electron object is exposed.</w:t>
      </w:r>
    </w:p>
    <w:p>
      <w:pPr>
        <w:pStyle w:val="ListBullet"/>
        <w:widowControl/>
      </w:pPr>
      <w:r>
        <w:t>getState invokes the exact fixed channel with {}.</w:t>
      </w:r>
    </w:p>
    <w:p>
      <w:pPr>
        <w:pStyle w:val="ListBullet"/>
        <w:widowControl/>
      </w:pPr>
      <w:r>
        <w:t>initialize invokes the exact fixed channel with the schema-parsed command.</w:t>
      </w:r>
    </w:p>
    <w:p>
      <w:pPr>
        <w:pStyle w:val="ListBullet"/>
        <w:widowControl/>
      </w:pPr>
      <w:r>
        <w:t>Invalid local initialize input returns VALIDATION_FAILED and does not invoke.</w:t>
      </w:r>
    </w:p>
    <w:p>
      <w:pPr>
        <w:pStyle w:val="ListBullet"/>
        <w:widowControl/>
      </w:pPr>
      <w:r>
        <w:t>Malformed success/failure envelopes and invoke rejection become IPC_UNAVAILABLE.</w:t>
      </w:r>
    </w:p>
    <w:p>
      <w:pPr>
        <w:pStyle w:val="ListBullet"/>
        <w:widowControl/>
      </w:pPr>
      <w:r>
        <w:t>Responses and serialized failures contain no password or raw error values.</w:t>
      </w:r>
    </w:p>
    <w:p>
      <w:pPr>
        <w:pStyle w:val="Heading2"/>
        <w:keepNext/>
        <w:widowControl/>
      </w:pPr>
      <w:r>
        <w:t>20.5 File-backed integration test</w:t>
      </w:r>
    </w:p>
    <w:p>
      <w:pPr>
        <w:pStyle w:val="ListBullet"/>
        <w:widowControl/>
      </w:pPr>
      <w:r>
        <w:t>Use a temporary file-backed migrated SQLite database with production pragmas.</w:t>
      </w:r>
    </w:p>
    <w:p>
      <w:pPr>
        <w:pStyle w:val="ListBullet"/>
        <w:widowControl/>
      </w:pPr>
      <w:r>
        <w:t>Construct production repositories/service/transaction/password dependencies or the new production composition factory.</w:t>
      </w:r>
    </w:p>
    <w:p>
      <w:pPr>
        <w:pStyle w:val="ListBullet"/>
        <w:widowControl/>
      </w:pPr>
      <w:r>
        <w:t>Call getState handler with an allowed event and verify REQUIRED plus zero bootstrap rows.</w:t>
      </w:r>
    </w:p>
    <w:p>
      <w:pPr>
        <w:pStyle w:val="ListBullet"/>
        <w:widowControl/>
      </w:pPr>
      <w:r>
        <w:t>Call initialize handler with a valid request and verify a safe INITIALIZED response with deploymentName/timeZone only.</w:t>
      </w:r>
    </w:p>
    <w:p>
      <w:pPr>
        <w:pStyle w:val="ListBullet"/>
        <w:widowControl/>
      </w:pPr>
      <w:r>
        <w:t>Verify SQLite contains exactly one installation, one administrator, one location, and three audit events as already proven by HSD-014.</w:t>
      </w:r>
    </w:p>
    <w:p>
      <w:pPr>
        <w:pStyle w:val="ListBullet"/>
        <w:widowControl/>
      </w:pPr>
      <w:r>
        <w:t>Verify the response and logs contain no password, IDs, timestamps, audit actions/metadata, hashes, salts, SQL, or database path.</w:t>
      </w:r>
    </w:p>
    <w:p>
      <w:pPr>
        <w:pStyle w:val="ListBullet"/>
        <w:widowControl/>
      </w:pPr>
      <w:r>
        <w:t>Call getState again and verify safe INITIALIZED public state.</w:t>
      </w:r>
    </w:p>
    <w:p>
      <w:pPr>
        <w:pStyle w:val="ListBullet"/>
        <w:widowControl/>
      </w:pPr>
      <w:r>
        <w:t>Repeat initialization and verify FIRST_RUN_ALREADY_INITIALIZED without additional rows.</w:t>
      </w:r>
    </w:p>
    <w:p>
      <w:pPr>
        <w:pStyle w:val="ListBullet"/>
        <w:widowControl/>
      </w:pPr>
      <w:r>
        <w:t>Use a forbidden/subframe event and verify no database or service work.</w:t>
      </w:r>
    </w:p>
    <w:p>
      <w:pPr>
        <w:pStyle w:val="Heading2"/>
        <w:keepNext/>
        <w:widowControl/>
      </w:pPr>
      <w:r>
        <w:t>20.6 Lifecycle and scope tests</w:t>
      </w:r>
    </w:p>
    <w:p>
      <w:pPr>
        <w:pStyle w:val="ListBullet"/>
        <w:widowControl/>
      </w:pPr>
      <w:r>
        <w:t>Prove lifecycle constructs the first-run service only after databaseRuntime.initialize() and getConnection().</w:t>
      </w:r>
    </w:p>
    <w:p>
      <w:pPr>
        <w:pStyle w:val="ListBullet"/>
        <w:widowControl/>
      </w:pPr>
      <w:r>
        <w:t>Prove startup composition never calls getState or initialize.</w:t>
      </w:r>
    </w:p>
    <w:p>
      <w:pPr>
        <w:pStyle w:val="ListBullet"/>
        <w:widowControl/>
      </w:pPr>
      <w:r>
        <w:t>Prove current renderer source does not import/use firstRun.</w:t>
      </w:r>
    </w:p>
    <w:p>
      <w:pPr>
        <w:pStyle w:val="ListBullet"/>
        <w:widowControl/>
      </w:pPr>
      <w:r>
        <w:t>Prove current visible app health/status contracts remain unchanged.</w:t>
      </w:r>
    </w:p>
    <w:p>
      <w:pPr>
        <w:pStyle w:val="ListBullet"/>
        <w:widowControl/>
      </w:pPr>
      <w:r>
        <w:t>Search shared/preload code for main/database/security imports and main handler code for direct SQL or credential serialization.</w:t>
      </w:r>
    </w:p>
    <w:p>
      <w:pPr>
        <w:pStyle w:val="ListBullet"/>
        <w:widowControl/>
      </w:pPr>
      <w:r>
        <w:t>Prove no migration, package, renderer, CSP, navigation, or BrowserWindow security file changed unless explicitly listed and justified.</w:t>
      </w:r>
    </w:p>
    <w:p>
      <w:pPr>
        <w:pStyle w:val="Heading1"/>
        <w:keepNext/>
        <w:widowControl/>
      </w:pPr>
      <w:r>
        <w:t>21. Documentation Requirements</w:t>
      </w:r>
    </w:p>
    <w:p>
      <w:pPr>
        <w:pStyle w:val="ListBullet"/>
        <w:widowControl/>
      </w:pPr>
      <w:r>
        <w:t>Document exact channel names and method signatures.</w:t>
      </w:r>
    </w:p>
    <w:p>
      <w:pPr>
        <w:pStyle w:val="ListBullet"/>
        <w:widowControl/>
      </w:pPr>
      <w:r>
        <w:t>Document sender-first validation and why subframes/unapproved URLs are rejected.</w:t>
      </w:r>
    </w:p>
    <w:p>
      <w:pPr>
        <w:pStyle w:val="ListBullet"/>
        <w:widowControl/>
      </w:pPr>
      <w:r>
        <w:t>Document the distinction between transport validation and authoritative HSD-014 domain validation.</w:t>
      </w:r>
    </w:p>
    <w:p>
      <w:pPr>
        <w:pStyle w:val="ListBullet"/>
        <w:widowControl/>
      </w:pPr>
      <w:r>
        <w:t>Document public-state minimization and all internal data intentionally omitted.</w:t>
      </w:r>
    </w:p>
    <w:p>
      <w:pPr>
        <w:pStyle w:val="ListBullet"/>
        <w:widowControl/>
      </w:pPr>
      <w:r>
        <w:t>Document controlled error mappings and fixed renderer-safe messages.</w:t>
      </w:r>
    </w:p>
    <w:p>
      <w:pPr>
        <w:pStyle w:val="ListBullet"/>
        <w:widowControl/>
      </w:pPr>
      <w:r>
        <w:t>Document lifecycle composition order and the prohibition on startup setup invocation.</w:t>
      </w:r>
    </w:p>
    <w:p>
      <w:pPr>
        <w:pStyle w:val="ListBullet"/>
        <w:widowControl/>
      </w:pPr>
      <w:r>
        <w:t>Document preload fixed-method design and malformed-envelope IPC_UNAVAILABLE behavior.</w:t>
      </w:r>
    </w:p>
    <w:p>
      <w:pPr>
        <w:pStyle w:val="ListBullet"/>
        <w:widowControl/>
      </w:pPr>
      <w:r>
        <w:t>Document that the renderer setup screen, login, password change, and navigation remain deferred.</w:t>
      </w:r>
    </w:p>
    <w:p>
      <w:pPr>
        <w:pStyle w:val="Heading1"/>
        <w:keepNext/>
        <w:widowControl/>
      </w:pPr>
      <w:r>
        <w:t>22. Acceptance Criteria</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088"/>
            <w:vAlign w:val="center"/>
            <w:tcMar>
              <w:top w:w="80" w:type="dxa"/>
              <w:start w:w="100" w:type="dxa"/>
              <w:bottom w:w="80" w:type="dxa"/>
              <w:end w:w="100" w:type="dxa"/>
            </w:tcMar>
            <w:shd w:fill="4472C4"/>
          </w:tcPr>
          <w:p>
            <w:r>
              <w:rPr>
                <w:b/>
                <w:color w:val="FFFFFF"/>
                <w:sz w:val="18"/>
              </w:rPr>
              <w:t>Criterion</w:t>
            </w:r>
          </w:p>
        </w:tc>
        <w:tc>
          <w:tcPr>
            <w:tcW w:type="dxa" w:w="7560"/>
            <w:vAlign w:val="center"/>
            <w:tcMar>
              <w:top w:w="80" w:type="dxa"/>
              <w:start w:w="100" w:type="dxa"/>
              <w:bottom w:w="80" w:type="dxa"/>
              <w:end w:w="100" w:type="dxa"/>
            </w:tcMar>
            <w:shd w:fill="4472C4"/>
          </w:tcPr>
          <w:p>
            <w:r>
              <w:rPr>
                <w:b/>
                <w:color w:val="FFFFFF"/>
                <w:sz w:val="18"/>
              </w:rPr>
              <w:t>Pass condition</w:t>
            </w:r>
          </w:p>
        </w:tc>
      </w:tr>
      <w:tr>
        <w:trPr>
          <w:cantSplit/>
        </w:trPr>
        <w:tc>
          <w:tcPr>
            <w:tcW w:type="dxa" w:w="2088"/>
            <w:vAlign w:val="center"/>
            <w:tcMar>
              <w:top w:w="80" w:type="dxa"/>
              <w:start w:w="100" w:type="dxa"/>
              <w:bottom w:w="80" w:type="dxa"/>
              <w:end w:w="100" w:type="dxa"/>
            </w:tcMar>
          </w:tcPr>
          <w:p>
            <w:r>
              <w:rPr>
                <w:sz w:val="18"/>
              </w:rPr>
              <w:t>Baseline</w:t>
            </w:r>
          </w:p>
        </w:tc>
        <w:tc>
          <w:tcPr>
            <w:tcW w:type="dxa" w:w="7560"/>
            <w:vAlign w:val="center"/>
            <w:tcMar>
              <w:top w:w="80" w:type="dxa"/>
              <w:start w:w="100" w:type="dxa"/>
              <w:bottom w:w="80" w:type="dxa"/>
              <w:end w:w="100" w:type="dxa"/>
            </w:tcMar>
          </w:tcPr>
          <w:p>
            <w:r>
              <w:rPr>
                <w:sz w:val="18"/>
              </w:rPr>
              <w:t>Branch starts from approved HSD-014 merge abe0863 or reviewed equivalent.</w:t>
            </w:r>
          </w:p>
        </w:tc>
      </w:tr>
      <w:tr>
        <w:trPr>
          <w:cantSplit/>
        </w:trPr>
        <w:tc>
          <w:tcPr>
            <w:tcW w:type="dxa" w:w="2088"/>
            <w:vAlign w:val="center"/>
            <w:tcMar>
              <w:top w:w="80" w:type="dxa"/>
              <w:start w:w="100" w:type="dxa"/>
              <w:bottom w:w="80" w:type="dxa"/>
              <w:end w:w="100" w:type="dxa"/>
            </w:tcMar>
          </w:tcPr>
          <w:p>
            <w:r>
              <w:rPr>
                <w:sz w:val="18"/>
              </w:rPr>
              <w:t>Channels</w:t>
            </w:r>
          </w:p>
        </w:tc>
        <w:tc>
          <w:tcPr>
            <w:tcW w:type="dxa" w:w="7560"/>
            <w:vAlign w:val="center"/>
            <w:tcMar>
              <w:top w:w="80" w:type="dxa"/>
              <w:start w:w="100" w:type="dxa"/>
              <w:bottom w:w="80" w:type="dxa"/>
              <w:end w:w="100" w:type="dxa"/>
            </w:tcMar>
          </w:tcPr>
          <w:p>
            <w:r>
              <w:rPr>
                <w:sz w:val="18"/>
              </w:rPr>
              <w:t>Exactly two new fixed first-run channels; all four application channels unique.</w:t>
            </w:r>
          </w:p>
        </w:tc>
      </w:tr>
      <w:tr>
        <w:trPr>
          <w:cantSplit/>
        </w:trPr>
        <w:tc>
          <w:tcPr>
            <w:tcW w:type="dxa" w:w="2088"/>
            <w:vAlign w:val="center"/>
            <w:tcMar>
              <w:top w:w="80" w:type="dxa"/>
              <w:start w:w="100" w:type="dxa"/>
              <w:bottom w:w="80" w:type="dxa"/>
              <w:end w:w="100" w:type="dxa"/>
            </w:tcMar>
          </w:tcPr>
          <w:p>
            <w:r>
              <w:rPr>
                <w:sz w:val="18"/>
              </w:rPr>
              <w:t>Requests</w:t>
            </w:r>
          </w:p>
        </w:tc>
        <w:tc>
          <w:tcPr>
            <w:tcW w:type="dxa" w:w="7560"/>
            <w:vAlign w:val="center"/>
            <w:tcMar>
              <w:top w:w="80" w:type="dxa"/>
              <w:start w:w="100" w:type="dxa"/>
              <w:bottom w:w="80" w:type="dxa"/>
              <w:end w:w="100" w:type="dxa"/>
            </w:tcMar>
          </w:tcPr>
          <w:p>
            <w:r>
              <w:rPr>
                <w:sz w:val="18"/>
              </w:rPr>
              <w:t>Strict shared schemas with exact nested shape, nullability, safe transport limits, and no normalization.</w:t>
            </w:r>
          </w:p>
        </w:tc>
      </w:tr>
      <w:tr>
        <w:trPr>
          <w:cantSplit/>
        </w:trPr>
        <w:tc>
          <w:tcPr>
            <w:tcW w:type="dxa" w:w="2088"/>
            <w:vAlign w:val="center"/>
            <w:tcMar>
              <w:top w:w="80" w:type="dxa"/>
              <w:start w:w="100" w:type="dxa"/>
              <w:bottom w:w="80" w:type="dxa"/>
              <w:end w:w="100" w:type="dxa"/>
            </w:tcMar>
          </w:tcPr>
          <w:p>
            <w:r>
              <w:rPr>
                <w:sz w:val="18"/>
              </w:rPr>
              <w:t>Sender</w:t>
            </w:r>
          </w:p>
        </w:tc>
        <w:tc>
          <w:tcPr>
            <w:tcW w:type="dxa" w:w="7560"/>
            <w:vAlign w:val="center"/>
            <w:tcMar>
              <w:top w:w="80" w:type="dxa"/>
              <w:start w:w="100" w:type="dxa"/>
              <w:bottom w:w="80" w:type="dxa"/>
              <w:end w:w="100" w:type="dxa"/>
            </w:tcMar>
          </w:tcPr>
          <w:p>
            <w:r>
              <w:rPr>
                <w:sz w:val="18"/>
              </w:rPr>
              <w:t>Main-frame navigation policy check occurs before parsing or service invocation.</w:t>
            </w:r>
          </w:p>
        </w:tc>
      </w:tr>
      <w:tr>
        <w:trPr>
          <w:cantSplit/>
        </w:trPr>
        <w:tc>
          <w:tcPr>
            <w:tcW w:type="dxa" w:w="2088"/>
            <w:vAlign w:val="center"/>
            <w:tcMar>
              <w:top w:w="80" w:type="dxa"/>
              <w:start w:w="100" w:type="dxa"/>
              <w:bottom w:w="80" w:type="dxa"/>
              <w:end w:w="100" w:type="dxa"/>
            </w:tcMar>
          </w:tcPr>
          <w:p>
            <w:r>
              <w:rPr>
                <w:sz w:val="18"/>
              </w:rPr>
              <w:t>Service</w:t>
            </w:r>
          </w:p>
        </w:tc>
        <w:tc>
          <w:tcPr>
            <w:tcW w:type="dxa" w:w="7560"/>
            <w:vAlign w:val="center"/>
            <w:tcMar>
              <w:top w:w="80" w:type="dxa"/>
              <w:start w:w="100" w:type="dxa"/>
              <w:bottom w:w="80" w:type="dxa"/>
              <w:end w:w="100" w:type="dxa"/>
            </w:tcMar>
          </w:tcPr>
          <w:p>
            <w:r>
              <w:rPr>
                <w:sz w:val="18"/>
              </w:rPr>
              <w:t>Handlers call the approved HSD-014 service; no duplicated bootstrap logic or direct SQL.</w:t>
            </w:r>
          </w:p>
        </w:tc>
      </w:tr>
      <w:tr>
        <w:trPr>
          <w:cantSplit/>
        </w:trPr>
        <w:tc>
          <w:tcPr>
            <w:tcW w:type="dxa" w:w="2088"/>
            <w:vAlign w:val="center"/>
            <w:tcMar>
              <w:top w:w="80" w:type="dxa"/>
              <w:start w:w="100" w:type="dxa"/>
              <w:bottom w:w="80" w:type="dxa"/>
              <w:end w:w="100" w:type="dxa"/>
            </w:tcMar>
          </w:tcPr>
          <w:p>
            <w:r>
              <w:rPr>
                <w:sz w:val="18"/>
              </w:rPr>
              <w:t>State output</w:t>
            </w:r>
          </w:p>
        </w:tc>
        <w:tc>
          <w:tcPr>
            <w:tcW w:type="dxa" w:w="7560"/>
            <w:vAlign w:val="center"/>
            <w:tcMar>
              <w:top w:w="80" w:type="dxa"/>
              <w:start w:w="100" w:type="dxa"/>
              <w:bottom w:w="80" w:type="dxa"/>
              <w:end w:w="100" w:type="dxa"/>
            </w:tcMar>
          </w:tcPr>
          <w:p>
            <w:r>
              <w:rPr>
                <w:sz w:val="18"/>
              </w:rPr>
              <w:t>REQUIRED/INITIALIZED/INCONSISTENT public values expose no IDs or timestamps.</w:t>
            </w:r>
          </w:p>
        </w:tc>
      </w:tr>
      <w:tr>
        <w:trPr>
          <w:cantSplit/>
        </w:trPr>
        <w:tc>
          <w:tcPr>
            <w:tcW w:type="dxa" w:w="2088"/>
            <w:vAlign w:val="center"/>
            <w:tcMar>
              <w:top w:w="80" w:type="dxa"/>
              <w:start w:w="100" w:type="dxa"/>
              <w:bottom w:w="80" w:type="dxa"/>
              <w:end w:w="100" w:type="dxa"/>
            </w:tcMar>
          </w:tcPr>
          <w:p>
            <w:r>
              <w:rPr>
                <w:sz w:val="18"/>
              </w:rPr>
              <w:t>Initialize output</w:t>
            </w:r>
          </w:p>
        </w:tc>
        <w:tc>
          <w:tcPr>
            <w:tcW w:type="dxa" w:w="7560"/>
            <w:vAlign w:val="center"/>
            <w:tcMar>
              <w:top w:w="80" w:type="dxa"/>
              <w:start w:w="100" w:type="dxa"/>
              <w:bottom w:w="80" w:type="dxa"/>
              <w:end w:w="100" w:type="dxa"/>
            </w:tcMar>
          </w:tcPr>
          <w:p>
            <w:r>
              <w:rPr>
                <w:sz w:val="18"/>
              </w:rPr>
              <w:t>Only status, deploymentName, and timeZone; no user/location/audit/credential/internal fields.</w:t>
            </w:r>
          </w:p>
        </w:tc>
      </w:tr>
      <w:tr>
        <w:trPr>
          <w:cantSplit/>
        </w:trPr>
        <w:tc>
          <w:tcPr>
            <w:tcW w:type="dxa" w:w="2088"/>
            <w:vAlign w:val="center"/>
            <w:tcMar>
              <w:top w:w="80" w:type="dxa"/>
              <w:start w:w="100" w:type="dxa"/>
              <w:bottom w:w="80" w:type="dxa"/>
              <w:end w:w="100" w:type="dxa"/>
            </w:tcMar>
          </w:tcPr>
          <w:p>
            <w:r>
              <w:rPr>
                <w:sz w:val="18"/>
              </w:rPr>
              <w:t>Errors</w:t>
            </w:r>
          </w:p>
        </w:tc>
        <w:tc>
          <w:tcPr>
            <w:tcW w:type="dxa" w:w="7560"/>
            <w:vAlign w:val="center"/>
            <w:tcMar>
              <w:top w:w="80" w:type="dxa"/>
              <w:start w:w="100" w:type="dxa"/>
              <w:bottom w:w="80" w:type="dxa"/>
              <w:end w:w="100" w:type="dxa"/>
            </w:tcMar>
          </w:tcPr>
          <w:p>
            <w:r>
              <w:rPr>
                <w:sz w:val="18"/>
              </w:rPr>
              <w:t>Exact safe operation codes/messages; no raw domain/electron/zod errors.</w:t>
            </w:r>
          </w:p>
        </w:tc>
      </w:tr>
      <w:tr>
        <w:trPr>
          <w:cantSplit/>
        </w:trPr>
        <w:tc>
          <w:tcPr>
            <w:tcW w:type="dxa" w:w="2088"/>
            <w:vAlign w:val="center"/>
            <w:tcMar>
              <w:top w:w="80" w:type="dxa"/>
              <w:start w:w="100" w:type="dxa"/>
              <w:bottom w:w="80" w:type="dxa"/>
              <w:end w:w="100" w:type="dxa"/>
            </w:tcMar>
          </w:tcPr>
          <w:p>
            <w:r>
              <w:rPr>
                <w:sz w:val="18"/>
              </w:rPr>
              <w:t>Logs</w:t>
            </w:r>
          </w:p>
        </w:tc>
        <w:tc>
          <w:tcPr>
            <w:tcW w:type="dxa" w:w="7560"/>
            <w:vAlign w:val="center"/>
            <w:tcMar>
              <w:top w:w="80" w:type="dxa"/>
              <w:start w:w="100" w:type="dxa"/>
              <w:bottom w:w="80" w:type="dxa"/>
              <w:end w:w="100" w:type="dxa"/>
            </w:tcMar>
          </w:tcPr>
          <w:p>
            <w:r>
              <w:rPr>
                <w:sz w:val="18"/>
              </w:rPr>
              <w:t>Only fixed channel/code and reviewed error type; no input, password, result, message, path, SQL, IDs, or metadata.</w:t>
            </w:r>
          </w:p>
        </w:tc>
      </w:tr>
      <w:tr>
        <w:trPr>
          <w:cantSplit/>
        </w:trPr>
        <w:tc>
          <w:tcPr>
            <w:tcW w:type="dxa" w:w="2088"/>
            <w:vAlign w:val="center"/>
            <w:tcMar>
              <w:top w:w="80" w:type="dxa"/>
              <w:start w:w="100" w:type="dxa"/>
              <w:bottom w:w="80" w:type="dxa"/>
              <w:end w:w="100" w:type="dxa"/>
            </w:tcMar>
          </w:tcPr>
          <w:p>
            <w:r>
              <w:rPr>
                <w:sz w:val="18"/>
              </w:rPr>
              <w:t>Preload</w:t>
            </w:r>
          </w:p>
        </w:tc>
        <w:tc>
          <w:tcPr>
            <w:tcW w:type="dxa" w:w="7560"/>
            <w:vAlign w:val="center"/>
            <w:tcMar>
              <w:top w:w="80" w:type="dxa"/>
              <w:start w:w="100" w:type="dxa"/>
              <w:bottom w:w="80" w:type="dxa"/>
              <w:end w:w="100" w:type="dxa"/>
            </w:tcMar>
          </w:tcPr>
          <w:p>
            <w:r>
              <w:rPr>
                <w:sz w:val="18"/>
              </w:rPr>
              <w:t>Exactly named app/firstRun methods; no generic IPC capability; malformed envelopes become IPC_UNAVAILABLE.</w:t>
            </w:r>
          </w:p>
        </w:tc>
      </w:tr>
      <w:tr>
        <w:trPr>
          <w:cantSplit/>
        </w:trPr>
        <w:tc>
          <w:tcPr>
            <w:tcW w:type="dxa" w:w="2088"/>
            <w:vAlign w:val="center"/>
            <w:tcMar>
              <w:top w:w="80" w:type="dxa"/>
              <w:start w:w="100" w:type="dxa"/>
              <w:bottom w:w="80" w:type="dxa"/>
              <w:end w:w="100" w:type="dxa"/>
            </w:tcMar>
          </w:tcPr>
          <w:p>
            <w:r>
              <w:rPr>
                <w:sz w:val="18"/>
              </w:rPr>
              <w:t>Lifecycle</w:t>
            </w:r>
          </w:p>
        </w:tc>
        <w:tc>
          <w:tcPr>
            <w:tcW w:type="dxa" w:w="7560"/>
            <w:vAlign w:val="center"/>
            <w:tcMar>
              <w:top w:w="80" w:type="dxa"/>
              <w:start w:w="100" w:type="dxa"/>
              <w:bottom w:w="80" w:type="dxa"/>
              <w:end w:w="100" w:type="dxa"/>
            </w:tcMar>
          </w:tcPr>
          <w:p>
            <w:r>
              <w:rPr>
                <w:sz w:val="18"/>
              </w:rPr>
              <w:t>Production service composed after DB init and registered before window; no setup method invoked at startup.</w:t>
            </w:r>
          </w:p>
        </w:tc>
      </w:tr>
      <w:tr>
        <w:trPr>
          <w:cantSplit/>
        </w:trPr>
        <w:tc>
          <w:tcPr>
            <w:tcW w:type="dxa" w:w="2088"/>
            <w:vAlign w:val="center"/>
            <w:tcMar>
              <w:top w:w="80" w:type="dxa"/>
              <w:start w:w="100" w:type="dxa"/>
              <w:bottom w:w="80" w:type="dxa"/>
              <w:end w:w="100" w:type="dxa"/>
            </w:tcMar>
          </w:tcPr>
          <w:p>
            <w:r>
              <w:rPr>
                <w:sz w:val="18"/>
              </w:rPr>
              <w:t>Compatibility</w:t>
            </w:r>
          </w:p>
        </w:tc>
        <w:tc>
          <w:tcPr>
            <w:tcW w:type="dxa" w:w="7560"/>
            <w:vAlign w:val="center"/>
            <w:tcMar>
              <w:top w:w="80" w:type="dxa"/>
              <w:start w:w="100" w:type="dxa"/>
              <w:bottom w:w="80" w:type="dxa"/>
              <w:end w:w="100" w:type="dxa"/>
            </w:tcMar>
          </w:tcPr>
          <w:p>
            <w:r>
              <w:rPr>
                <w:sz w:val="18"/>
              </w:rPr>
              <w:t>Existing app info/health/status behavior unchanged.</w:t>
            </w:r>
          </w:p>
        </w:tc>
      </w:tr>
      <w:tr>
        <w:trPr>
          <w:cantSplit/>
        </w:trPr>
        <w:tc>
          <w:tcPr>
            <w:tcW w:type="dxa" w:w="2088"/>
            <w:vAlign w:val="center"/>
            <w:tcMar>
              <w:top w:w="80" w:type="dxa"/>
              <w:start w:w="100" w:type="dxa"/>
              <w:bottom w:w="80" w:type="dxa"/>
              <w:end w:w="100" w:type="dxa"/>
            </w:tcMar>
          </w:tcPr>
          <w:p>
            <w:r>
              <w:rPr>
                <w:sz w:val="18"/>
              </w:rPr>
              <w:t>Scope</w:t>
            </w:r>
          </w:p>
        </w:tc>
        <w:tc>
          <w:tcPr>
            <w:tcW w:type="dxa" w:w="7560"/>
            <w:vAlign w:val="center"/>
            <w:tcMar>
              <w:top w:w="80" w:type="dxa"/>
              <w:start w:w="100" w:type="dxa"/>
              <w:bottom w:w="80" w:type="dxa"/>
              <w:end w:w="100" w:type="dxa"/>
            </w:tcMar>
          </w:tcPr>
          <w:p>
            <w:r>
              <w:rPr>
                <w:sz w:val="18"/>
              </w:rPr>
              <w:t>No dependencies, migrations, renderer UI, login, sessions, settings/protocol, clinical, sync, FHIR, portal, or AI work.</w:t>
            </w:r>
          </w:p>
        </w:tc>
      </w:tr>
      <w:tr>
        <w:trPr>
          <w:cantSplit/>
        </w:trPr>
        <w:tc>
          <w:tcPr>
            <w:tcW w:type="dxa" w:w="2088"/>
            <w:vAlign w:val="center"/>
            <w:tcMar>
              <w:top w:w="80" w:type="dxa"/>
              <w:start w:w="100" w:type="dxa"/>
              <w:bottom w:w="80" w:type="dxa"/>
              <w:end w:w="100" w:type="dxa"/>
            </w:tcMar>
          </w:tcPr>
          <w:p>
            <w:r>
              <w:rPr>
                <w:sz w:val="18"/>
              </w:rPr>
              <w:t>Verification</w:t>
            </w:r>
          </w:p>
        </w:tc>
        <w:tc>
          <w:tcPr>
            <w:tcW w:type="dxa" w:w="7560"/>
            <w:vAlign w:val="center"/>
            <w:tcMar>
              <w:top w:w="80" w:type="dxa"/>
              <w:start w:w="100" w:type="dxa"/>
              <w:bottom w:w="80" w:type="dxa"/>
              <w:end w:w="100" w:type="dxa"/>
            </w:tcMar>
          </w:tcPr>
          <w:p>
            <w:r>
              <w:rPr>
                <w:sz w:val="18"/>
              </w:rPr>
              <w:t>All quality, test, build, runtime, and unpacked Windows gates pass.</w:t>
            </w:r>
          </w:p>
        </w:tc>
      </w:tr>
    </w:tbl>
    <w:p>
      <w:pPr>
        <w:widowControl/>
        <w:spacing w:after="100" w:line="252" w:lineRule="auto"/>
      </w:pPr>
    </w:p>
    <w:p>
      <w:pPr>
        <w:pStyle w:val="Heading1"/>
        <w:keepNext/>
        <w:widowControl/>
      </w:pPr>
      <w:r>
        <w:t>23. Explicitly Prohibited Work</w:t>
      </w:r>
    </w:p>
    <w:p>
      <w:pPr>
        <w:pStyle w:val="ListBullet"/>
        <w:widowControl/>
      </w:pPr>
      <w:r>
        <w:t>Do not modify package.json, pnpm-lock.yaml, toolchain configuration, native dependency versions, or packaging scripts.</w:t>
      </w:r>
    </w:p>
    <w:p>
      <w:pPr>
        <w:pStyle w:val="ListBullet"/>
        <w:widowControl/>
      </w:pPr>
      <w:r>
        <w:t>Do not modify migration SQL, manifest, schema version, tables, columns, indexes, checks, foreign keys, or seed data.</w:t>
      </w:r>
    </w:p>
    <w:p>
      <w:pPr>
        <w:pStyle w:val="ListBullet"/>
        <w:widowControl/>
      </w:pPr>
      <w:r>
        <w:t>Do not implement a renderer setup page, route, redirect, form, CSS, state store, query library, toast, modal, or navigation behavior.</w:t>
      </w:r>
    </w:p>
    <w:p>
      <w:pPr>
        <w:pStyle w:val="ListBullet"/>
        <w:widowControl/>
      </w:pPr>
      <w:r>
        <w:t>Do not implement login, password change, session, lockout, authorization, administration, location selection, protocol setup, or settings writes.</w:t>
      </w:r>
    </w:p>
    <w:p>
      <w:pPr>
        <w:pStyle w:val="ListBullet"/>
        <w:widowControl/>
      </w:pPr>
      <w:r>
        <w:t>Do not expose ipcRenderer, arbitrary invoke/send/on APIs, channel strings, Electron events, webContents, MessagePort, or subscriptions.</w:t>
      </w:r>
    </w:p>
    <w:p>
      <w:pPr>
        <w:pStyle w:val="ListBullet"/>
        <w:widowControl/>
      </w:pPr>
      <w:r>
        <w:t>Do not return HSD-014 internal result records, IDs, timestamps, audit records/metadata, credentials, hashes, salts, SQL, paths, or raw errors.</w:t>
      </w:r>
    </w:p>
    <w:p>
      <w:pPr>
        <w:pStyle w:val="ListBullet"/>
        <w:widowControl/>
      </w:pPr>
      <w:r>
        <w:t>Do not log the initialization command or any of its field values.</w:t>
      </w:r>
    </w:p>
    <w:p>
      <w:pPr>
        <w:pStyle w:val="ListBullet"/>
        <w:widowControl/>
      </w:pPr>
      <w:r>
        <w:t>Do not call firstRunBootstrapService.getState() or initialize() during application startup.</w:t>
      </w:r>
    </w:p>
    <w:p>
      <w:pPr>
        <w:pStyle w:val="ListBullet"/>
        <w:widowControl/>
      </w:pPr>
      <w:r>
        <w:t>Do not add direct SQL, repository writes, password hashing, IDs, clocks, or transactions to IPC handlers.</w:t>
      </w:r>
    </w:p>
    <w:p>
      <w:pPr>
        <w:pStyle w:val="ListBullet"/>
        <w:widowControl/>
      </w:pPr>
      <w:r>
        <w:t>Do not create a generic IPC/RPC framework, command bus, service locator, dependency-injection container, event bus, or new dependency.</w:t>
      </w:r>
    </w:p>
    <w:p>
      <w:pPr>
        <w:pStyle w:val="ListBullet"/>
        <w:widowControl/>
      </w:pPr>
      <w:r>
        <w:t>Do not add patient, screening, referral, follow-up, report, print, backup, restore, sync, outbox, FHIR, portal, document, or AI behavior.</w:t>
      </w:r>
    </w:p>
    <w:p>
      <w:pPr>
        <w:pStyle w:val="Heading1"/>
        <w:keepNext/>
        <w:widowControl/>
      </w:pPr>
      <w:r>
        <w:t>24. Codex Implementation Procedure</w:t>
      </w:r>
    </w:p>
    <w:p>
      <w:pPr>
        <w:pStyle w:val="ListNumber"/>
        <w:widowControl/>
      </w:pPr>
      <w:r>
        <w:t>Confirm main, origin/main, and a clean working tree at abe0863 or the approved equivalent.</w:t>
      </w:r>
    </w:p>
    <w:p>
      <w:pPr>
        <w:pStyle w:val="ListNumber"/>
        <w:widowControl/>
      </w:pPr>
      <w:r>
        <w:t>Create feature/hsd-015-first-run-ipc-boundary and copy this task document into doc/.</w:t>
      </w:r>
    </w:p>
    <w:p>
      <w:pPr>
        <w:pStyle w:val="ListNumber"/>
        <w:widowControl/>
      </w:pPr>
      <w:r>
        <w:t>Inspect existing app IPC contracts, sender policy, handler registration, preload invoke validation, lifecycle composition, and HSD-014 exports/tests.</w:t>
      </w:r>
    </w:p>
    <w:p>
      <w:pPr>
        <w:pStyle w:val="ListNumber"/>
        <w:widowControl/>
      </w:pPr>
      <w:r>
        <w:t>Add exact shared first-run channels, requests, public states, operation results, safe errors, and API types.</w:t>
      </w:r>
    </w:p>
    <w:p>
      <w:pPr>
        <w:pStyle w:val="ListNumber"/>
        <w:widowControl/>
      </w:pPr>
      <w:r>
        <w:t>Implement sender-first first-run handlers with strict mapping and sanitized logging.</w:t>
      </w:r>
    </w:p>
    <w:p>
      <w:pPr>
        <w:pStyle w:val="ListNumber"/>
        <w:widowControl/>
      </w:pPr>
      <w:r>
        <w:t>Implement production HSD-014 composition using the initialized database connection and reviewed providers.</w:t>
      </w:r>
    </w:p>
    <w:p>
      <w:pPr>
        <w:pStyle w:val="ListNumber"/>
        <w:widowControl/>
      </w:pPr>
      <w:r>
        <w:t>Extend handler registration/disposal and lifecycle wiring without invoking setup at startup.</w:t>
      </w:r>
    </w:p>
    <w:p>
      <w:pPr>
        <w:pStyle w:val="ListNumber"/>
        <w:widowControl/>
      </w:pPr>
      <w:r>
        <w:t>Extend preload with frozen fixed firstRun methods and local request/result validation.</w:t>
      </w:r>
    </w:p>
    <w:p>
      <w:pPr>
        <w:pStyle w:val="ListNumber"/>
        <w:widowControl/>
      </w:pPr>
      <w:r>
        <w:t>Add shared, main-handler, registration, preload, lifecycle/composition, and file-backed integration tests.</w:t>
      </w:r>
    </w:p>
    <w:p>
      <w:pPr>
        <w:pStyle w:val="ListNumber"/>
        <w:widowControl/>
      </w:pPr>
      <w:r>
        <w:t>Update only required documentation and barrels.</w:t>
      </w:r>
    </w:p>
    <w:p>
      <w:pPr>
        <w:pStyle w:val="ListNumber"/>
        <w:widowControl/>
      </w:pPr>
      <w:r>
        <w:t>Run all quality, test, build, development, start, unpacked native, executable, diff, and clean-tree checks.</w:t>
      </w:r>
    </w:p>
    <w:p>
      <w:pPr>
        <w:pStyle w:val="ListNumber"/>
        <w:widowControl/>
      </w:pPr>
      <w:r>
        <w:t>Review the diff for renderer changes, migrations, dependencies, generic IPC exposure, direct SQL, startup setup invocation, credential leakage, and scope drift.</w:t>
      </w:r>
    </w:p>
    <w:p>
      <w:pPr>
        <w:pStyle w:val="ListNumber"/>
        <w:widowControl/>
      </w:pPr>
      <w:r>
        <w:t>Commit with the required message and push the feature branch.</w:t>
      </w:r>
    </w:p>
    <w:p>
      <w:pPr>
        <w:pStyle w:val="Heading1"/>
        <w:keepNext/>
        <w:widowControl/>
      </w:pPr>
      <w:r>
        <w:t>25. Required Verification Commands</w:t>
      </w:r>
    </w:p>
    <w:p>
      <w:pPr>
        <w:pStyle w:val="CodeBlock"/>
        <w:keepLines w:val="0"/>
        <w:widowControl/>
        <w:spacing w:before="60" w:after="120"/>
      </w:pPr>
      <w:r>
        <w:t>pnpm install</w:t>
        <w:br/>
        <w:t>pnpm format:check</w:t>
        <w:br/>
        <w:t>pnpm lint</w:t>
        <w:br/>
        <w:t>pnpm typecheck</w:t>
        <w:br/>
        <w:t>pnpm test</w:t>
        <w:br/>
        <w:t>pnpm verify</w:t>
        <w:br/>
        <w:t>pnpm build</w:t>
        <w:br/>
        <w:br/>
        <w:t>git status</w:t>
        <w:br/>
        <w:t>git diff --check</w:t>
        <w:br/>
        <w:t>git diff --name-only main...HEAD</w:t>
        <w:br/>
        <w:t>git log -8 --oneline</w:t>
      </w:r>
    </w:p>
    <w:p>
      <w:pPr>
        <w:widowControl/>
        <w:spacing w:after="100" w:line="252" w:lineRule="auto"/>
      </w:pPr>
      <w:r>
        <w:t>The committed package-manager version remains authoritative. A package-manager update notice is not an HSD-015 requirement.</w:t>
      </w:r>
    </w:p>
    <w:p>
      <w:pPr>
        <w:pStyle w:val="Heading1"/>
        <w:keepNext/>
        <w:widowControl/>
      </w:pPr>
      <w:r>
        <w:t>26. Runtime and Packaging Smoke Tests</w:t>
      </w:r>
    </w:p>
    <w:p>
      <w:pPr>
        <w:pStyle w:val="CodeBlock"/>
        <w:keepLines w:val="0"/>
        <w:widowControl/>
        <w:spacing w:before="60" w:after="120"/>
      </w:pPr>
      <w:r>
        <w:t>pnpm dev</w:t>
        <w:br/>
        <w:t>pnpm start</w:t>
        <w:br/>
        <w:t>pnpm build:unpack</w:t>
        <w:br/>
        <w:t>find dist/win-unpacked -type f -iname "*.node"</w:t>
        <w:br/>
        <w:t>./dist/win-unpacked/health-screening-desktop.exe</w:t>
      </w:r>
    </w:p>
    <w:p>
      <w:pPr>
        <w:widowControl/>
        <w:spacing w:after="100" w:line="252" w:lineRule="auto"/>
      </w:pPr>
      <w:r>
        <w:t>Because HSD-015 does not add renderer UI, the visible application remains:</w:t>
      </w:r>
    </w:p>
    <w:p>
      <w:pPr>
        <w:pStyle w:val="CodeBlock"/>
        <w:keepLines w:val="0"/>
        <w:widowControl/>
        <w:spacing w:before="60" w:after="120"/>
      </w:pPr>
      <w:r>
        <w:t>Clinical workflows</w:t>
        <w:br/>
        <w:t>Not implemented</w:t>
        <w:br/>
        <w:br/>
        <w:t>Database</w:t>
        <w:br/>
        <w:t>Ready</w:t>
        <w:br/>
        <w:br/>
        <w:t>Desktop IPC</w:t>
        <w:br/>
        <w:t>Available</w:t>
      </w:r>
    </w:p>
    <w:p>
      <w:pPr>
        <w:pStyle w:val="ListBullet"/>
        <w:widowControl/>
      </w:pPr>
      <w:r>
        <w:t>The application must launch without creating installation, user, location, audit, setting, protocol, outbox, or clinical rows.</w:t>
      </w:r>
    </w:p>
    <w:p>
      <w:pPr>
        <w:pStyle w:val="ListBullet"/>
        <w:widowControl/>
      </w:pPr>
      <w:r>
        <w:t>The added first-run handlers and preload methods must not change the visible status screen.</w:t>
      </w:r>
    </w:p>
    <w:p>
      <w:pPr>
        <w:pStyle w:val="ListBullet"/>
        <w:widowControl/>
      </w:pPr>
      <w:r>
        <w:t>The packaged application must load the native better-sqlite3 module.</w:t>
      </w:r>
    </w:p>
    <w:p>
      <w:pPr>
        <w:pStyle w:val="ListBullet"/>
        <w:widowControl/>
      </w:pPr>
      <w:r>
        <w:t>Runtime logs must not include first-run request values, passwords, names, locations, IDs, timestamps, audit metadata, SQL, or database paths.</w:t>
      </w:r>
    </w:p>
    <w:p>
      <w:pPr>
        <w:pStyle w:val="Heading1"/>
        <w:keepNext/>
        <w:widowControl/>
      </w:pPr>
      <w:r>
        <w:t>27. Completion Report Required from Codex</w:t>
      </w:r>
    </w:p>
    <w:p>
      <w:pPr>
        <w:pStyle w:val="ListBullet"/>
        <w:widowControl/>
      </w:pPr>
      <w:r>
        <w:t>Branch name, baseline SHA, primary commit SHA, and exact commit message.</w:t>
      </w:r>
    </w:p>
    <w:p>
      <w:pPr>
        <w:pStyle w:val="ListBullet"/>
        <w:widowControl/>
      </w:pPr>
      <w:r>
        <w:t>Files added/modified and confirmation that no package, lockfile, migration, renderer, login/session, settings/protocol, or clinical file changed.</w:t>
      </w:r>
    </w:p>
    <w:p>
      <w:pPr>
        <w:pStyle w:val="ListBullet"/>
        <w:widowControl/>
      </w:pPr>
      <w:r>
        <w:t>Exact first-run channel strings and shared method signatures.</w:t>
      </w:r>
    </w:p>
    <w:p>
      <w:pPr>
        <w:pStyle w:val="ListBullet"/>
        <w:widowControl/>
      </w:pPr>
      <w:r>
        <w:t>Request transport limits and evidence that no normalization occurs in shared schemas.</w:t>
      </w:r>
    </w:p>
    <w:p>
      <w:pPr>
        <w:pStyle w:val="ListBullet"/>
        <w:widowControl/>
      </w:pPr>
      <w:r>
        <w:t>Public state and initialization success fields, with confirmation of omitted internal values.</w:t>
      </w:r>
    </w:p>
    <w:p>
      <w:pPr>
        <w:pStyle w:val="ListBullet"/>
        <w:widowControl/>
      </w:pPr>
      <w:r>
        <w:t>Exact HSD-014-to-IPC error mapping and fixed messages.</w:t>
      </w:r>
    </w:p>
    <w:p>
      <w:pPr>
        <w:pStyle w:val="ListBullet"/>
        <w:widowControl/>
      </w:pPr>
      <w:r>
        <w:t>Sender-first and subframe/unapproved URL test evidence.</w:t>
      </w:r>
    </w:p>
    <w:p>
      <w:pPr>
        <w:pStyle w:val="ListBullet"/>
        <w:widowControl/>
      </w:pPr>
      <w:r>
        <w:t>Preload API shape, fixed-channel invocation, invalid-local-input behavior, and IPC_UNAVAILABLE fallback evidence.</w:t>
      </w:r>
    </w:p>
    <w:p>
      <w:pPr>
        <w:pStyle w:val="ListBullet"/>
        <w:widowControl/>
      </w:pPr>
      <w:r>
        <w:t>Lifecycle composition order and proof no setup method runs at startup.</w:t>
      </w:r>
    </w:p>
    <w:p>
      <w:pPr>
        <w:pStyle w:val="ListBullet"/>
        <w:widowControl/>
      </w:pPr>
      <w:r>
        <w:t>File-backed handler-to-service integration row counts and safe response evidence.</w:t>
      </w:r>
    </w:p>
    <w:p>
      <w:pPr>
        <w:pStyle w:val="ListBullet"/>
        <w:widowControl/>
      </w:pPr>
      <w:r>
        <w:t>Test-file/test-case totals and all quality/build/runtime/unpacked results.</w:t>
      </w:r>
    </w:p>
    <w:p>
      <w:pPr>
        <w:pStyle w:val="ListBullet"/>
        <w:widowControl/>
      </w:pPr>
      <w:r>
        <w:t>Any limitation or deviation; do not silently broaden scope.</w:t>
      </w:r>
    </w:p>
    <w:p>
      <w:pPr>
        <w:pStyle w:val="Heading1"/>
        <w:keepNext/>
        <w:widowControl/>
      </w:pPr>
      <w:r>
        <w:t>28. Commit and Push</w:t>
      </w:r>
    </w:p>
    <w:p>
      <w:pPr>
        <w:pStyle w:val="CodeBlock"/>
        <w:keepLines w:val="0"/>
        <w:widowControl/>
        <w:spacing w:before="60" w:after="120"/>
      </w:pPr>
      <w:r>
        <w:t>git add .</w:t>
        <w:br/>
        <w:t>git commit -m "feat: expose first-run bootstrap over trusted ipc"</w:t>
        <w:br/>
        <w:t>git push -u origin feature/hsd-015-first-run-ipc-boundary</w:t>
      </w:r>
    </w:p>
    <w:p>
      <w:pPr>
        <w:widowControl/>
        <w:spacing w:after="100" w:line="252" w:lineRule="auto"/>
      </w:pPr>
      <w:r>
        <w:t>Do not merge HSD-015 until the shared contracts, sender validation, main-handler mappings, production composition, preload API, file-backed integration, scope diff, and packaged Windows runtime are independently reviewed and approved.</w:t>
      </w:r>
    </w:p>
    <w:p>
      <w:pPr>
        <w:pStyle w:val="Heading1"/>
        <w:keepNext/>
        <w:widowControl/>
      </w:pPr>
      <w:r>
        <w:t>29. Codex Prompt Summary</w:t>
      </w:r>
    </w:p>
    <w:p>
      <w:pPr>
        <w:pStyle w:val="CodeBlock"/>
        <w:keepLines w:val="0"/>
        <w:widowControl/>
        <w:spacing w:before="60" w:after="120"/>
      </w:pPr>
      <w:r>
        <w:t>Implement HSD-015 exactly as specified in</w:t>
        <w:br/>
        <w:t xml:space="preserve"> doc/HSD-015_First_Run_IPC_Contract_Trusted_Handler_and_Preload_Boundary_Codex_Task.docx.</w:t>
        <w:br/>
        <w:br/>
        <w:t>Baseline: main at abe0863, the approved HSD-014 merge.</w:t>
        <w:br/>
        <w:t>Branch: feature/hsd-015-first-run-ipc-boundary.</w:t>
        <w:br/>
        <w:t>Primary commit: feat: expose first-run bootstrap over trusted ipc.</w:t>
        <w:br/>
        <w:br/>
        <w:t>Add two fixed first-run operations: getState and initialize. Define strict shared Zod request/result schemas and renderer-safe first-run error envelopes. Validate the allowed main-frame sender before request parsing, call the approved HSD-014 service, map its internal state/result to new minimal public objects, validate output, and return fixed safe failures. Compose one production HSD-014 service after database initialization and register/dispose its handlers with the existing app handlers without invoking setup at startup. Extend the preload with frozen named firstRun methods over fixed channels only; validate local input/results and map malformed/rejected IPC to IPC_UNAVAILABLE.</w:t>
        <w:br/>
        <w:br/>
        <w:t>Do not add dependencies, migrations, renderer UI, routes, redirects, generic IPC capability, direct SQL, startup setup invocation, login, password change, sessions, authorization, settings/protocol writes, clinical workflows, sync, FHIR, portal, or AI behavior. Never expose or log passwords, credentials, internal records, IDs, timestamps, audit data, SQL, paths, raw errors, or Zod issues.</w:t>
        <w:br/>
        <w:br/>
        <w:t>Run the complete quality, test, build, runtime, and unpacked Windows smoke command set. Commit and push only after all evidence passes.</w:t>
      </w:r>
    </w:p>
    <w:tbl>
      <w:tblPr>
        <w:tblStyle w:val="TableGrid"/>
        <w:tblW w:type="auto" w:w="0"/>
        <w:jc w:val="center"/>
        <w:tblLook w:firstColumn="1" w:firstRow="1" w:lastColumn="0" w:lastRow="0" w:noHBand="0" w:noVBand="1" w:val="04A0"/>
      </w:tblPr>
      <w:tblGrid>
        <w:gridCol w:w="10080"/>
      </w:tblGrid>
      <w:tr>
        <w:trPr>
          <w:cantSplit/>
        </w:trPr>
        <w:tc>
          <w:tcPr>
            <w:tcW w:type="dxa" w:w="10080"/>
            <w:shd w:fill="E2F0D9"/>
            <w:tcMar>
              <w:top w:w="140" w:type="dxa"/>
              <w:start w:w="180" w:type="dxa"/>
              <w:bottom w:w="140" w:type="dxa"/>
              <w:end w:w="180" w:type="dxa"/>
            </w:tcMar>
          </w:tcPr>
          <w:p>
            <w:r>
              <w:rPr>
                <w:b/>
                <w:color w:val="17365D"/>
                <w:sz w:val="20"/>
              </w:rPr>
              <w:t>Review gate: HSD-015 may be approved only after the exact shared schemas, sender-first main handlers, safe error mappings, output minimization, lifecycle composition order, no-startup-write proof, preload capability restriction, file-backed integration, and packaged Windows runtime are independently verified.</w:t>
            </w:r>
          </w:p>
        </w:tc>
      </w:tr>
    </w:tbl>
    <w:p>
      <w:pPr>
        <w:widowControl/>
        <w:spacing w:after="100" w:line="252" w:lineRule="auto"/>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4472C4"/>
        <w:sz w:val="16"/>
      </w:rPr>
      <w:t>HEALTH SCREENING OFFLINE DESKTOP APPLICATION  |  HSD-015 CODEX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w:hAnsi="Aptos" w:eastAsia="Aptos"/>
      <w:b w:val="0"/>
      <w:i/>
      <w:iCs/>
      <w:color w:val="4472C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0" w:lineRule="auto"/>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0" w:lineRule="auto"/>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144"/>
      <w:shd w:fill="F2F2F2"/>
    </w:pPr>
    <w:rPr>
      <w:rFonts w:ascii="Consolas" w:hAnsi="Consolas" w:eastAsia="Consolas"/>
      <w:color w:val="1E1E1E"/>
      <w:sz w:val="17"/>
    </w:rPr>
  </w:style>
  <w:style w:type="paragraph" w:customStyle="1" w:styleId="SmallNote">
    <w:name w:val="Small Note"/>
    <w:basedOn w:val="Normal"/>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HSD-015 First-Run IPC Contract, Trusted Handler, and Preload Boundary</dc:title>
  <dc:subject>Bounded Codex implementation task for the health screening offline desktop application</dc:subject>
  <dc:creator>Health Screening Offline Desktop Application Project</dc:creator>
  <cp:keywords>HSD-015, Electron, IPC, preload, first-run, bootstrap, security, sender validation</cp:keywords>
  <dc:description>Prepared as an implementation task. No claim that HSD-011 is already implemented.</dc:description>
  <cp:lastModifiedBy>Health Screening Offline Desktop Application Project</cp:lastModifiedBy>
  <cp:revision>1</cp:revision>
  <dcterms:created xsi:type="dcterms:W3CDTF">2013-12-23T23:15:00Z</dcterms:created>
  <dcterms:modified xsi:type="dcterms:W3CDTF">2013-12-23T23:15:00Z</dcterms:modified>
  <cp:category/>
</cp:coreProperties>
</file>