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center"/>
      </w:pPr>
      <w:r>
        <w:rPr>
          <w:b/>
          <w:i w:val="0"/>
          <w:sz w:val="36"/>
        </w:rPr>
        <w:t>HSD-010</w:t>
      </w:r>
    </w:p>
    <w:p>
      <w:pPr>
        <w:pStyle w:val="Title"/>
        <w:spacing w:before="0" w:after="80"/>
        <w:jc w:val="center"/>
      </w:pPr>
      <w:r>
        <w:rPr>
          <w:b w:val="0"/>
          <w:i w:val="0"/>
        </w:rPr>
        <w:t>Local Password Credential Foundation</w:t>
      </w:r>
    </w:p>
    <w:p>
      <w:pPr>
        <w:pStyle w:val="Subtitle"/>
        <w:spacing w:before="0" w:after="240"/>
        <w:jc w:val="center"/>
      </w:pPr>
      <w:r>
        <w:rPr>
          <w:b w:val="0"/>
          <w:i w:val="0"/>
        </w:rPr>
        <w:t>Bounded Codex Implementation Task</w:t>
      </w:r>
    </w:p>
    <w:p>
      <w:pPr>
        <w:spacing w:before="0" w:after="80" w:line="259" w:lineRule="auto"/>
        <w:jc w:val="center"/>
      </w:pPr>
      <w:r>
        <w:rPr>
          <w:b/>
          <w:i w:val="0"/>
        </w:rPr>
        <w:t>Health Screening Offline Desktop Application</w:t>
      </w:r>
    </w:p>
    <w:p>
      <w:pPr>
        <w:spacing w:before="0" w:after="280" w:line="259" w:lineRule="auto"/>
        <w:jc w:val="center"/>
      </w:pPr>
      <w:r>
        <w:rPr>
          <w:b w:val="0"/>
          <w:i/>
        </w:rPr>
        <w:t>Implementation must preserve the approved HSD-001 through HSD-009 baseline.</w:t>
      </w:r>
    </w:p>
    <w:tbl>
      <w:tblPr>
        <w:tblStyle w:val="LightShading-Accent1"/>
        <w:tblW w:type="auto" w:w="0"/>
        <w:jc w:val="center"/>
        <w:tblLayout w:type="autofit"/>
        <w:tblLook w:firstColumn="1" w:firstRow="1" w:lastColumn="0" w:lastRow="0" w:noHBand="0" w:noVBand="1" w:val="04A0"/>
      </w:tblPr>
      <w:tblGrid>
        <w:gridCol w:w="5040"/>
        <w:gridCol w:w="5040"/>
      </w:tblGrid>
      <w:tr>
        <w:trPr>
          <w:tblHeader w:val="true"/>
          <w:cantSplit/>
        </w:trPr>
        <w:tc>
          <w:tcPr>
            <w:tcW w:type="dxa" w:w="2448"/>
            <w:vAlign w:val="center"/>
          </w:tcPr>
          <w:p>
            <w:r>
              <w:rPr>
                <w:b/>
              </w:rPr>
              <w:t>Field</w:t>
            </w:r>
          </w:p>
        </w:tc>
        <w:tc>
          <w:tcPr>
            <w:tcW w:type="dxa" w:w="8352"/>
            <w:vAlign w:val="center"/>
          </w:tcPr>
          <w:p>
            <w:r>
              <w:rPr>
                <w:b/>
              </w:rPr>
              <w:t>Required value</w:t>
            </w:r>
          </w:p>
        </w:tc>
      </w:tr>
      <w:tr>
        <w:trPr>
          <w:cantSplit/>
        </w:trPr>
        <w:tc>
          <w:tcPr>
            <w:tcW w:type="dxa" w:w="2448"/>
            <w:vAlign w:val="top"/>
          </w:tcPr>
          <w:p>
            <w:pPr>
              <w:spacing w:after="0"/>
            </w:pPr>
            <w:r>
              <w:t>Task ID</w:t>
            </w:r>
          </w:p>
        </w:tc>
        <w:tc>
          <w:tcPr>
            <w:tcW w:type="dxa" w:w="8352"/>
            <w:vAlign w:val="top"/>
          </w:tcPr>
          <w:p>
            <w:pPr>
              <w:spacing w:after="0"/>
            </w:pPr>
            <w:r>
              <w:t>HSD-010</w:t>
            </w:r>
          </w:p>
        </w:tc>
      </w:tr>
      <w:tr>
        <w:trPr>
          <w:cantSplit/>
        </w:trPr>
        <w:tc>
          <w:tcPr>
            <w:tcW w:type="dxa" w:w="2448"/>
            <w:vAlign w:val="top"/>
          </w:tcPr>
          <w:p>
            <w:pPr>
              <w:spacing w:after="0"/>
            </w:pPr>
            <w:r>
              <w:t>Status</w:t>
            </w:r>
          </w:p>
        </w:tc>
        <w:tc>
          <w:tcPr>
            <w:tcW w:type="dxa" w:w="8352"/>
            <w:vAlign w:val="top"/>
          </w:tcPr>
          <w:p>
            <w:pPr>
              <w:spacing w:after="0"/>
            </w:pPr>
            <w:r>
              <w:t>Ready for implementation after HSD-009 is merged into main</w:t>
            </w:r>
          </w:p>
        </w:tc>
      </w:tr>
      <w:tr>
        <w:trPr>
          <w:cantSplit/>
        </w:trPr>
        <w:tc>
          <w:tcPr>
            <w:tcW w:type="dxa" w:w="2448"/>
            <w:vAlign w:val="top"/>
          </w:tcPr>
          <w:p>
            <w:pPr>
              <w:spacing w:after="0"/>
            </w:pPr>
            <w:r>
              <w:t>Approved baseline</w:t>
            </w:r>
          </w:p>
        </w:tc>
        <w:tc>
          <w:tcPr>
            <w:tcW w:type="dxa" w:w="8352"/>
            <w:vAlign w:val="top"/>
          </w:tcPr>
          <w:p>
            <w:pPr>
              <w:spacing w:after="0"/>
            </w:pPr>
            <w:r>
              <w:t>main at merge commit 1731804 - complete HSD-009 installation repository</w:t>
            </w:r>
          </w:p>
        </w:tc>
      </w:tr>
      <w:tr>
        <w:trPr>
          <w:cantSplit/>
        </w:trPr>
        <w:tc>
          <w:tcPr>
            <w:tcW w:type="dxa" w:w="2448"/>
            <w:vAlign w:val="top"/>
          </w:tcPr>
          <w:p>
            <w:pPr>
              <w:spacing w:after="0"/>
            </w:pPr>
            <w:r>
              <w:t>Branch</w:t>
            </w:r>
          </w:p>
        </w:tc>
        <w:tc>
          <w:tcPr>
            <w:tcW w:type="dxa" w:w="8352"/>
            <w:vAlign w:val="top"/>
          </w:tcPr>
          <w:p>
            <w:pPr>
              <w:spacing w:after="0"/>
            </w:pPr>
            <w:r>
              <w:t>feature/hsd-010-password-credential-foundation</w:t>
            </w:r>
          </w:p>
        </w:tc>
      </w:tr>
      <w:tr>
        <w:trPr>
          <w:cantSplit/>
        </w:trPr>
        <w:tc>
          <w:tcPr>
            <w:tcW w:type="dxa" w:w="2448"/>
            <w:vAlign w:val="top"/>
          </w:tcPr>
          <w:p>
            <w:pPr>
              <w:spacing w:after="0"/>
            </w:pPr>
            <w:r>
              <w:t>Primary commit</w:t>
            </w:r>
          </w:p>
        </w:tc>
        <w:tc>
          <w:tcPr>
            <w:tcW w:type="dxa" w:w="8352"/>
            <w:vAlign w:val="top"/>
          </w:tcPr>
          <w:p>
            <w:pPr>
              <w:spacing w:after="0"/>
            </w:pPr>
            <w:r>
              <w:t>feat: add local password credential foundation</w:t>
            </w:r>
          </w:p>
        </w:tc>
      </w:tr>
      <w:tr>
        <w:trPr>
          <w:cantSplit/>
        </w:trPr>
        <w:tc>
          <w:tcPr>
            <w:tcW w:type="dxa" w:w="2448"/>
            <w:vAlign w:val="top"/>
          </w:tcPr>
          <w:p>
            <w:pPr>
              <w:spacing w:after="0"/>
            </w:pPr>
            <w:r>
              <w:t>Work package</w:t>
            </w:r>
          </w:p>
        </w:tc>
        <w:tc>
          <w:tcPr>
            <w:tcW w:type="dxa" w:w="8352"/>
            <w:vAlign w:val="top"/>
          </w:tcPr>
          <w:p>
            <w:pPr>
              <w:spacing w:after="0"/>
            </w:pPr>
            <w:r>
              <w:t>WP4 - Local Authentication and Administration</w:t>
            </w:r>
          </w:p>
        </w:tc>
      </w:tr>
      <w:tr>
        <w:trPr>
          <w:cantSplit/>
        </w:trPr>
        <w:tc>
          <w:tcPr>
            <w:tcW w:type="dxa" w:w="2448"/>
            <w:vAlign w:val="top"/>
          </w:tcPr>
          <w:p>
            <w:pPr>
              <w:spacing w:after="0"/>
            </w:pPr>
            <w:r>
              <w:t>Schema impact</w:t>
            </w:r>
          </w:p>
        </w:tc>
        <w:tc>
          <w:tcPr>
            <w:tcW w:type="dxa" w:w="8352"/>
            <w:vAlign w:val="top"/>
          </w:tcPr>
          <w:p>
            <w:pPr>
              <w:spacing w:after="0"/>
            </w:pPr>
            <w:r>
              <w:t>None. Keep schema version 1 and 0001-initial-schema.sql unchanged.</w:t>
            </w:r>
          </w:p>
        </w:tc>
      </w:tr>
      <w:tr>
        <w:trPr>
          <w:cantSplit/>
        </w:trPr>
        <w:tc>
          <w:tcPr>
            <w:tcW w:type="dxa" w:w="2448"/>
            <w:vAlign w:val="top"/>
          </w:tcPr>
          <w:p>
            <w:pPr>
              <w:spacing w:after="0"/>
            </w:pPr>
            <w:r>
              <w:t>Package impact</w:t>
            </w:r>
          </w:p>
        </w:tc>
        <w:tc>
          <w:tcPr>
            <w:tcW w:type="dxa" w:w="8352"/>
            <w:vAlign w:val="top"/>
          </w:tcPr>
          <w:p>
            <w:pPr>
              <w:spacing w:after="0"/>
            </w:pPr>
            <w:r>
              <w:t>None. Use built-in node:crypto only; no package.json or pnpm-lock.yaml changes.</w:t>
            </w:r>
          </w:p>
        </w:tc>
      </w:tr>
      <w:tr>
        <w:trPr>
          <w:cantSplit/>
        </w:trPr>
        <w:tc>
          <w:tcPr>
            <w:tcW w:type="dxa" w:w="2448"/>
            <w:vAlign w:val="top"/>
          </w:tcPr>
          <w:p>
            <w:pPr>
              <w:spacing w:after="0"/>
            </w:pPr>
            <w:r>
              <w:t>Runtime impact</w:t>
            </w:r>
          </w:p>
        </w:tc>
        <w:tc>
          <w:tcPr>
            <w:tcW w:type="dxa" w:w="8352"/>
            <w:vAlign w:val="top"/>
          </w:tcPr>
          <w:p>
            <w:pPr>
              <w:spacing w:after="0"/>
            </w:pPr>
            <w:r>
              <w:t>No login, user creation, first-run UI, IPC, database write, or renderer behavior yet.</w:t>
            </w:r>
          </w:p>
        </w:tc>
      </w:tr>
    </w:tbl>
    <w:p>
      <w:pPr>
        <w:spacing w:after="0" w:line="259" w:lineRule="auto"/>
      </w:pPr>
    </w:p>
    <w:tbl>
      <w:tblPr>
        <w:tblW w:type="auto" w:w="0"/>
        <w:jc w:val="center"/>
        <w:tblLook w:firstColumn="1" w:firstRow="1" w:lastColumn="0" w:lastRow="0" w:noHBand="0" w:noVBand="1" w:val="04A0"/>
      </w:tblPr>
      <w:tblGrid>
        <w:gridCol w:w="10080"/>
      </w:tblGrid>
      <w:tr>
        <w:trPr>
          <w:cantSplit/>
        </w:trPr>
        <w:tc>
          <w:tcPr>
            <w:tcW w:type="dxa" w:w="10080"/>
            <w:vAlign w:val="center"/>
            <w:shd w:fill="EAF2F8"/>
          </w:tcPr>
          <w:p>
            <w:pPr>
              <w:spacing w:after="0"/>
            </w:pPr>
            <w:r>
              <w:rPr>
                <w:b/>
              </w:rPr>
              <w:t>Scope boundary: HSD-010 creates an asynchronous main-process password hashing and verification foundation. It does not create users, write credentials to SQLite, implement login, define sessions or lockout, expose IPC, or change the renderer.</w:t>
            </w:r>
          </w:p>
        </w:tc>
      </w:tr>
    </w:tbl>
    <w:p>
      <w:pPr>
        <w:spacing w:after="0" w:line="259" w:lineRule="auto"/>
      </w:pPr>
    </w:p>
    <w:p>
      <w:pPr>
        <w:pStyle w:val="Heading1"/>
        <w:keepNext/>
        <w:pageBreakBefore/>
      </w:pPr>
      <w:r>
        <w:t>1. Task Brief</w:t>
      </w:r>
    </w:p>
    <w:p>
      <w:pPr>
        <w:spacing w:before="0" w:after="0" w:line="259" w:lineRule="auto"/>
      </w:pPr>
      <w:r>
        <w:rPr>
          <w:b w:val="0"/>
          <w:i w:val="0"/>
        </w:rPr>
        <w:t>HSD-010 begins the security portion of WP4 by creating the password-credential primitive that later first-run administration and local authentication services will consume. The capability must hash and verify local passwords with versioned scrypt parameters, strict credential decoding, constant-time byte comparison, controlled errors, and zero routine logging of secret material.</w:t>
      </w:r>
    </w:p>
    <w:p>
      <w:pPr>
        <w:spacing w:before="0" w:after="0" w:line="259" w:lineRule="auto"/>
      </w:pPr>
      <w:r>
        <w:rPr>
          <w:b w:val="0"/>
          <w:i w:val="0"/>
        </w:rPr>
        <w:t>Password derivation is deliberately asynchronous and must execute outside the HSD-008 synchronous SQLite transaction callback. A later application service will derive the credential first, then enter one caller-owned transaction to create the installation, administrator, primary location, and audit records atomically.</w:t>
      </w:r>
    </w:p>
    <w:p>
      <w:pPr>
        <w:spacing w:before="0" w:after="0" w:line="259" w:lineRule="auto"/>
      </w:pPr>
      <w:r>
        <w:rPr>
          <w:b w:val="0"/>
          <w:i w:val="0"/>
        </w:rPr>
        <w:t>This task is a cryptographic foundation only. It must not decide whether a username exists, update failed-login counters, issue sessions, enforce roles, or persist credentials.</w:t>
      </w:r>
    </w:p>
    <w:p>
      <w:pPr>
        <w:pStyle w:val="Heading1"/>
        <w:keepNext/>
      </w:pPr>
      <w:r>
        <w:t>2. Prerequisite and Branch Setup</w:t>
      </w:r>
    </w:p>
    <w:p>
      <w:pPr>
        <w:spacing w:before="0" w:after="0" w:line="259" w:lineRule="auto"/>
      </w:pPr>
      <w:r>
        <w:rPr>
          <w:b w:val="0"/>
          <w:i w:val="0"/>
        </w:rPr>
        <w:t>HSD-009 must already be fully approved and merged into main. The expected baseline is:</w:t>
      </w:r>
    </w:p>
    <w:p>
      <w:pPr>
        <w:pStyle w:val="CodeBlock"/>
        <w:keepLines/>
      </w:pPr>
      <w:r>
        <w:t>1731804 merge: complete HSD-009 installation repository</w:t>
      </w:r>
    </w:p>
    <w:p>
      <w:pPr>
        <w:pStyle w:val="CodeBlock"/>
        <w:keepLines/>
      </w:pPr>
      <w:r>
        <w:t>git switch main</w:t>
        <w:br/>
        <w:t>git pull origin main</w:t>
        <w:br/>
        <w:t>git status</w:t>
        <w:br/>
        <w:t>git log -7 --oneline</w:t>
        <w:br/>
        <w:t>git switch -c feature/hsd-010-password-credential-foundation</w:t>
      </w:r>
    </w:p>
    <w:p>
      <w:pPr>
        <w:pStyle w:val="ListBullet"/>
        <w:spacing w:after="40"/>
      </w:pPr>
      <w:r>
        <w:t>The working tree must be clean before the branch is created.</w:t>
      </w:r>
    </w:p>
    <w:p>
      <w:pPr>
        <w:pStyle w:val="ListBullet"/>
        <w:spacing w:after="40"/>
      </w:pPr>
      <w:r>
        <w:t>The branch must start from main at 1731804 or a later reviewed main commit containing the same HSD-009 merge.</w:t>
      </w:r>
    </w:p>
    <w:p>
      <w:pPr>
        <w:pStyle w:val="ListBullet"/>
        <w:spacing w:after="40"/>
      </w:pPr>
      <w:r>
        <w:t>Copy this task document into doc/ without changing its requirements.</w:t>
      </w:r>
    </w:p>
    <w:p>
      <w:pPr>
        <w:pStyle w:val="ListBullet"/>
        <w:spacing w:after="40"/>
      </w:pPr>
      <w:r>
        <w:t>Do not amend, squash, reset, or force-push reviewed HSD commits.</w:t>
      </w:r>
    </w:p>
    <w:p>
      <w:pPr>
        <w:pStyle w:val="ListBullet"/>
        <w:spacing w:after="40"/>
      </w:pPr>
      <w:r>
        <w:t>Do not update pnpm solely because a newer pnpm release is available.</w:t>
      </w:r>
    </w:p>
    <w:p>
      <w:pPr>
        <w:pStyle w:val="Heading1"/>
        <w:keepNext/>
      </w:pPr>
      <w:r>
        <w:t>3. Goal</w:t>
      </w:r>
    </w:p>
    <w:p>
      <w:pPr>
        <w:spacing w:before="0" w:after="0" w:line="259" w:lineRule="auto"/>
      </w:pPr>
      <w:r>
        <w:rPr>
          <w:b w:val="0"/>
          <w:i w:val="0"/>
        </w:rPr>
        <w:t>Create a small, explicit, testable password-credential service that accepts an exact plaintext password, creates a versioned scrypt credential using cryptographically random salt, verifies credentials without revealing comparison information, and rejects malformed or unsafe input through controlled main-process errors.</w:t>
      </w:r>
    </w:p>
    <w:p>
      <w:pPr>
        <w:pStyle w:val="Heading1"/>
        <w:keepNext/>
      </w:pPr>
      <w:r>
        <w:t>4. Required Outcomes</w:t>
      </w:r>
    </w:p>
    <w:tbl>
      <w:tblPr>
        <w:tblStyle w:val="LightShading-Accent1"/>
        <w:tblW w:type="auto" w:w="0"/>
        <w:jc w:val="center"/>
        <w:tblLayout w:type="autofit"/>
        <w:tblLook w:firstColumn="1" w:firstRow="1" w:lastColumn="0" w:lastRow="0" w:noHBand="0" w:noVBand="1" w:val="04A0"/>
      </w:tblPr>
      <w:tblGrid>
        <w:gridCol w:w="5040"/>
        <w:gridCol w:w="5040"/>
      </w:tblGrid>
      <w:tr>
        <w:trPr>
          <w:tblHeader w:val="true"/>
          <w:cantSplit/>
        </w:trPr>
        <w:tc>
          <w:tcPr>
            <w:tcW w:type="dxa" w:w="2376"/>
            <w:vAlign w:val="center"/>
          </w:tcPr>
          <w:p>
            <w:r>
              <w:rPr>
                <w:b/>
              </w:rPr>
              <w:t>Area</w:t>
            </w:r>
          </w:p>
        </w:tc>
        <w:tc>
          <w:tcPr>
            <w:tcW w:type="dxa" w:w="8424"/>
            <w:vAlign w:val="center"/>
          </w:tcPr>
          <w:p>
            <w:r>
              <w:rPr>
                <w:b/>
              </w:rPr>
              <w:t>Required outcome</w:t>
            </w:r>
          </w:p>
        </w:tc>
      </w:tr>
      <w:tr>
        <w:trPr>
          <w:cantSplit/>
        </w:trPr>
        <w:tc>
          <w:tcPr>
            <w:tcW w:type="dxa" w:w="2376"/>
            <w:vAlign w:val="top"/>
          </w:tcPr>
          <w:p>
            <w:pPr>
              <w:spacing w:after="0"/>
            </w:pPr>
            <w:r>
              <w:t>Password contract</w:t>
            </w:r>
          </w:p>
        </w:tc>
        <w:tc>
          <w:tcPr>
            <w:tcW w:type="dxa" w:w="8424"/>
            <w:vAlign w:val="top"/>
          </w:tcPr>
          <w:p>
            <w:pPr>
              <w:spacing w:after="0"/>
            </w:pPr>
            <w:r>
              <w:t>One reviewed parser accepts exact password text, applies length and control-character rules, and never trims, lowercases, or Unicode-normalizes it.</w:t>
            </w:r>
          </w:p>
        </w:tc>
      </w:tr>
      <w:tr>
        <w:trPr>
          <w:cantSplit/>
        </w:trPr>
        <w:tc>
          <w:tcPr>
            <w:tcW w:type="dxa" w:w="2376"/>
            <w:vAlign w:val="top"/>
          </w:tcPr>
          <w:p>
            <w:pPr>
              <w:spacing w:after="0"/>
            </w:pPr>
            <w:r>
              <w:t>Versioned credential</w:t>
            </w:r>
          </w:p>
        </w:tc>
        <w:tc>
          <w:tcPr>
            <w:tcW w:type="dxa" w:w="8424"/>
            <w:vAlign w:val="top"/>
          </w:tcPr>
          <w:p>
            <w:pPr>
              <w:spacing w:after="0"/>
            </w:pPr>
            <w:r>
              <w:t>The stored hash string carries algorithm version and exact scrypt parameters; salt is a separate canonical base64url value compatible with schema-v1 users.password_hash and users.password_salt.</w:t>
            </w:r>
          </w:p>
        </w:tc>
      </w:tr>
      <w:tr>
        <w:trPr>
          <w:cantSplit/>
        </w:trPr>
        <w:tc>
          <w:tcPr>
            <w:tcW w:type="dxa" w:w="2376"/>
            <w:vAlign w:val="top"/>
          </w:tcPr>
          <w:p>
            <w:pPr>
              <w:spacing w:after="0"/>
            </w:pPr>
            <w:r>
              <w:t>Secure derivation</w:t>
            </w:r>
          </w:p>
        </w:tc>
        <w:tc>
          <w:tcPr>
            <w:tcW w:type="dxa" w:w="8424"/>
            <w:vAlign w:val="top"/>
          </w:tcPr>
          <w:p>
            <w:pPr>
              <w:spacing w:after="0"/>
            </w:pPr>
            <w:r>
              <w:t>Production hashing uses asynchronous node:crypto scrypt with fixed reviewed parameters and a fresh 32-byte random salt.</w:t>
            </w:r>
          </w:p>
        </w:tc>
      </w:tr>
      <w:tr>
        <w:trPr>
          <w:cantSplit/>
        </w:trPr>
        <w:tc>
          <w:tcPr>
            <w:tcW w:type="dxa" w:w="2376"/>
            <w:vAlign w:val="top"/>
          </w:tcPr>
          <w:p>
            <w:pPr>
              <w:spacing w:after="0"/>
            </w:pPr>
            <w:r>
              <w:t>Safe verification</w:t>
            </w:r>
          </w:p>
        </w:tc>
        <w:tc>
          <w:tcPr>
            <w:tcW w:type="dxa" w:w="8424"/>
            <w:vAlign w:val="top"/>
          </w:tcPr>
          <w:p>
            <w:pPr>
              <w:spacing w:after="0"/>
            </w:pPr>
            <w:r>
              <w:t>Verification strictly parses the stored credential, re-derives the candidate key, and compares equal-length bytes with timingSafeEqual.</w:t>
            </w:r>
          </w:p>
        </w:tc>
      </w:tr>
      <w:tr>
        <w:trPr>
          <w:cantSplit/>
        </w:trPr>
        <w:tc>
          <w:tcPr>
            <w:tcW w:type="dxa" w:w="2376"/>
            <w:vAlign w:val="top"/>
          </w:tcPr>
          <w:p>
            <w:pPr>
              <w:spacing w:after="0"/>
            </w:pPr>
            <w:r>
              <w:t>Transaction separation</w:t>
            </w:r>
          </w:p>
        </w:tc>
        <w:tc>
          <w:tcPr>
            <w:tcW w:type="dxa" w:w="8424"/>
            <w:vAlign w:val="top"/>
          </w:tcPr>
          <w:p>
            <w:pPr>
              <w:spacing w:after="0"/>
            </w:pPr>
            <w:r>
              <w:t>Hashing and verification never run inside the HSD-008 synchronous transaction callback and perform no SQLite operation.</w:t>
            </w:r>
          </w:p>
        </w:tc>
      </w:tr>
      <w:tr>
        <w:trPr>
          <w:cantSplit/>
        </w:trPr>
        <w:tc>
          <w:tcPr>
            <w:tcW w:type="dxa" w:w="2376"/>
            <w:vAlign w:val="top"/>
          </w:tcPr>
          <w:p>
            <w:pPr>
              <w:spacing w:after="0"/>
            </w:pPr>
            <w:r>
              <w:t>Controlled failures</w:t>
            </w:r>
          </w:p>
        </w:tc>
        <w:tc>
          <w:tcPr>
            <w:tcW w:type="dxa" w:w="8424"/>
            <w:vAlign w:val="top"/>
          </w:tcPr>
          <w:p>
            <w:pPr>
              <w:spacing w:after="0"/>
            </w:pPr>
            <w:r>
              <w:t>Validation, malformed credential, hash, and verification failures expose fixed safe errors without plaintext, salt, hash, key bytes, stack, cause, or raw crypto messages.</w:t>
            </w:r>
          </w:p>
        </w:tc>
      </w:tr>
      <w:tr>
        <w:trPr>
          <w:cantSplit/>
        </w:trPr>
        <w:tc>
          <w:tcPr>
            <w:tcW w:type="dxa" w:w="2376"/>
            <w:vAlign w:val="top"/>
          </w:tcPr>
          <w:p>
            <w:pPr>
              <w:spacing w:after="0"/>
            </w:pPr>
            <w:r>
              <w:t>No side effects</w:t>
            </w:r>
          </w:p>
        </w:tc>
        <w:tc>
          <w:tcPr>
            <w:tcW w:type="dxa" w:w="8424"/>
            <w:vAlign w:val="top"/>
          </w:tcPr>
          <w:p>
            <w:pPr>
              <w:spacing w:after="0"/>
            </w:pPr>
            <w:r>
              <w:t>No user, installation, setting, audit, or other production record is created or modified.</w:t>
            </w:r>
          </w:p>
        </w:tc>
      </w:tr>
      <w:tr>
        <w:trPr>
          <w:cantSplit/>
        </w:trPr>
        <w:tc>
          <w:tcPr>
            <w:tcW w:type="dxa" w:w="2376"/>
            <w:vAlign w:val="top"/>
          </w:tcPr>
          <w:p>
            <w:pPr>
              <w:spacing w:after="0"/>
            </w:pPr>
            <w:r>
              <w:t>Evidence</w:t>
            </w:r>
          </w:p>
        </w:tc>
        <w:tc>
          <w:tcPr>
            <w:tcW w:type="dxa" w:w="8424"/>
            <w:vAlign w:val="top"/>
          </w:tcPr>
          <w:p>
            <w:pPr>
              <w:spacing w:after="0"/>
            </w:pPr>
            <w:r>
              <w:t>Deterministic unit tests and one bounded production-crypto integration suite prove format, parameters, random salt behavior, correct verification, and failure safety.</w:t>
            </w:r>
          </w:p>
        </w:tc>
      </w:tr>
    </w:tbl>
    <w:p>
      <w:pPr>
        <w:spacing w:after="0" w:line="259" w:lineRule="auto"/>
      </w:pPr>
    </w:p>
    <w:p>
      <w:pPr>
        <w:pStyle w:val="Heading1"/>
        <w:keepNext/>
      </w:pPr>
      <w:r>
        <w:t>5. Scope</w:t>
      </w:r>
    </w:p>
    <w:tbl>
      <w:tblPr>
        <w:tblStyle w:val="LightShading-Accent1"/>
        <w:tblW w:type="auto" w:w="0"/>
        <w:jc w:val="center"/>
        <w:tblLayout w:type="autofit"/>
        <w:tblLook w:firstColumn="1" w:firstRow="1" w:lastColumn="0" w:lastRow="0" w:noHBand="0" w:noVBand="1" w:val="04A0"/>
      </w:tblPr>
      <w:tblGrid>
        <w:gridCol w:w="5040"/>
        <w:gridCol w:w="5040"/>
      </w:tblGrid>
      <w:tr>
        <w:trPr>
          <w:tblHeader w:val="true"/>
          <w:cantSplit/>
        </w:trPr>
        <w:tc>
          <w:tcPr>
            <w:tcW w:type="dxa" w:w="5400"/>
            <w:vAlign w:val="center"/>
          </w:tcPr>
          <w:p>
            <w:r>
              <w:rPr>
                <w:b/>
              </w:rPr>
              <w:t>In scope</w:t>
            </w:r>
          </w:p>
        </w:tc>
        <w:tc>
          <w:tcPr>
            <w:tcW w:type="dxa" w:w="5400"/>
            <w:vAlign w:val="center"/>
          </w:tcPr>
          <w:p>
            <w:r>
              <w:rPr>
                <w:b/>
              </w:rPr>
              <w:t>Out of scope</w:t>
            </w:r>
          </w:p>
        </w:tc>
      </w:tr>
      <w:tr>
        <w:trPr>
          <w:cantSplit/>
        </w:trPr>
        <w:tc>
          <w:tcPr>
            <w:tcW w:type="dxa" w:w="5400"/>
            <w:vAlign w:val="top"/>
          </w:tcPr>
          <w:p>
            <w:pPr>
              <w:spacing w:after="0"/>
            </w:pPr>
            <w:r>
              <w:t>Branded password, hash, salt, and stored-credential types</w:t>
            </w:r>
          </w:p>
        </w:tc>
        <w:tc>
          <w:tcPr>
            <w:tcW w:type="dxa" w:w="5400"/>
            <w:vAlign w:val="top"/>
          </w:tcPr>
          <w:p>
            <w:pPr>
              <w:spacing w:after="0"/>
            </w:pPr>
            <w:r>
              <w:t>User repository, user creation, role assignment, activation, reset, or deletion</w:t>
            </w:r>
          </w:p>
        </w:tc>
      </w:tr>
      <w:tr>
        <w:trPr>
          <w:cantSplit/>
        </w:trPr>
        <w:tc>
          <w:tcPr>
            <w:tcW w:type="dxa" w:w="5400"/>
            <w:vAlign w:val="top"/>
          </w:tcPr>
          <w:p>
            <w:pPr>
              <w:spacing w:after="0"/>
            </w:pPr>
            <w:r>
              <w:t>Password input validation without normalization</w:t>
            </w:r>
          </w:p>
        </w:tc>
        <w:tc>
          <w:tcPr>
            <w:tcW w:type="dxa" w:w="5400"/>
            <w:vAlign w:val="top"/>
          </w:tcPr>
          <w:p>
            <w:pPr>
              <w:spacing w:after="0"/>
            </w:pPr>
            <w:r>
              <w:t>Login flow, username lookup, failed-login count, lockout, or password-change workflow</w:t>
            </w:r>
          </w:p>
        </w:tc>
      </w:tr>
      <w:tr>
        <w:trPr>
          <w:cantSplit/>
        </w:trPr>
        <w:tc>
          <w:tcPr>
            <w:tcW w:type="dxa" w:w="5400"/>
            <w:vAlign w:val="top"/>
          </w:tcPr>
          <w:p>
            <w:pPr>
              <w:spacing w:after="0"/>
            </w:pPr>
            <w:r>
              <w:t>Versioned scrypt-v1 serialization and strict parser</w:t>
            </w:r>
          </w:p>
        </w:tc>
        <w:tc>
          <w:tcPr>
            <w:tcW w:type="dxa" w:w="5400"/>
            <w:vAlign w:val="top"/>
          </w:tcPr>
          <w:p>
            <w:pPr>
              <w:spacing w:after="0"/>
            </w:pPr>
            <w:r>
              <w:t>Schema migration, credential columns, database writes, or seed data</w:t>
            </w:r>
          </w:p>
        </w:tc>
      </w:tr>
      <w:tr>
        <w:trPr>
          <w:cantSplit/>
        </w:trPr>
        <w:tc>
          <w:tcPr>
            <w:tcW w:type="dxa" w:w="5400"/>
            <w:vAlign w:val="top"/>
          </w:tcPr>
          <w:p>
            <w:pPr>
              <w:spacing w:after="0"/>
            </w:pPr>
            <w:r>
              <w:t>Asynchronous production node:crypto adapter</w:t>
            </w:r>
          </w:p>
        </w:tc>
        <w:tc>
          <w:tcPr>
            <w:tcW w:type="dxa" w:w="5400"/>
            <w:vAlign w:val="top"/>
          </w:tcPr>
          <w:p>
            <w:pPr>
              <w:spacing w:after="0"/>
            </w:pPr>
            <w:r>
              <w:t>Argon2 dependency, bcrypt dependency, remote identity provider, or network call</w:t>
            </w:r>
          </w:p>
        </w:tc>
      </w:tr>
      <w:tr>
        <w:trPr>
          <w:cantSplit/>
        </w:trPr>
        <w:tc>
          <w:tcPr>
            <w:tcW w:type="dxa" w:w="5400"/>
            <w:vAlign w:val="top"/>
          </w:tcPr>
          <w:p>
            <w:pPr>
              <w:spacing w:after="0"/>
            </w:pPr>
            <w:r>
              <w:t>Random salt generation and timing-safe verification</w:t>
            </w:r>
          </w:p>
        </w:tc>
        <w:tc>
          <w:tcPr>
            <w:tcW w:type="dxa" w:w="5400"/>
            <w:vAlign w:val="top"/>
          </w:tcPr>
          <w:p>
            <w:pPr>
              <w:spacing w:after="0"/>
            </w:pPr>
            <w:r>
              <w:t>Pepper storage, safeStorage key management, field-level encryption, or device encryption</w:t>
            </w:r>
          </w:p>
        </w:tc>
      </w:tr>
      <w:tr>
        <w:trPr>
          <w:cantSplit/>
        </w:trPr>
        <w:tc>
          <w:tcPr>
            <w:tcW w:type="dxa" w:w="5400"/>
            <w:vAlign w:val="top"/>
          </w:tcPr>
          <w:p>
            <w:pPr>
              <w:spacing w:after="0"/>
            </w:pPr>
            <w:r>
              <w:t>Controlled password errors and shared error-type registration</w:t>
            </w:r>
          </w:p>
        </w:tc>
        <w:tc>
          <w:tcPr>
            <w:tcW w:type="dxa" w:w="5400"/>
            <w:vAlign w:val="top"/>
          </w:tcPr>
          <w:p>
            <w:pPr>
              <w:spacing w:after="0"/>
            </w:pPr>
            <w:r>
              <w:t>Authentication IPC, preload methods, renderer forms, navigation, or session state</w:t>
            </w:r>
          </w:p>
        </w:tc>
      </w:tr>
      <w:tr>
        <w:trPr>
          <w:cantSplit/>
        </w:trPr>
        <w:tc>
          <w:tcPr>
            <w:tcW w:type="dxa" w:w="5400"/>
            <w:vAlign w:val="top"/>
          </w:tcPr>
          <w:p>
            <w:pPr>
              <w:spacing w:after="0"/>
            </w:pPr>
            <w:r>
              <w:t>Security ADR, implementation documentation, and automated tests</w:t>
            </w:r>
          </w:p>
        </w:tc>
        <w:tc>
          <w:tcPr>
            <w:tcW w:type="dxa" w:w="5400"/>
            <w:vAlign w:val="top"/>
          </w:tcPr>
          <w:p>
            <w:pPr>
              <w:spacing w:after="0"/>
            </w:pPr>
            <w:r>
              <w:t>FHIR, sync, portal, AI, backup, restore, printing, reporting, or clinical behavior</w:t>
            </w:r>
          </w:p>
        </w:tc>
      </w:tr>
    </w:tbl>
    <w:p>
      <w:pPr>
        <w:spacing w:after="0" w:line="259" w:lineRule="auto"/>
      </w:pPr>
    </w:p>
    <w:p>
      <w:pPr>
        <w:pStyle w:val="Heading1"/>
        <w:keepNext/>
        <w:pageBreakBefore/>
      </w:pPr>
      <w:r>
        <w:t>6. Required Files</w:t>
      </w:r>
    </w:p>
    <w:tbl>
      <w:tblPr>
        <w:tblStyle w:val="LightShading-Accent1"/>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4896"/>
            <w:vAlign w:val="center"/>
          </w:tcPr>
          <w:p>
            <w:r>
              <w:rPr>
                <w:b/>
              </w:rPr>
              <w:t>Path</w:t>
            </w:r>
          </w:p>
        </w:tc>
        <w:tc>
          <w:tcPr>
            <w:tcW w:type="dxa" w:w="1152"/>
            <w:vAlign w:val="center"/>
          </w:tcPr>
          <w:p>
            <w:r>
              <w:rPr>
                <w:b/>
              </w:rPr>
              <w:t>Action</w:t>
            </w:r>
          </w:p>
        </w:tc>
        <w:tc>
          <w:tcPr>
            <w:tcW w:type="dxa" w:w="4752"/>
            <w:vAlign w:val="center"/>
          </w:tcPr>
          <w:p>
            <w:r>
              <w:rPr>
                <w:b/>
              </w:rPr>
              <w:t>Responsibility</w:t>
            </w:r>
          </w:p>
        </w:tc>
      </w:tr>
      <w:tr>
        <w:trPr>
          <w:cantSplit/>
        </w:trPr>
        <w:tc>
          <w:tcPr>
            <w:tcW w:type="dxa" w:w="4896"/>
            <w:vAlign w:val="top"/>
          </w:tcPr>
          <w:p>
            <w:pPr>
              <w:spacing w:after="0"/>
            </w:pPr>
            <w:r>
              <w:t>doc/HSD-010_Local_Password_Credential_Foundation_Codex_Task.docx</w:t>
            </w:r>
          </w:p>
        </w:tc>
        <w:tc>
          <w:tcPr>
            <w:tcW w:type="dxa" w:w="1152"/>
            <w:vAlign w:val="top"/>
          </w:tcPr>
          <w:p>
            <w:pPr>
              <w:spacing w:after="0"/>
            </w:pPr>
            <w:r>
              <w:t>Add</w:t>
            </w:r>
          </w:p>
        </w:tc>
        <w:tc>
          <w:tcPr>
            <w:tcW w:type="dxa" w:w="4752"/>
            <w:vAlign w:val="top"/>
          </w:tcPr>
          <w:p>
            <w:pPr>
              <w:spacing w:after="0"/>
            </w:pPr>
            <w:r>
              <w:t>Store the approved task document unchanged.</w:t>
            </w:r>
          </w:p>
        </w:tc>
      </w:tr>
      <w:tr>
        <w:trPr>
          <w:cantSplit/>
        </w:trPr>
        <w:tc>
          <w:tcPr>
            <w:tcW w:type="dxa" w:w="4896"/>
            <w:vAlign w:val="top"/>
          </w:tcPr>
          <w:p>
            <w:pPr>
              <w:spacing w:after="0"/>
            </w:pPr>
            <w:r>
              <w:t>src/main/security/index.ts</w:t>
            </w:r>
          </w:p>
        </w:tc>
        <w:tc>
          <w:tcPr>
            <w:tcW w:type="dxa" w:w="1152"/>
            <w:vAlign w:val="top"/>
          </w:tcPr>
          <w:p>
            <w:pPr>
              <w:spacing w:after="0"/>
            </w:pPr>
            <w:r>
              <w:t>Create</w:t>
            </w:r>
          </w:p>
        </w:tc>
        <w:tc>
          <w:tcPr>
            <w:tcW w:type="dxa" w:w="4752"/>
            <w:vAlign w:val="top"/>
          </w:tcPr>
          <w:p>
            <w:pPr>
              <w:spacing w:after="0"/>
            </w:pPr>
            <w:r>
              <w:t>Export the reviewed main-process security API only.</w:t>
            </w:r>
          </w:p>
        </w:tc>
      </w:tr>
      <w:tr>
        <w:trPr>
          <w:cantSplit/>
        </w:trPr>
        <w:tc>
          <w:tcPr>
            <w:tcW w:type="dxa" w:w="4896"/>
            <w:vAlign w:val="top"/>
          </w:tcPr>
          <w:p>
            <w:pPr>
              <w:spacing w:after="0"/>
            </w:pPr>
            <w:r>
              <w:t>src/main/security/password/index.ts</w:t>
            </w:r>
          </w:p>
        </w:tc>
        <w:tc>
          <w:tcPr>
            <w:tcW w:type="dxa" w:w="1152"/>
            <w:vAlign w:val="top"/>
          </w:tcPr>
          <w:p>
            <w:pPr>
              <w:spacing w:after="0"/>
            </w:pPr>
            <w:r>
              <w:t>Create</w:t>
            </w:r>
          </w:p>
        </w:tc>
        <w:tc>
          <w:tcPr>
            <w:tcW w:type="dxa" w:w="4752"/>
            <w:vAlign w:val="top"/>
          </w:tcPr>
          <w:p>
            <w:pPr>
              <w:spacing w:after="0"/>
            </w:pPr>
            <w:r>
              <w:t>Export password contracts, service factory, parameters, and controlled errors.</w:t>
            </w:r>
          </w:p>
        </w:tc>
      </w:tr>
      <w:tr>
        <w:trPr>
          <w:cantSplit/>
        </w:trPr>
        <w:tc>
          <w:tcPr>
            <w:tcW w:type="dxa" w:w="4896"/>
            <w:vAlign w:val="top"/>
          </w:tcPr>
          <w:p>
            <w:pPr>
              <w:spacing w:after="0"/>
            </w:pPr>
            <w:r>
              <w:t>src/main/security/password/password-types.ts</w:t>
            </w:r>
          </w:p>
        </w:tc>
        <w:tc>
          <w:tcPr>
            <w:tcW w:type="dxa" w:w="1152"/>
            <w:vAlign w:val="top"/>
          </w:tcPr>
          <w:p>
            <w:pPr>
              <w:spacing w:after="0"/>
            </w:pPr>
            <w:r>
              <w:t>Create</w:t>
            </w:r>
          </w:p>
        </w:tc>
        <w:tc>
          <w:tcPr>
            <w:tcW w:type="dxa" w:w="4752"/>
            <w:vAlign w:val="top"/>
          </w:tcPr>
          <w:p>
            <w:pPr>
              <w:spacing w:after="0"/>
            </w:pPr>
            <w:r>
              <w:t>Define branded plaintext/hash/salt types, stored credential, service interface, and injected crypto contracts.</w:t>
            </w:r>
          </w:p>
        </w:tc>
      </w:tr>
      <w:tr>
        <w:trPr>
          <w:cantSplit/>
        </w:trPr>
        <w:tc>
          <w:tcPr>
            <w:tcW w:type="dxa" w:w="4896"/>
            <w:vAlign w:val="top"/>
          </w:tcPr>
          <w:p>
            <w:pPr>
              <w:spacing w:after="0"/>
            </w:pPr>
            <w:r>
              <w:t>src/main/security/password/password-parameters.ts</w:t>
            </w:r>
          </w:p>
        </w:tc>
        <w:tc>
          <w:tcPr>
            <w:tcW w:type="dxa" w:w="1152"/>
            <w:vAlign w:val="top"/>
          </w:tcPr>
          <w:p>
            <w:pPr>
              <w:spacing w:after="0"/>
            </w:pPr>
            <w:r>
              <w:t>Create</w:t>
            </w:r>
          </w:p>
        </w:tc>
        <w:tc>
          <w:tcPr>
            <w:tcW w:type="dxa" w:w="4752"/>
            <w:vAlign w:val="top"/>
          </w:tcPr>
          <w:p>
            <w:pPr>
              <w:spacing w:after="0"/>
            </w:pPr>
            <w:r>
              <w:t>Define and freeze the exact scrypt-v1 parameter set and serialization constants.</w:t>
            </w:r>
          </w:p>
        </w:tc>
      </w:tr>
      <w:tr>
        <w:trPr>
          <w:cantSplit/>
        </w:trPr>
        <w:tc>
          <w:tcPr>
            <w:tcW w:type="dxa" w:w="4896"/>
            <w:vAlign w:val="top"/>
          </w:tcPr>
          <w:p>
            <w:pPr>
              <w:spacing w:after="0"/>
            </w:pPr>
            <w:r>
              <w:t>src/main/security/password/password-validation.ts</w:t>
            </w:r>
          </w:p>
        </w:tc>
        <w:tc>
          <w:tcPr>
            <w:tcW w:type="dxa" w:w="1152"/>
            <w:vAlign w:val="top"/>
          </w:tcPr>
          <w:p>
            <w:pPr>
              <w:spacing w:after="0"/>
            </w:pPr>
            <w:r>
              <w:t>Create</w:t>
            </w:r>
          </w:p>
        </w:tc>
        <w:tc>
          <w:tcPr>
            <w:tcW w:type="dxa" w:w="4752"/>
            <w:vAlign w:val="top"/>
          </w:tcPr>
          <w:p>
            <w:pPr>
              <w:spacing w:after="0"/>
            </w:pPr>
            <w:r>
              <w:t>Validate exact plaintext password input without trimming or normalization.</w:t>
            </w:r>
          </w:p>
        </w:tc>
      </w:tr>
      <w:tr>
        <w:trPr>
          <w:cantSplit/>
        </w:trPr>
        <w:tc>
          <w:tcPr>
            <w:tcW w:type="dxa" w:w="4896"/>
            <w:vAlign w:val="top"/>
          </w:tcPr>
          <w:p>
            <w:pPr>
              <w:spacing w:after="0"/>
            </w:pPr>
            <w:r>
              <w:t>src/main/security/password/password-credential-format.ts</w:t>
            </w:r>
          </w:p>
        </w:tc>
        <w:tc>
          <w:tcPr>
            <w:tcW w:type="dxa" w:w="1152"/>
            <w:vAlign w:val="top"/>
          </w:tcPr>
          <w:p>
            <w:pPr>
              <w:spacing w:after="0"/>
            </w:pPr>
            <w:r>
              <w:t>Create</w:t>
            </w:r>
          </w:p>
        </w:tc>
        <w:tc>
          <w:tcPr>
            <w:tcW w:type="dxa" w:w="4752"/>
            <w:vAlign w:val="top"/>
          </w:tcPr>
          <w:p>
            <w:pPr>
              <w:spacing w:after="0"/>
            </w:pPr>
            <w:r>
              <w:t>Serialize and strictly parse canonical password_hash and password_salt values.</w:t>
            </w:r>
          </w:p>
        </w:tc>
      </w:tr>
      <w:tr>
        <w:trPr>
          <w:cantSplit/>
        </w:trPr>
        <w:tc>
          <w:tcPr>
            <w:tcW w:type="dxa" w:w="4896"/>
            <w:vAlign w:val="top"/>
          </w:tcPr>
          <w:p>
            <w:pPr>
              <w:spacing w:after="0"/>
            </w:pPr>
            <w:r>
              <w:t>src/main/security/password/password-crypto.ts</w:t>
            </w:r>
          </w:p>
        </w:tc>
        <w:tc>
          <w:tcPr>
            <w:tcW w:type="dxa" w:w="1152"/>
            <w:vAlign w:val="top"/>
          </w:tcPr>
          <w:p>
            <w:pPr>
              <w:spacing w:after="0"/>
            </w:pPr>
            <w:r>
              <w:t>Create</w:t>
            </w:r>
          </w:p>
        </w:tc>
        <w:tc>
          <w:tcPr>
            <w:tcW w:type="dxa" w:w="4752"/>
            <w:vAlign w:val="top"/>
          </w:tcPr>
          <w:p>
            <w:pPr>
              <w:spacing w:after="0"/>
            </w:pPr>
            <w:r>
              <w:t>Wrap randomBytes, asynchronous scrypt, and timingSafeEqual behind an injectable main-process adapter.</w:t>
            </w:r>
          </w:p>
        </w:tc>
      </w:tr>
      <w:tr>
        <w:trPr>
          <w:cantSplit/>
        </w:trPr>
        <w:tc>
          <w:tcPr>
            <w:tcW w:type="dxa" w:w="4896"/>
            <w:vAlign w:val="top"/>
          </w:tcPr>
          <w:p>
            <w:pPr>
              <w:spacing w:after="0"/>
            </w:pPr>
            <w:r>
              <w:t>src/main/security/password/password-service.ts</w:t>
            </w:r>
          </w:p>
        </w:tc>
        <w:tc>
          <w:tcPr>
            <w:tcW w:type="dxa" w:w="1152"/>
            <w:vAlign w:val="top"/>
          </w:tcPr>
          <w:p>
            <w:pPr>
              <w:spacing w:after="0"/>
            </w:pPr>
            <w:r>
              <w:t>Create</w:t>
            </w:r>
          </w:p>
        </w:tc>
        <w:tc>
          <w:tcPr>
            <w:tcW w:type="dxa" w:w="4752"/>
            <w:vAlign w:val="top"/>
          </w:tcPr>
          <w:p>
            <w:pPr>
              <w:spacing w:after="0"/>
            </w:pPr>
            <w:r>
              <w:t>Implement hash and verify behavior using validated input and strict credential parsing.</w:t>
            </w:r>
          </w:p>
        </w:tc>
      </w:tr>
      <w:tr>
        <w:trPr>
          <w:cantSplit/>
        </w:trPr>
        <w:tc>
          <w:tcPr>
            <w:tcW w:type="dxa" w:w="4896"/>
            <w:vAlign w:val="top"/>
          </w:tcPr>
          <w:p>
            <w:pPr>
              <w:spacing w:after="0"/>
            </w:pPr>
            <w:r>
              <w:t>src/main/security/password/password-errors.ts</w:t>
            </w:r>
          </w:p>
        </w:tc>
        <w:tc>
          <w:tcPr>
            <w:tcW w:type="dxa" w:w="1152"/>
            <w:vAlign w:val="top"/>
          </w:tcPr>
          <w:p>
            <w:pPr>
              <w:spacing w:after="0"/>
            </w:pPr>
            <w:r>
              <w:t>Create</w:t>
            </w:r>
          </w:p>
        </w:tc>
        <w:tc>
          <w:tcPr>
            <w:tcW w:type="dxa" w:w="4752"/>
            <w:vAlign w:val="top"/>
          </w:tcPr>
          <w:p>
            <w:pPr>
              <w:spacing w:after="0"/>
            </w:pPr>
            <w:r>
              <w:t>Define clean fixed password-domain errors and reconstruction helpers.</w:t>
            </w:r>
          </w:p>
        </w:tc>
      </w:tr>
      <w:tr>
        <w:trPr>
          <w:cantSplit/>
        </w:trPr>
        <w:tc>
          <w:tcPr>
            <w:tcW w:type="dxa" w:w="4896"/>
            <w:vAlign w:val="top"/>
          </w:tcPr>
          <w:p>
            <w:pPr>
              <w:spacing w:after="0"/>
            </w:pPr>
            <w:r>
              <w:t>src/main/foundation/error-type.ts</w:t>
            </w:r>
          </w:p>
        </w:tc>
        <w:tc>
          <w:tcPr>
            <w:tcW w:type="dxa" w:w="1152"/>
            <w:vAlign w:val="top"/>
          </w:tcPr>
          <w:p>
            <w:pPr>
              <w:spacing w:after="0"/>
            </w:pPr>
            <w:r>
              <w:t>Modify</w:t>
            </w:r>
          </w:p>
        </w:tc>
        <w:tc>
          <w:tcPr>
            <w:tcW w:type="dxa" w:w="4752"/>
            <w:vAlign w:val="top"/>
          </w:tcPr>
          <w:p>
            <w:pPr>
              <w:spacing w:after="0"/>
            </w:pPr>
            <w:r>
              <w:t>Allowlist only the reviewed password error class names.</w:t>
            </w:r>
          </w:p>
        </w:tc>
      </w:tr>
      <w:tr>
        <w:trPr>
          <w:cantSplit/>
        </w:trPr>
        <w:tc>
          <w:tcPr>
            <w:tcW w:type="dxa" w:w="4896"/>
            <w:vAlign w:val="top"/>
          </w:tcPr>
          <w:p>
            <w:pPr>
              <w:spacing w:after="0"/>
            </w:pPr>
            <w:r>
              <w:t>docs/adr/ADR-010-local-password-credentials.md</w:t>
            </w:r>
          </w:p>
        </w:tc>
        <w:tc>
          <w:tcPr>
            <w:tcW w:type="dxa" w:w="1152"/>
            <w:vAlign w:val="top"/>
          </w:tcPr>
          <w:p>
            <w:pPr>
              <w:spacing w:after="0"/>
            </w:pPr>
            <w:r>
              <w:t>Create</w:t>
            </w:r>
          </w:p>
        </w:tc>
        <w:tc>
          <w:tcPr>
            <w:tcW w:type="dxa" w:w="4752"/>
            <w:vAlign w:val="top"/>
          </w:tcPr>
          <w:p>
            <w:pPr>
              <w:spacing w:after="0"/>
            </w:pPr>
            <w:r>
              <w:t>Record scrypt selection, parameters, format, async boundary, and deferred pepper/encryption decisions.</w:t>
            </w:r>
          </w:p>
        </w:tc>
      </w:tr>
      <w:tr>
        <w:trPr>
          <w:cantSplit/>
        </w:trPr>
        <w:tc>
          <w:tcPr>
            <w:tcW w:type="dxa" w:w="4896"/>
            <w:vAlign w:val="top"/>
          </w:tcPr>
          <w:p>
            <w:pPr>
              <w:spacing w:after="0"/>
            </w:pPr>
            <w:r>
              <w:t>docs/security/password-credentials.md</w:t>
            </w:r>
          </w:p>
        </w:tc>
        <w:tc>
          <w:tcPr>
            <w:tcW w:type="dxa" w:w="1152"/>
            <w:vAlign w:val="top"/>
          </w:tcPr>
          <w:p>
            <w:pPr>
              <w:spacing w:after="0"/>
            </w:pPr>
            <w:r>
              <w:t>Create</w:t>
            </w:r>
          </w:p>
        </w:tc>
        <w:tc>
          <w:tcPr>
            <w:tcW w:type="dxa" w:w="4752"/>
            <w:vAlign w:val="top"/>
          </w:tcPr>
          <w:p>
            <w:pPr>
              <w:spacing w:after="0"/>
            </w:pPr>
            <w:r>
              <w:t>Document input rules, format, hashing, verification, error safety, and later-service usage.</w:t>
            </w:r>
          </w:p>
        </w:tc>
      </w:tr>
      <w:tr>
        <w:trPr>
          <w:cantSplit/>
        </w:trPr>
        <w:tc>
          <w:tcPr>
            <w:tcW w:type="dxa" w:w="4896"/>
            <w:vAlign w:val="top"/>
          </w:tcPr>
          <w:p>
            <w:pPr>
              <w:spacing w:after="0"/>
            </w:pPr>
            <w:r>
              <w:t>docs/repository-structure.md</w:t>
            </w:r>
          </w:p>
        </w:tc>
        <w:tc>
          <w:tcPr>
            <w:tcW w:type="dxa" w:w="1152"/>
            <w:vAlign w:val="top"/>
          </w:tcPr>
          <w:p>
            <w:pPr>
              <w:spacing w:after="0"/>
            </w:pPr>
            <w:r>
              <w:t>Modify</w:t>
            </w:r>
          </w:p>
        </w:tc>
        <w:tc>
          <w:tcPr>
            <w:tcW w:type="dxa" w:w="4752"/>
            <w:vAlign w:val="top"/>
          </w:tcPr>
          <w:p>
            <w:pPr>
              <w:spacing w:after="0"/>
            </w:pPr>
            <w:r>
              <w:t>Document main-process security/password ownership.</w:t>
            </w:r>
          </w:p>
        </w:tc>
      </w:tr>
      <w:tr>
        <w:trPr>
          <w:cantSplit/>
        </w:trPr>
        <w:tc>
          <w:tcPr>
            <w:tcW w:type="dxa" w:w="4896"/>
            <w:vAlign w:val="top"/>
          </w:tcPr>
          <w:p>
            <w:pPr>
              <w:spacing w:after="0"/>
            </w:pPr>
            <w:r>
              <w:t>docs/engineering-standards.md</w:t>
            </w:r>
          </w:p>
        </w:tc>
        <w:tc>
          <w:tcPr>
            <w:tcW w:type="dxa" w:w="1152"/>
            <w:vAlign w:val="top"/>
          </w:tcPr>
          <w:p>
            <w:pPr>
              <w:spacing w:after="0"/>
            </w:pPr>
            <w:r>
              <w:t>Modify</w:t>
            </w:r>
          </w:p>
        </w:tc>
        <w:tc>
          <w:tcPr>
            <w:tcW w:type="dxa" w:w="4752"/>
            <w:vAlign w:val="top"/>
          </w:tcPr>
          <w:p>
            <w:pPr>
              <w:spacing w:after="0"/>
            </w:pPr>
            <w:r>
              <w:t>Require asynchronous password derivation, exact comparison, and prohibited secret logging.</w:t>
            </w:r>
          </w:p>
        </w:tc>
      </w:tr>
      <w:tr>
        <w:trPr>
          <w:cantSplit/>
        </w:trPr>
        <w:tc>
          <w:tcPr>
            <w:tcW w:type="dxa" w:w="4896"/>
            <w:vAlign w:val="top"/>
          </w:tcPr>
          <w:p>
            <w:pPr>
              <w:spacing w:after="0"/>
            </w:pPr>
            <w:r>
              <w:t>tests/unit/main/password-validation.test.ts</w:t>
            </w:r>
          </w:p>
        </w:tc>
        <w:tc>
          <w:tcPr>
            <w:tcW w:type="dxa" w:w="1152"/>
            <w:vAlign w:val="top"/>
          </w:tcPr>
          <w:p>
            <w:pPr>
              <w:spacing w:after="0"/>
            </w:pPr>
            <w:r>
              <w:t>Create</w:t>
            </w:r>
          </w:p>
        </w:tc>
        <w:tc>
          <w:tcPr>
            <w:tcW w:type="dxa" w:w="4752"/>
            <w:vAlign w:val="top"/>
          </w:tcPr>
          <w:p>
            <w:pPr>
              <w:spacing w:after="0"/>
            </w:pPr>
            <w:r>
              <w:t>Test exact password policy and safe validation failures.</w:t>
            </w:r>
          </w:p>
        </w:tc>
      </w:tr>
      <w:tr>
        <w:trPr>
          <w:cantSplit/>
        </w:trPr>
        <w:tc>
          <w:tcPr>
            <w:tcW w:type="dxa" w:w="4896"/>
            <w:vAlign w:val="top"/>
          </w:tcPr>
          <w:p>
            <w:pPr>
              <w:spacing w:after="0"/>
            </w:pPr>
            <w:r>
              <w:t>tests/unit/main/password-credential-format.test.ts</w:t>
            </w:r>
          </w:p>
        </w:tc>
        <w:tc>
          <w:tcPr>
            <w:tcW w:type="dxa" w:w="1152"/>
            <w:vAlign w:val="top"/>
          </w:tcPr>
          <w:p>
            <w:pPr>
              <w:spacing w:after="0"/>
            </w:pPr>
            <w:r>
              <w:t>Create</w:t>
            </w:r>
          </w:p>
        </w:tc>
        <w:tc>
          <w:tcPr>
            <w:tcW w:type="dxa" w:w="4752"/>
            <w:vAlign w:val="top"/>
          </w:tcPr>
          <w:p>
            <w:pPr>
              <w:spacing w:after="0"/>
            </w:pPr>
            <w:r>
              <w:t>Test canonical serialization, strict parsing, corruption refusal, and no secret leakage.</w:t>
            </w:r>
          </w:p>
        </w:tc>
      </w:tr>
      <w:tr>
        <w:trPr>
          <w:cantSplit/>
        </w:trPr>
        <w:tc>
          <w:tcPr>
            <w:tcW w:type="dxa" w:w="4896"/>
            <w:vAlign w:val="top"/>
          </w:tcPr>
          <w:p>
            <w:pPr>
              <w:spacing w:after="0"/>
            </w:pPr>
            <w:r>
              <w:t>tests/unit/main/password-errors.test.ts</w:t>
            </w:r>
          </w:p>
        </w:tc>
        <w:tc>
          <w:tcPr>
            <w:tcW w:type="dxa" w:w="1152"/>
            <w:vAlign w:val="top"/>
          </w:tcPr>
          <w:p>
            <w:pPr>
              <w:spacing w:after="0"/>
            </w:pPr>
            <w:r>
              <w:t>Create</w:t>
            </w:r>
          </w:p>
        </w:tc>
        <w:tc>
          <w:tcPr>
            <w:tcW w:type="dxa" w:w="4752"/>
            <w:vAlign w:val="top"/>
          </w:tcPr>
          <w:p>
            <w:pPr>
              <w:spacing w:after="0"/>
            </w:pPr>
            <w:r>
              <w:t>Test fixed codes/messages, reconstruction, allowlisting, and serialization safety.</w:t>
            </w:r>
          </w:p>
        </w:tc>
      </w:tr>
      <w:tr>
        <w:trPr>
          <w:cantSplit/>
        </w:trPr>
        <w:tc>
          <w:tcPr>
            <w:tcW w:type="dxa" w:w="4896"/>
            <w:vAlign w:val="top"/>
          </w:tcPr>
          <w:p>
            <w:pPr>
              <w:spacing w:after="0"/>
            </w:pPr>
            <w:r>
              <w:t>tests/unit/main/password-service.test.ts</w:t>
            </w:r>
          </w:p>
        </w:tc>
        <w:tc>
          <w:tcPr>
            <w:tcW w:type="dxa" w:w="1152"/>
            <w:vAlign w:val="top"/>
          </w:tcPr>
          <w:p>
            <w:pPr>
              <w:spacing w:after="0"/>
            </w:pPr>
            <w:r>
              <w:t>Create</w:t>
            </w:r>
          </w:p>
        </w:tc>
        <w:tc>
          <w:tcPr>
            <w:tcW w:type="dxa" w:w="4752"/>
            <w:vAlign w:val="top"/>
          </w:tcPr>
          <w:p>
            <w:pPr>
              <w:spacing w:after="0"/>
            </w:pPr>
            <w:r>
              <w:t>Test service behavior with deterministic injected crypto providers.</w:t>
            </w:r>
          </w:p>
        </w:tc>
      </w:tr>
      <w:tr>
        <w:trPr>
          <w:cantSplit/>
        </w:trPr>
        <w:tc>
          <w:tcPr>
            <w:tcW w:type="dxa" w:w="4896"/>
            <w:vAlign w:val="top"/>
          </w:tcPr>
          <w:p>
            <w:pPr>
              <w:spacing w:after="0"/>
            </w:pPr>
            <w:r>
              <w:t>tests/integration/main/password-crypto.test.ts</w:t>
            </w:r>
          </w:p>
        </w:tc>
        <w:tc>
          <w:tcPr>
            <w:tcW w:type="dxa" w:w="1152"/>
            <w:vAlign w:val="top"/>
          </w:tcPr>
          <w:p>
            <w:pPr>
              <w:spacing w:after="0"/>
            </w:pPr>
            <w:r>
              <w:t>Create</w:t>
            </w:r>
          </w:p>
        </w:tc>
        <w:tc>
          <w:tcPr>
            <w:tcW w:type="dxa" w:w="4752"/>
            <w:vAlign w:val="top"/>
          </w:tcPr>
          <w:p>
            <w:pPr>
              <w:spacing w:after="0"/>
            </w:pPr>
            <w:r>
              <w:t>Test the real node:crypto adapter in a bounded non-database integration suite.</w:t>
            </w:r>
          </w:p>
        </w:tc>
      </w:tr>
    </w:tbl>
    <w:p>
      <w:pPr>
        <w:spacing w:after="0" w:line="259" w:lineRule="auto"/>
      </w:pPr>
    </w:p>
    <w:p>
      <w:pPr>
        <w:pStyle w:val="Heading1"/>
        <w:keepNext/>
      </w:pPr>
      <w:r>
        <w:t>7. Security and Process Architecture</w:t>
      </w:r>
    </w:p>
    <w:p>
      <w:pPr>
        <w:pStyle w:val="Heading2"/>
        <w:keepNext/>
      </w:pPr>
      <w:r>
        <w:t>7.1 Main-process-only boundary</w:t>
      </w:r>
    </w:p>
    <w:p>
      <w:pPr>
        <w:pStyle w:val="ListBullet"/>
        <w:spacing w:after="40"/>
      </w:pPr>
      <w:r>
        <w:t>All password implementation remains under src/main/security/password.</w:t>
      </w:r>
    </w:p>
    <w:p>
      <w:pPr>
        <w:pStyle w:val="ListBullet"/>
        <w:spacing w:after="40"/>
      </w:pPr>
      <w:r>
        <w:t>Renderer, preload, shared IPC contracts, and browser bundles must not import node:crypto or password implementation modules.</w:t>
      </w:r>
    </w:p>
    <w:p>
      <w:pPr>
        <w:pStyle w:val="ListBullet"/>
        <w:spacing w:after="40"/>
      </w:pPr>
      <w:r>
        <w:t>Do not expose a generic cryptography API through contextBridge or IPC.</w:t>
      </w:r>
    </w:p>
    <w:p>
      <w:pPr>
        <w:pStyle w:val="ListBullet"/>
        <w:spacing w:after="40"/>
      </w:pPr>
      <w:r>
        <w:t>Future IPC handlers must call application services, not the password primitive directly.</w:t>
      </w:r>
    </w:p>
    <w:p>
      <w:pPr>
        <w:pStyle w:val="Heading2"/>
        <w:keepNext/>
      </w:pPr>
      <w:r>
        <w:t>7.2 Asynchronous boundary</w:t>
      </w:r>
    </w:p>
    <w:p>
      <w:pPr>
        <w:pStyle w:val="ListBullet"/>
        <w:spacing w:after="40"/>
      </w:pPr>
      <w:r>
        <w:t>Use the asynchronous node:crypto scrypt API. Do not use scryptSync in production code.</w:t>
      </w:r>
    </w:p>
    <w:p>
      <w:pPr>
        <w:pStyle w:val="ListBullet"/>
        <w:spacing w:after="40"/>
      </w:pPr>
      <w:r>
        <w:t>hash() and verify() return Promise values and must not be called from inside DatabaseTransactionExecutor.run().</w:t>
      </w:r>
    </w:p>
    <w:p>
      <w:pPr>
        <w:pStyle w:val="ListBullet"/>
        <w:spacing w:after="40"/>
      </w:pPr>
      <w:r>
        <w:t>Do not weaken HSD-008 by allowing Promise-returning transaction callbacks.</w:t>
      </w:r>
    </w:p>
    <w:p>
      <w:pPr>
        <w:pStyle w:val="ListBullet"/>
        <w:spacing w:after="40"/>
      </w:pPr>
      <w:r>
        <w:t>A later first-run service must hash the administrator password before opening its synchronous SQLite transaction and must re-check initialization inside that transaction.</w:t>
      </w:r>
    </w:p>
    <w:p>
      <w:pPr>
        <w:pStyle w:val="Heading2"/>
        <w:keepNext/>
      </w:pPr>
      <w:r>
        <w:t>7.3 Dependency and algorithm boundary</w:t>
      </w:r>
    </w:p>
    <w:p>
      <w:pPr>
        <w:pStyle w:val="ListBullet"/>
        <w:spacing w:after="40"/>
      </w:pPr>
      <w:r>
        <w:t>Use built-in node:crypto only: randomBytes, scrypt, and timingSafeEqual.</w:t>
      </w:r>
    </w:p>
    <w:p>
      <w:pPr>
        <w:pStyle w:val="ListBullet"/>
        <w:spacing w:after="40"/>
      </w:pPr>
      <w:r>
        <w:t>Do not add argon2, bcrypt, libsodium, crypto-js, a generic security framework, or native dependency.</w:t>
      </w:r>
    </w:p>
    <w:p>
      <w:pPr>
        <w:pStyle w:val="ListBullet"/>
        <w:spacing w:after="40"/>
      </w:pPr>
      <w:r>
        <w:t>Do not implement cryptographic primitives manually.</w:t>
      </w:r>
    </w:p>
    <w:p>
      <w:pPr>
        <w:pStyle w:val="ListBullet"/>
        <w:spacing w:after="40"/>
      </w:pPr>
      <w:r>
        <w:t>Do not silently fall back to a weaker algorithm or parameter set when scrypt fails.</w:t>
      </w:r>
    </w:p>
    <w:p>
      <w:pPr>
        <w:pStyle w:val="Heading1"/>
        <w:keepNext/>
      </w:pPr>
      <w:r>
        <w:t>8. Required Public Contracts</w:t>
      </w:r>
    </w:p>
    <w:p>
      <w:pPr>
        <w:pStyle w:val="CodeBlock"/>
        <w:keepLines/>
      </w:pPr>
      <w:r>
        <w:t>export type PlaintextPassword = string &amp; { readonly __brand: 'PlaintextPassword' }</w:t>
        <w:br/>
        <w:t>export type PasswordHash = string &amp; { readonly __brand: 'PasswordHash' }</w:t>
        <w:br/>
        <w:t>export type PasswordSalt = string &amp; { readonly __brand: 'PasswordSalt' }</w:t>
        <w:br/>
        <w:br/>
        <w:t>export interface StoredPasswordCredential {</w:t>
        <w:br/>
        <w:t xml:space="preserve">  readonly passwordHash: PasswordHash</w:t>
        <w:br/>
        <w:t xml:space="preserve">  readonly passwordSalt: PasswordSalt</w:t>
        <w:br/>
        <w:t>}</w:t>
        <w:br/>
        <w:br/>
        <w:t>export interface PasswordCredentialService {</w:t>
        <w:br/>
        <w:t xml:space="preserve">  hash(password: unknown): Promise&lt;StoredPasswordCredential&gt;</w:t>
        <w:br/>
        <w:t xml:space="preserve">  verify(password: unknown, credential: unknown): Promise&lt;boolean&gt;</w:t>
        <w:br/>
        <w:t>}</w:t>
        <w:br/>
      </w:r>
    </w:p>
    <w:p>
      <w:pPr>
        <w:spacing w:before="0" w:after="0" w:line="259" w:lineRule="auto"/>
      </w:pPr>
      <w:r>
        <w:rPr>
          <w:b w:val="0"/>
          <w:i w:val="0"/>
        </w:rPr>
        <w:t>Equivalent names are acceptable only when the semantics remain exact. Returned credentials must be frozen or otherwise immutable at runtime. Plaintext passwords must never be included in a returned object.</w:t>
      </w:r>
    </w:p>
    <w:p>
      <w:pPr>
        <w:pStyle w:val="Heading1"/>
        <w:keepNext/>
      </w:pPr>
      <w:r>
        <w:t>9. Plaintext Password Contract</w:t>
      </w:r>
    </w:p>
    <w:p>
      <w:pPr>
        <w:spacing w:before="0" w:after="0" w:line="259" w:lineRule="auto"/>
      </w:pPr>
      <w:r>
        <w:rPr>
          <w:b w:val="0"/>
          <w:i w:val="0"/>
        </w:rPr>
        <w:t>The password parser is a policy boundary, not a transformation function. It must preserve the exact user-entered sequence so later verification compares the same value.</w:t>
      </w:r>
    </w:p>
    <w:p>
      <w:pPr>
        <w:pStyle w:val="ListBullet"/>
        <w:spacing w:after="40"/>
      </w:pPr>
      <w:r>
        <w:t>Require a JavaScript string.</w:t>
      </w:r>
    </w:p>
    <w:p>
      <w:pPr>
        <w:pStyle w:val="ListBullet"/>
        <w:spacing w:after="40"/>
      </w:pPr>
      <w:r>
        <w:t>Require 12 through 128 Unicode code points.</w:t>
      </w:r>
    </w:p>
    <w:p>
      <w:pPr>
        <w:pStyle w:val="ListBullet"/>
        <w:spacing w:after="40"/>
      </w:pPr>
      <w:r>
        <w:t>Require no more than 512 UTF-8 bytes after encoding.</w:t>
      </w:r>
    </w:p>
    <w:p>
      <w:pPr>
        <w:pStyle w:val="ListBullet"/>
        <w:spacing w:after="40"/>
      </w:pPr>
      <w:r>
        <w:t>Reject null bytes, C0/C1 controls, line separators, paragraph separators, and unpaired surrogate code units.</w:t>
      </w:r>
    </w:p>
    <w:p>
      <w:pPr>
        <w:pStyle w:val="ListBullet"/>
        <w:spacing w:after="40"/>
      </w:pPr>
      <w:r>
        <w:t>Allow ordinary spaces and printable Unicode characters.</w:t>
      </w:r>
    </w:p>
    <w:p>
      <w:pPr>
        <w:pStyle w:val="ListBullet"/>
        <w:spacing w:after="40"/>
      </w:pPr>
      <w:r>
        <w:t>Do not trim leading or trailing spaces.</w:t>
      </w:r>
    </w:p>
    <w:p>
      <w:pPr>
        <w:pStyle w:val="ListBullet"/>
        <w:spacing w:after="40"/>
      </w:pPr>
      <w:r>
        <w:t>Do not collapse whitespace.</w:t>
      </w:r>
    </w:p>
    <w:p>
      <w:pPr>
        <w:pStyle w:val="ListBullet"/>
        <w:spacing w:after="40"/>
      </w:pPr>
      <w:r>
        <w:t>Do not lowercase, case-fold, apply NFKC/NFC normalization, or otherwise rewrite the password.</w:t>
      </w:r>
    </w:p>
    <w:p>
      <w:pPr>
        <w:pStyle w:val="ListBullet"/>
        <w:spacing w:after="40"/>
      </w:pPr>
      <w:r>
        <w:t>Do not require arbitrary uppercase, lowercase, digit, or symbol composition rules in this foundation task.</w:t>
      </w:r>
    </w:p>
    <w:p>
      <w:pPr>
        <w:pStyle w:val="ListBullet"/>
        <w:spacing w:after="40"/>
      </w:pPr>
      <w:r>
        <w:t>Do not include the password, its length, byte count, character classes, or rejected fragments in errors or logs.</w:t>
      </w:r>
    </w:p>
    <w:tbl>
      <w:tblPr>
        <w:tblW w:type="auto" w:w="0"/>
        <w:jc w:val="center"/>
        <w:tblLook w:firstColumn="1" w:firstRow="1" w:lastColumn="0" w:lastRow="0" w:noHBand="0" w:noVBand="1" w:val="04A0"/>
      </w:tblPr>
      <w:tblGrid>
        <w:gridCol w:w="10080"/>
      </w:tblGrid>
      <w:tr>
        <w:trPr>
          <w:cantSplit/>
        </w:trPr>
        <w:tc>
          <w:tcPr>
            <w:tcW w:type="dxa" w:w="10080"/>
            <w:vAlign w:val="center"/>
            <w:shd w:fill="EAF2F8"/>
          </w:tcPr>
          <w:p>
            <w:pPr>
              <w:spacing w:after="0"/>
            </w:pPr>
            <w:r>
              <w:rPr>
                <w:b/>
              </w:rPr>
              <w:t>Exactness rule: " password ", "password", and visually similar composed/decomposed Unicode sequences are distinct credentials. The UI may later help users avoid accidental whitespace, but the cryptographic foundation must not rewrite secrets.</w:t>
            </w:r>
          </w:p>
        </w:tc>
      </w:tr>
    </w:tbl>
    <w:p>
      <w:pPr>
        <w:spacing w:after="0" w:line="259" w:lineRule="auto"/>
      </w:pPr>
    </w:p>
    <w:p>
      <w:pPr>
        <w:pStyle w:val="Heading1"/>
        <w:keepNext/>
        <w:pageBreakBefore/>
      </w:pPr>
      <w:r>
        <w:t>10. Scrypt-v1 Parameters and Credential Format</w:t>
      </w:r>
    </w:p>
    <w:p>
      <w:pPr>
        <w:pStyle w:val="Heading2"/>
        <w:keepNext/>
      </w:pPr>
      <w:r>
        <w:t>10.1 Fixed production parameters</w:t>
      </w:r>
    </w:p>
    <w:tbl>
      <w:tblPr>
        <w:tblStyle w:val="LightShading-Accent1"/>
        <w:tblW w:type="auto" w:w="0"/>
        <w:jc w:val="center"/>
        <w:tblLayout w:type="autofit"/>
        <w:tblLook w:firstColumn="1" w:firstRow="1" w:lastColumn="0" w:lastRow="0" w:noHBand="0" w:noVBand="1" w:val="04A0"/>
      </w:tblPr>
      <w:tblGrid>
        <w:gridCol w:w="5040"/>
        <w:gridCol w:w="5040"/>
      </w:tblGrid>
      <w:tr>
        <w:trPr>
          <w:tblHeader w:val="true"/>
          <w:cantSplit/>
        </w:trPr>
        <w:tc>
          <w:tcPr>
            <w:tcW w:type="dxa" w:w="3456"/>
            <w:vAlign w:val="center"/>
          </w:tcPr>
          <w:p>
            <w:r>
              <w:rPr>
                <w:b/>
              </w:rPr>
              <w:t>Parameter</w:t>
            </w:r>
          </w:p>
        </w:tc>
        <w:tc>
          <w:tcPr>
            <w:tcW w:type="dxa" w:w="7344"/>
            <w:vAlign w:val="center"/>
          </w:tcPr>
          <w:p>
            <w:r>
              <w:rPr>
                <w:b/>
              </w:rPr>
              <w:t>Required value</w:t>
            </w:r>
          </w:p>
        </w:tc>
      </w:tr>
      <w:tr>
        <w:trPr>
          <w:cantSplit/>
        </w:trPr>
        <w:tc>
          <w:tcPr>
            <w:tcW w:type="dxa" w:w="3456"/>
            <w:vAlign w:val="top"/>
          </w:tcPr>
          <w:p>
            <w:pPr>
              <w:spacing w:after="0"/>
            </w:pPr>
            <w:r>
              <w:t>Algorithm/version</w:t>
            </w:r>
          </w:p>
        </w:tc>
        <w:tc>
          <w:tcPr>
            <w:tcW w:type="dxa" w:w="7344"/>
            <w:vAlign w:val="top"/>
          </w:tcPr>
          <w:p>
            <w:pPr>
              <w:spacing w:after="0"/>
            </w:pPr>
            <w:r>
              <w:t>scrypt-v1</w:t>
            </w:r>
          </w:p>
        </w:tc>
      </w:tr>
      <w:tr>
        <w:trPr>
          <w:cantSplit/>
        </w:trPr>
        <w:tc>
          <w:tcPr>
            <w:tcW w:type="dxa" w:w="3456"/>
            <w:vAlign w:val="top"/>
          </w:tcPr>
          <w:p>
            <w:pPr>
              <w:spacing w:after="0"/>
            </w:pPr>
            <w:r>
              <w:t>Salt length</w:t>
            </w:r>
          </w:p>
        </w:tc>
        <w:tc>
          <w:tcPr>
            <w:tcW w:type="dxa" w:w="7344"/>
            <w:vAlign w:val="top"/>
          </w:tcPr>
          <w:p>
            <w:pPr>
              <w:spacing w:after="0"/>
            </w:pPr>
            <w:r>
              <w:t>32 random bytes</w:t>
            </w:r>
          </w:p>
        </w:tc>
      </w:tr>
      <w:tr>
        <w:trPr>
          <w:cantSplit/>
        </w:trPr>
        <w:tc>
          <w:tcPr>
            <w:tcW w:type="dxa" w:w="3456"/>
            <w:vAlign w:val="top"/>
          </w:tcPr>
          <w:p>
            <w:pPr>
              <w:spacing w:after="0"/>
            </w:pPr>
            <w:r>
              <w:t>Derived-key length</w:t>
            </w:r>
          </w:p>
        </w:tc>
        <w:tc>
          <w:tcPr>
            <w:tcW w:type="dxa" w:w="7344"/>
            <w:vAlign w:val="top"/>
          </w:tcPr>
          <w:p>
            <w:pPr>
              <w:spacing w:after="0"/>
            </w:pPr>
            <w:r>
              <w:t>64 bytes</w:t>
            </w:r>
          </w:p>
        </w:tc>
      </w:tr>
      <w:tr>
        <w:trPr>
          <w:cantSplit/>
        </w:trPr>
        <w:tc>
          <w:tcPr>
            <w:tcW w:type="dxa" w:w="3456"/>
            <w:vAlign w:val="top"/>
          </w:tcPr>
          <w:p>
            <w:pPr>
              <w:spacing w:after="0"/>
            </w:pPr>
            <w:r>
              <w:t>N / cost</w:t>
            </w:r>
          </w:p>
        </w:tc>
        <w:tc>
          <w:tcPr>
            <w:tcW w:type="dxa" w:w="7344"/>
            <w:vAlign w:val="top"/>
          </w:tcPr>
          <w:p>
            <w:pPr>
              <w:spacing w:after="0"/>
            </w:pPr>
            <w:r>
              <w:t>32768 (2^15)</w:t>
            </w:r>
          </w:p>
        </w:tc>
      </w:tr>
      <w:tr>
        <w:trPr>
          <w:cantSplit/>
        </w:trPr>
        <w:tc>
          <w:tcPr>
            <w:tcW w:type="dxa" w:w="3456"/>
            <w:vAlign w:val="top"/>
          </w:tcPr>
          <w:p>
            <w:pPr>
              <w:spacing w:after="0"/>
            </w:pPr>
            <w:r>
              <w:t>r / block size</w:t>
            </w:r>
          </w:p>
        </w:tc>
        <w:tc>
          <w:tcPr>
            <w:tcW w:type="dxa" w:w="7344"/>
            <w:vAlign w:val="top"/>
          </w:tcPr>
          <w:p>
            <w:pPr>
              <w:spacing w:after="0"/>
            </w:pPr>
            <w:r>
              <w:t>8</w:t>
            </w:r>
          </w:p>
        </w:tc>
      </w:tr>
      <w:tr>
        <w:trPr>
          <w:cantSplit/>
        </w:trPr>
        <w:tc>
          <w:tcPr>
            <w:tcW w:type="dxa" w:w="3456"/>
            <w:vAlign w:val="top"/>
          </w:tcPr>
          <w:p>
            <w:pPr>
              <w:spacing w:after="0"/>
            </w:pPr>
            <w:r>
              <w:t>p / parallelization</w:t>
            </w:r>
          </w:p>
        </w:tc>
        <w:tc>
          <w:tcPr>
            <w:tcW w:type="dxa" w:w="7344"/>
            <w:vAlign w:val="top"/>
          </w:tcPr>
          <w:p>
            <w:pPr>
              <w:spacing w:after="0"/>
            </w:pPr>
            <w:r>
              <w:t>3</w:t>
            </w:r>
          </w:p>
        </w:tc>
      </w:tr>
      <w:tr>
        <w:trPr>
          <w:cantSplit/>
        </w:trPr>
        <w:tc>
          <w:tcPr>
            <w:tcW w:type="dxa" w:w="3456"/>
            <w:vAlign w:val="top"/>
          </w:tcPr>
          <w:p>
            <w:pPr>
              <w:spacing w:after="0"/>
            </w:pPr>
            <w:r>
              <w:t>maxmem</w:t>
            </w:r>
          </w:p>
        </w:tc>
        <w:tc>
          <w:tcPr>
            <w:tcW w:type="dxa" w:w="7344"/>
            <w:vAlign w:val="top"/>
          </w:tcPr>
          <w:p>
            <w:pPr>
              <w:spacing w:after="0"/>
            </w:pPr>
            <w:r>
              <w:t>67108864 bytes (64 MiB)</w:t>
            </w:r>
          </w:p>
        </w:tc>
      </w:tr>
      <w:tr>
        <w:trPr>
          <w:cantSplit/>
        </w:trPr>
        <w:tc>
          <w:tcPr>
            <w:tcW w:type="dxa" w:w="3456"/>
            <w:vAlign w:val="top"/>
          </w:tcPr>
          <w:p>
            <w:pPr>
              <w:spacing w:after="0"/>
            </w:pPr>
            <w:r>
              <w:t>Text encoding</w:t>
            </w:r>
          </w:p>
        </w:tc>
        <w:tc>
          <w:tcPr>
            <w:tcW w:type="dxa" w:w="7344"/>
            <w:vAlign w:val="top"/>
          </w:tcPr>
          <w:p>
            <w:pPr>
              <w:spacing w:after="0"/>
            </w:pPr>
            <w:r>
              <w:t>UTF-8</w:t>
            </w:r>
          </w:p>
        </w:tc>
      </w:tr>
      <w:tr>
        <w:trPr>
          <w:cantSplit/>
        </w:trPr>
        <w:tc>
          <w:tcPr>
            <w:tcW w:type="dxa" w:w="3456"/>
            <w:vAlign w:val="top"/>
          </w:tcPr>
          <w:p>
            <w:pPr>
              <w:spacing w:after="0"/>
            </w:pPr>
            <w:r>
              <w:t>Binary encoding</w:t>
            </w:r>
          </w:p>
        </w:tc>
        <w:tc>
          <w:tcPr>
            <w:tcW w:type="dxa" w:w="7344"/>
            <w:vAlign w:val="top"/>
          </w:tcPr>
          <w:p>
            <w:pPr>
              <w:spacing w:after="0"/>
            </w:pPr>
            <w:r>
              <w:t>Unpadded canonical base64url</w:t>
            </w:r>
          </w:p>
        </w:tc>
      </w:tr>
    </w:tbl>
    <w:p>
      <w:pPr>
        <w:spacing w:after="0" w:line="259" w:lineRule="auto"/>
      </w:pPr>
    </w:p>
    <w:p>
      <w:pPr>
        <w:pStyle w:val="ListBullet"/>
        <w:spacing w:after="40"/>
      </w:pPr>
      <w:r>
        <w:t>Export the parameter object as a frozen readonly value.</w:t>
      </w:r>
    </w:p>
    <w:p>
      <w:pPr>
        <w:pStyle w:val="ListBullet"/>
        <w:spacing w:after="40"/>
      </w:pPr>
      <w:r>
        <w:t>Pass the exact N, r, p, and maxmem values to node:crypto scrypt.</w:t>
      </w:r>
    </w:p>
    <w:p>
      <w:pPr>
        <w:pStyle w:val="ListBullet"/>
        <w:spacing w:after="40"/>
      </w:pPr>
      <w:r>
        <w:t>Do not rely on Node defaults because stored credentials must remain reproducible across runtime upgrades.</w:t>
      </w:r>
    </w:p>
    <w:p>
      <w:pPr>
        <w:pStyle w:val="ListBullet"/>
        <w:spacing w:after="40"/>
      </w:pPr>
      <w:r>
        <w:t>Do not expose parameter overrides to renderer, IPC, ordinary application configuration, environment variables, or user settings.</w:t>
      </w:r>
    </w:p>
    <w:p>
      <w:pPr>
        <w:pStyle w:val="Heading2"/>
        <w:keepNext/>
      </w:pPr>
      <w:r>
        <w:t>10.2 Canonical password_hash format</w:t>
      </w:r>
    </w:p>
    <w:p>
      <w:pPr>
        <w:pStyle w:val="CodeBlock"/>
        <w:keepLines/>
      </w:pPr>
      <w:r>
        <w:t>scrypt-v1$N=32768$r=8$p=3$dk=64$&lt;86-character-unpadded-base64url-derived-key&gt;</w:t>
      </w:r>
    </w:p>
    <w:p>
      <w:pPr>
        <w:pStyle w:val="Heading2"/>
        <w:keepNext/>
      </w:pPr>
      <w:r>
        <w:t>10.3 Canonical password_salt format</w:t>
      </w:r>
    </w:p>
    <w:p>
      <w:pPr>
        <w:pStyle w:val="CodeBlock"/>
        <w:keepLines/>
      </w:pPr>
      <w:r>
        <w:t>&lt;43-character-unpadded-base64url-encoding-of-exactly-32-bytes&gt;</w:t>
      </w:r>
    </w:p>
    <w:p>
      <w:pPr>
        <w:pStyle w:val="ListBullet"/>
        <w:spacing w:after="40"/>
      </w:pPr>
      <w:r>
        <w:t>Serialization must be deterministic and canonical.</w:t>
      </w:r>
    </w:p>
    <w:p>
      <w:pPr>
        <w:pStyle w:val="ListBullet"/>
        <w:spacing w:after="40"/>
      </w:pPr>
      <w:r>
        <w:t>Reject leading/trailing whitespace, padding characters, standard base64 + or / characters, alternate casing, leading zeros in numeric values, duplicate segments, reordered segments, unknown segments, or trailing data.</w:t>
      </w:r>
    </w:p>
    <w:p>
      <w:pPr>
        <w:pStyle w:val="ListBullet"/>
        <w:spacing w:after="40"/>
      </w:pPr>
      <w:r>
        <w:t>Decode the salt and derived key and verify the exact byte lengths.</w:t>
      </w:r>
    </w:p>
    <w:p>
      <w:pPr>
        <w:pStyle w:val="ListBullet"/>
        <w:spacing w:after="40"/>
      </w:pPr>
      <w:r>
        <w:t>Reject unsupported algorithm versions and parameter sets as PasswordCredentialFormatError, not as a wrong password.</w:t>
      </w:r>
    </w:p>
    <w:p>
      <w:pPr>
        <w:pStyle w:val="ListBullet"/>
        <w:spacing w:after="40"/>
      </w:pPr>
      <w:r>
        <w:t>Do not accept a raw hexadecimal hash or an unversioned legacy format.</w:t>
      </w:r>
    </w:p>
    <w:p>
      <w:pPr>
        <w:pStyle w:val="Heading1"/>
        <w:keepNext/>
      </w:pPr>
      <w:r>
        <w:t>11. Hashing Behavior</w:t>
      </w:r>
    </w:p>
    <w:p>
      <w:pPr>
        <w:pStyle w:val="ListBullet"/>
        <w:spacing w:after="40"/>
      </w:pPr>
      <w:r>
        <w:t>Validate the plaintext password before invoking any crypto provider.</w:t>
      </w:r>
    </w:p>
    <w:p>
      <w:pPr>
        <w:pStyle w:val="ListBullet"/>
        <w:spacing w:after="40"/>
      </w:pPr>
      <w:r>
        <w:t>Generate a fresh 32-byte salt for every successful hash operation.</w:t>
      </w:r>
    </w:p>
    <w:p>
      <w:pPr>
        <w:pStyle w:val="ListBullet"/>
        <w:spacing w:after="40"/>
      </w:pPr>
      <w:r>
        <w:t>Encode the exact password as UTF-8 bytes.</w:t>
      </w:r>
    </w:p>
    <w:p>
      <w:pPr>
        <w:pStyle w:val="ListBullet"/>
        <w:spacing w:after="40"/>
      </w:pPr>
      <w:r>
        <w:t>Derive exactly 64 bytes with the fixed scrypt-v1 parameters.</w:t>
      </w:r>
    </w:p>
    <w:p>
      <w:pPr>
        <w:pStyle w:val="ListBullet"/>
        <w:spacing w:after="40"/>
      </w:pPr>
      <w:r>
        <w:t>Serialize passwordHash and passwordSalt using the canonical formats.</w:t>
      </w:r>
    </w:p>
    <w:p>
      <w:pPr>
        <w:pStyle w:val="ListBullet"/>
        <w:spacing w:after="40"/>
      </w:pPr>
      <w:r>
        <w:t>Return a new frozen StoredPasswordCredential.</w:t>
      </w:r>
    </w:p>
    <w:p>
      <w:pPr>
        <w:pStyle w:val="ListBullet"/>
        <w:spacing w:after="40"/>
      </w:pPr>
      <w:r>
        <w:t>Two successful hashes of the same password must normally have different salts and derived keys.</w:t>
      </w:r>
    </w:p>
    <w:p>
      <w:pPr>
        <w:pStyle w:val="ListBullet"/>
        <w:spacing w:after="40"/>
      </w:pPr>
      <w:r>
        <w:t>A random-source or scrypt failure must return only a controlled PasswordHashingError.</w:t>
      </w:r>
    </w:p>
    <w:p>
      <w:pPr>
        <w:pStyle w:val="ListBullet"/>
        <w:spacing w:after="40"/>
      </w:pPr>
      <w:r>
        <w:t>Do not retry, lower parameters, reuse a previous salt, or return a partial credential.</w:t>
      </w:r>
    </w:p>
    <w:p>
      <w:pPr>
        <w:pStyle w:val="Heading1"/>
        <w:keepNext/>
      </w:pPr>
      <w:r>
        <w:t>12. Verification Behavior</w:t>
      </w:r>
    </w:p>
    <w:p>
      <w:pPr>
        <w:pStyle w:val="ListBullet"/>
        <w:spacing w:after="40"/>
      </w:pPr>
      <w:r>
        <w:t>Validate the candidate plaintext password using the same exact parser.</w:t>
      </w:r>
    </w:p>
    <w:p>
      <w:pPr>
        <w:pStyle w:val="ListBullet"/>
        <w:spacing w:after="40"/>
      </w:pPr>
      <w:r>
        <w:t>Treat the credential argument as unknown and strictly parse both passwordHash and passwordSalt.</w:t>
      </w:r>
    </w:p>
    <w:p>
      <w:pPr>
        <w:pStyle w:val="ListBullet"/>
        <w:spacing w:after="40"/>
      </w:pPr>
      <w:r>
        <w:t>Unsupported or malformed stored credentials must throw PasswordCredentialFormatError.</w:t>
      </w:r>
    </w:p>
    <w:p>
      <w:pPr>
        <w:pStyle w:val="ListBullet"/>
        <w:spacing w:after="40"/>
      </w:pPr>
      <w:r>
        <w:t>Re-derive a 64-byte candidate key with the parameters encoded in the accepted scrypt-v1 format.</w:t>
      </w:r>
    </w:p>
    <w:p>
      <w:pPr>
        <w:pStyle w:val="ListBullet"/>
        <w:spacing w:after="40"/>
      </w:pPr>
      <w:r>
        <w:t>Compare candidate and stored derived-key bytes with node:crypto timingSafeEqual.</w:t>
      </w:r>
    </w:p>
    <w:p>
      <w:pPr>
        <w:pStyle w:val="ListBullet"/>
        <w:spacing w:after="40"/>
      </w:pPr>
      <w:r>
        <w:t>Call timingSafeEqual only after strict parsing proves equal byte lengths.</w:t>
      </w:r>
    </w:p>
    <w:p>
      <w:pPr>
        <w:pStyle w:val="ListBullet"/>
        <w:spacing w:after="40"/>
      </w:pPr>
      <w:r>
        <w:t>Return true for a matching password and false for a well-formed credential with a nonmatching password.</w:t>
      </w:r>
    </w:p>
    <w:p>
      <w:pPr>
        <w:pStyle w:val="ListBullet"/>
        <w:spacing w:after="40"/>
      </w:pPr>
      <w:r>
        <w:t>A nonmatch is not an exception and must not be logged by this primitive.</w:t>
      </w:r>
    </w:p>
    <w:p>
      <w:pPr>
        <w:pStyle w:val="ListBullet"/>
        <w:spacing w:after="40"/>
      </w:pPr>
      <w:r>
        <w:t>A crypto-provider failure during verification must throw only PasswordVerificationError.</w:t>
      </w:r>
    </w:p>
    <w:p>
      <w:pPr>
        <w:pStyle w:val="ListBullet"/>
        <w:spacing w:after="40"/>
      </w:pPr>
      <w:r>
        <w:t>Do not reveal whether a mismatch occurred early, which byte differed, or any credential component.</w:t>
      </w:r>
    </w:p>
    <w:p>
      <w:pPr>
        <w:pStyle w:val="Heading1"/>
        <w:keepNext/>
      </w:pPr>
      <w:r>
        <w:t>13. Controlled Password Errors</w:t>
      </w:r>
    </w:p>
    <w:tbl>
      <w:tblPr>
        <w:tblStyle w:val="LightShading-Accent1"/>
        <w:tblW w:type="auto" w:w="0"/>
        <w:jc w:val="center"/>
        <w:tblLayout w:type="autofit"/>
        <w:tblLook w:firstColumn="1" w:firstRow="1" w:lastColumn="0" w:lastRow="0" w:noHBand="0" w:noVBand="1" w:val="04A0"/>
      </w:tblPr>
      <w:tblGrid>
        <w:gridCol w:w="5040"/>
        <w:gridCol w:w="5040"/>
      </w:tblGrid>
      <w:tr>
        <w:trPr>
          <w:tblHeader w:val="true"/>
          <w:cantSplit/>
        </w:trPr>
        <w:tc>
          <w:tcPr>
            <w:tcW w:type="dxa" w:w="3600"/>
            <w:vAlign w:val="center"/>
          </w:tcPr>
          <w:p>
            <w:r>
              <w:rPr>
                <w:b/>
              </w:rPr>
              <w:t>Controlled error</w:t>
            </w:r>
          </w:p>
        </w:tc>
        <w:tc>
          <w:tcPr>
            <w:tcW w:type="dxa" w:w="7200"/>
            <w:vAlign w:val="center"/>
          </w:tcPr>
          <w:p>
            <w:r>
              <w:rPr>
                <w:b/>
              </w:rPr>
              <w:t>Required meaning</w:t>
            </w:r>
          </w:p>
        </w:tc>
      </w:tr>
      <w:tr>
        <w:trPr>
          <w:cantSplit/>
        </w:trPr>
        <w:tc>
          <w:tcPr>
            <w:tcW w:type="dxa" w:w="3600"/>
            <w:vAlign w:val="top"/>
          </w:tcPr>
          <w:p>
            <w:pPr>
              <w:spacing w:after="0"/>
            </w:pPr>
            <w:r>
              <w:t>PasswordValidationError</w:t>
            </w:r>
          </w:p>
        </w:tc>
        <w:tc>
          <w:tcPr>
            <w:tcW w:type="dxa" w:w="7200"/>
            <w:vAlign w:val="top"/>
          </w:tcPr>
          <w:p>
            <w:pPr>
              <w:spacing w:after="0"/>
            </w:pPr>
            <w:r>
              <w:t>Input is not an acceptable exact plaintext password.</w:t>
            </w:r>
          </w:p>
        </w:tc>
      </w:tr>
      <w:tr>
        <w:trPr>
          <w:cantSplit/>
        </w:trPr>
        <w:tc>
          <w:tcPr>
            <w:tcW w:type="dxa" w:w="3600"/>
            <w:vAlign w:val="top"/>
          </w:tcPr>
          <w:p>
            <w:pPr>
              <w:spacing w:after="0"/>
            </w:pPr>
            <w:r>
              <w:t>PasswordCredentialFormatError</w:t>
            </w:r>
          </w:p>
        </w:tc>
        <w:tc>
          <w:tcPr>
            <w:tcW w:type="dxa" w:w="7200"/>
            <w:vAlign w:val="top"/>
          </w:tcPr>
          <w:p>
            <w:pPr>
              <w:spacing w:after="0"/>
            </w:pPr>
            <w:r>
              <w:t>Stored hash or salt does not match the supported canonical contract.</w:t>
            </w:r>
          </w:p>
        </w:tc>
      </w:tr>
      <w:tr>
        <w:trPr>
          <w:cantSplit/>
        </w:trPr>
        <w:tc>
          <w:tcPr>
            <w:tcW w:type="dxa" w:w="3600"/>
            <w:vAlign w:val="top"/>
          </w:tcPr>
          <w:p>
            <w:pPr>
              <w:spacing w:after="0"/>
            </w:pPr>
            <w:r>
              <w:t>PasswordHashingError</w:t>
            </w:r>
          </w:p>
        </w:tc>
        <w:tc>
          <w:tcPr>
            <w:tcW w:type="dxa" w:w="7200"/>
            <w:vAlign w:val="top"/>
          </w:tcPr>
          <w:p>
            <w:pPr>
              <w:spacing w:after="0"/>
            </w:pPr>
            <w:r>
              <w:t>A new password credential could not be created.</w:t>
            </w:r>
          </w:p>
        </w:tc>
      </w:tr>
      <w:tr>
        <w:trPr>
          <w:cantSplit/>
        </w:trPr>
        <w:tc>
          <w:tcPr>
            <w:tcW w:type="dxa" w:w="3600"/>
            <w:vAlign w:val="top"/>
          </w:tcPr>
          <w:p>
            <w:pPr>
              <w:spacing w:after="0"/>
            </w:pPr>
            <w:r>
              <w:t>PasswordVerificationError</w:t>
            </w:r>
          </w:p>
        </w:tc>
        <w:tc>
          <w:tcPr>
            <w:tcW w:type="dxa" w:w="7200"/>
            <w:vAlign w:val="top"/>
          </w:tcPr>
          <w:p>
            <w:pPr>
              <w:spacing w:after="0"/>
            </w:pPr>
            <w:r>
              <w:t>A well-formed credential could not be verified because the cryptographic operation failed.</w:t>
            </w:r>
          </w:p>
        </w:tc>
      </w:tr>
    </w:tbl>
    <w:p>
      <w:pPr>
        <w:spacing w:after="0" w:line="259" w:lineRule="auto"/>
      </w:pPr>
    </w:p>
    <w:p>
      <w:pPr>
        <w:pStyle w:val="ListBullet"/>
        <w:spacing w:after="40"/>
      </w:pPr>
      <w:r>
        <w:t>Each error must have a fixed reviewed code and fixed safe message.</w:t>
      </w:r>
    </w:p>
    <w:p>
      <w:pPr>
        <w:pStyle w:val="ListBullet"/>
        <w:spacing w:after="40"/>
      </w:pPr>
      <w:r>
        <w:t>Extend the shared errorType allowlist only with these reviewed technical class names.</w:t>
      </w:r>
    </w:p>
    <w:p>
      <w:pPr>
        <w:pStyle w:val="ListBullet"/>
        <w:spacing w:after="40"/>
      </w:pPr>
      <w:r>
        <w:t>Delete or omit stack and cause.</w:t>
      </w:r>
    </w:p>
    <w:p>
      <w:pPr>
        <w:pStyle w:val="ListBullet"/>
        <w:spacing w:after="40"/>
      </w:pPr>
      <w:r>
        <w:t>Do not retain plaintext, salt, hash text, derived-key bytes, crypto options, raw provider error, or input metadata.</w:t>
      </w:r>
    </w:p>
    <w:p>
      <w:pPr>
        <w:pStyle w:val="ListBullet"/>
        <w:spacing w:after="40"/>
      </w:pPr>
      <w:r>
        <w:t>Rebuild controlled errors into new clean instances when crossing internal boundaries. Never return an incoming error object unchanged.</w:t>
      </w:r>
    </w:p>
    <w:p>
      <w:pPr>
        <w:pStyle w:val="ListBullet"/>
        <w:spacing w:after="40"/>
      </w:pPr>
      <w:r>
        <w:t>Password modules must not log. Later authentication services may log fixed events and safe codes only.</w:t>
      </w:r>
    </w:p>
    <w:p>
      <w:pPr>
        <w:pStyle w:val="Heading1"/>
        <w:keepNext/>
      </w:pPr>
      <w:r>
        <w:t>14. Secret Handling and Memory Hygiene</w:t>
      </w:r>
    </w:p>
    <w:p>
      <w:pPr>
        <w:pStyle w:val="ListBullet"/>
        <w:spacing w:after="40"/>
      </w:pPr>
      <w:r>
        <w:t>Never store plaintext passwords in module state, caches, globals, closures that outlive one operation, diagnostics, or test snapshots.</w:t>
      </w:r>
    </w:p>
    <w:p>
      <w:pPr>
        <w:pStyle w:val="ListBullet"/>
        <w:spacing w:after="40"/>
      </w:pPr>
      <w:r>
        <w:t>Do not stringify or serialize plaintext, salt buffers, or derived-key buffers.</w:t>
      </w:r>
    </w:p>
    <w:p>
      <w:pPr>
        <w:pStyle w:val="ListBullet"/>
        <w:spacing w:after="40"/>
      </w:pPr>
      <w:r>
        <w:t>Use Buffer or Uint8Array for encoded password, salt, and derived key material.</w:t>
      </w:r>
    </w:p>
    <w:p>
      <w:pPr>
        <w:pStyle w:val="ListBullet"/>
        <w:spacing w:after="40"/>
      </w:pPr>
      <w:r>
        <w:t>In finally blocks, overwrite mutable password-byte, salt-byte, candidate-key, and derived-key buffers with zeros when they are no longer needed.</w:t>
      </w:r>
    </w:p>
    <w:p>
      <w:pPr>
        <w:pStyle w:val="ListBullet"/>
        <w:spacing w:after="40"/>
      </w:pPr>
      <w:r>
        <w:t>Do not claim that JavaScript string memory can be reliably erased; minimize its lifetime and references instead.</w:t>
      </w:r>
    </w:p>
    <w:p>
      <w:pPr>
        <w:pStyle w:val="ListBullet"/>
        <w:spacing w:after="40"/>
      </w:pPr>
      <w:r>
        <w:t>Never include password material in console output, Electron logs, Vitest assertion messages, thrown raw errors, or documentation examples.</w:t>
      </w:r>
    </w:p>
    <w:p>
      <w:pPr>
        <w:pStyle w:val="ListBullet"/>
        <w:spacing w:after="40"/>
      </w:pPr>
      <w:r>
        <w:t>Tests may use obvious nonproduction example passwords, but must not print them or snapshot credentials containing real random data.</w:t>
      </w:r>
    </w:p>
    <w:p>
      <w:pPr>
        <w:pStyle w:val="Heading1"/>
        <w:keepNext/>
      </w:pPr>
      <w:r>
        <w:t>15. Database, Schema, and Workflow Invariants</w:t>
      </w:r>
    </w:p>
    <w:p>
      <w:pPr>
        <w:pStyle w:val="ListBullet"/>
        <w:spacing w:after="40"/>
      </w:pPr>
      <w:r>
        <w:t>Do not add migration 0002 or modify 0001-initial-schema.sql.</w:t>
      </w:r>
    </w:p>
    <w:p>
      <w:pPr>
        <w:pStyle w:val="ListBullet"/>
        <w:spacing w:after="40"/>
      </w:pPr>
      <w:r>
        <w:t>Do not modify users, installation, locations, app_settings, audit_log, schema_migrations, or any clinical table.</w:t>
      </w:r>
    </w:p>
    <w:p>
      <w:pPr>
        <w:pStyle w:val="ListBullet"/>
        <w:spacing w:after="40"/>
      </w:pPr>
      <w:r>
        <w:t>Do not open SQLite, import better-sqlite3, or accept DatabaseTransactionConnection in password modules.</w:t>
      </w:r>
    </w:p>
    <w:p>
      <w:pPr>
        <w:pStyle w:val="ListBullet"/>
        <w:spacing w:after="40"/>
      </w:pPr>
      <w:r>
        <w:t>Do not implement a user repository or write password_hash/password_salt.</w:t>
      </w:r>
    </w:p>
    <w:p>
      <w:pPr>
        <w:pStyle w:val="ListBullet"/>
        <w:spacing w:after="40"/>
      </w:pPr>
      <w:r>
        <w:t>Do not implement first-run orchestration, administrator creation, temporary-password generation, forced password change, login, lockout, reset, session timeout, authorization, or audit events.</w:t>
      </w:r>
    </w:p>
    <w:p>
      <w:pPr>
        <w:pStyle w:val="ListBullet"/>
        <w:spacing w:after="40"/>
      </w:pPr>
      <w:r>
        <w:t>Do not expose IPC, preload, renderer, route, UI, or startup behavior.</w:t>
      </w:r>
    </w:p>
    <w:p>
      <w:pPr>
        <w:pStyle w:val="ListBullet"/>
        <w:spacing w:after="40"/>
      </w:pPr>
      <w:r>
        <w:t>Do not add peppering or field encryption. ADR-010 must record these as deferred decisions rather than silently implementing them.</w:t>
      </w:r>
    </w:p>
    <w:p>
      <w:pPr>
        <w:pStyle w:val="Heading1"/>
        <w:keepNext/>
        <w:pageBreakBefore w:val="0"/>
      </w:pPr>
      <w:r>
        <w:t>16. Testing Requirements</w:t>
      </w:r>
    </w:p>
    <w:tbl>
      <w:tblPr>
        <w:tblStyle w:val="LightShading-Accent1"/>
        <w:tblW w:type="auto" w:w="0"/>
        <w:jc w:val="center"/>
        <w:tblLayout w:type="autofit"/>
        <w:tblLook w:firstColumn="1" w:firstRow="1" w:lastColumn="0" w:lastRow="0" w:noHBand="0" w:noVBand="1" w:val="04A0"/>
      </w:tblPr>
      <w:tblGrid>
        <w:gridCol w:w="5040"/>
        <w:gridCol w:w="5040"/>
      </w:tblGrid>
      <w:tr>
        <w:trPr>
          <w:tblHeader w:val="true"/>
          <w:cantSplit/>
        </w:trPr>
        <w:tc>
          <w:tcPr>
            <w:tcW w:type="dxa" w:w="2952"/>
            <w:vAlign w:val="center"/>
          </w:tcPr>
          <w:p>
            <w:r>
              <w:rPr>
                <w:b/>
              </w:rPr>
              <w:t>Test group</w:t>
            </w:r>
          </w:p>
        </w:tc>
        <w:tc>
          <w:tcPr>
            <w:tcW w:type="dxa" w:w="7848"/>
            <w:vAlign w:val="center"/>
          </w:tcPr>
          <w:p>
            <w:r>
              <w:rPr>
                <w:b/>
              </w:rPr>
              <w:t>Minimum required cases</w:t>
            </w:r>
          </w:p>
        </w:tc>
      </w:tr>
      <w:tr>
        <w:trPr>
          <w:cantSplit/>
        </w:trPr>
        <w:tc>
          <w:tcPr>
            <w:tcW w:type="dxa" w:w="2952"/>
            <w:vAlign w:val="top"/>
          </w:tcPr>
          <w:p>
            <w:pPr>
              <w:spacing w:after="0"/>
            </w:pPr>
            <w:r>
              <w:t>Password validation</w:t>
            </w:r>
          </w:p>
        </w:tc>
        <w:tc>
          <w:tcPr>
            <w:tcW w:type="dxa" w:w="7848"/>
            <w:vAlign w:val="top"/>
          </w:tcPr>
          <w:p>
            <w:pPr>
              <w:spacing w:after="0"/>
            </w:pPr>
            <w:r>
              <w:t>Boundaries 12/128 code points; 512 UTF-8 bytes; printable Unicode; spaces preserved; empty/short/long; controls; null; separators; unpaired surrogate; no normalization; safe errors.</w:t>
            </w:r>
          </w:p>
        </w:tc>
      </w:tr>
      <w:tr>
        <w:trPr>
          <w:cantSplit/>
        </w:trPr>
        <w:tc>
          <w:tcPr>
            <w:tcW w:type="dxa" w:w="2952"/>
            <w:vAlign w:val="top"/>
          </w:tcPr>
          <w:p>
            <w:pPr>
              <w:spacing w:after="0"/>
            </w:pPr>
            <w:r>
              <w:t>Credential serialization</w:t>
            </w:r>
          </w:p>
        </w:tc>
        <w:tc>
          <w:tcPr>
            <w:tcW w:type="dxa" w:w="7848"/>
            <w:vAlign w:val="top"/>
          </w:tcPr>
          <w:p>
            <w:pPr>
              <w:spacing w:after="0"/>
            </w:pPr>
            <w:r>
              <w:t>Exact canonical hash and salt strings for deterministic bytes; frozen result; strict round trip.</w:t>
            </w:r>
          </w:p>
        </w:tc>
      </w:tr>
      <w:tr>
        <w:trPr>
          <w:cantSplit/>
        </w:trPr>
        <w:tc>
          <w:tcPr>
            <w:tcW w:type="dxa" w:w="2952"/>
            <w:vAlign w:val="top"/>
          </w:tcPr>
          <w:p>
            <w:pPr>
              <w:spacing w:after="0"/>
            </w:pPr>
            <w:r>
              <w:t>Credential corruption</w:t>
            </w:r>
          </w:p>
        </w:tc>
        <w:tc>
          <w:tcPr>
            <w:tcW w:type="dxa" w:w="7848"/>
            <w:vAlign w:val="top"/>
          </w:tcPr>
          <w:p>
            <w:pPr>
              <w:spacing w:after="0"/>
            </w:pPr>
            <w:r>
              <w:t>Wrong version; wrong N/r/p/dk; missing/reordered/duplicate segments; whitespace; padding; invalid base64url; wrong decoded lengths; trailing data; controlled format error.</w:t>
            </w:r>
          </w:p>
        </w:tc>
      </w:tr>
      <w:tr>
        <w:trPr>
          <w:cantSplit/>
        </w:trPr>
        <w:tc>
          <w:tcPr>
            <w:tcW w:type="dxa" w:w="2952"/>
            <w:vAlign w:val="top"/>
          </w:tcPr>
          <w:p>
            <w:pPr>
              <w:spacing w:after="0"/>
            </w:pPr>
            <w:r>
              <w:t>Hash service</w:t>
            </w:r>
          </w:p>
        </w:tc>
        <w:tc>
          <w:tcPr>
            <w:tcW w:type="dxa" w:w="7848"/>
            <w:vAlign w:val="top"/>
          </w:tcPr>
          <w:p>
            <w:pPr>
              <w:spacing w:after="0"/>
            </w:pPr>
            <w:r>
              <w:t>Uses exact parameters; requests 32 salt bytes; encodes UTF-8; returns immutable credential; fresh salt per call; validation precedes crypto.</w:t>
            </w:r>
          </w:p>
        </w:tc>
      </w:tr>
      <w:tr>
        <w:trPr>
          <w:cantSplit/>
        </w:trPr>
        <w:tc>
          <w:tcPr>
            <w:tcW w:type="dxa" w:w="2952"/>
            <w:vAlign w:val="top"/>
          </w:tcPr>
          <w:p>
            <w:pPr>
              <w:spacing w:after="0"/>
            </w:pPr>
            <w:r>
              <w:t>Verify success</w:t>
            </w:r>
          </w:p>
        </w:tc>
        <w:tc>
          <w:tcPr>
            <w:tcW w:type="dxa" w:w="7848"/>
            <w:vAlign w:val="top"/>
          </w:tcPr>
          <w:p>
            <w:pPr>
              <w:spacing w:after="0"/>
            </w:pPr>
            <w:r>
              <w:t>Correct exact password returns true; timingSafeEqual receives two 64-byte values.</w:t>
            </w:r>
          </w:p>
        </w:tc>
      </w:tr>
      <w:tr>
        <w:trPr>
          <w:cantSplit/>
        </w:trPr>
        <w:tc>
          <w:tcPr>
            <w:tcW w:type="dxa" w:w="2952"/>
            <w:vAlign w:val="top"/>
          </w:tcPr>
          <w:p>
            <w:pPr>
              <w:spacing w:after="0"/>
            </w:pPr>
            <w:r>
              <w:t>Verify mismatch</w:t>
            </w:r>
          </w:p>
        </w:tc>
        <w:tc>
          <w:tcPr>
            <w:tcW w:type="dxa" w:w="7848"/>
            <w:vAlign w:val="top"/>
          </w:tcPr>
          <w:p>
            <w:pPr>
              <w:spacing w:after="0"/>
            </w:pPr>
            <w:r>
              <w:t>Wrong password returns false without exception, log, or secret-bearing result.</w:t>
            </w:r>
          </w:p>
        </w:tc>
      </w:tr>
      <w:tr>
        <w:trPr>
          <w:cantSplit/>
        </w:trPr>
        <w:tc>
          <w:tcPr>
            <w:tcW w:type="dxa" w:w="2952"/>
            <w:vAlign w:val="top"/>
          </w:tcPr>
          <w:p>
            <w:pPr>
              <w:spacing w:after="0"/>
            </w:pPr>
            <w:r>
              <w:t>Exact password semantics</w:t>
            </w:r>
          </w:p>
        </w:tc>
        <w:tc>
          <w:tcPr>
            <w:tcW w:type="dxa" w:w="7848"/>
            <w:vAlign w:val="top"/>
          </w:tcPr>
          <w:p>
            <w:pPr>
              <w:spacing w:after="0"/>
            </w:pPr>
            <w:r>
              <w:t>Leading/trailing spaces and composed/decomposed Unicode remain distinct; no trim or normalization occurs.</w:t>
            </w:r>
          </w:p>
        </w:tc>
      </w:tr>
      <w:tr>
        <w:trPr>
          <w:cantSplit/>
        </w:trPr>
        <w:tc>
          <w:tcPr>
            <w:tcW w:type="dxa" w:w="2952"/>
            <w:vAlign w:val="top"/>
          </w:tcPr>
          <w:p>
            <w:pPr>
              <w:spacing w:after="0"/>
            </w:pPr>
            <w:r>
              <w:t>Provider failure</w:t>
            </w:r>
          </w:p>
        </w:tc>
        <w:tc>
          <w:tcPr>
            <w:tcW w:type="dxa" w:w="7848"/>
            <w:vAlign w:val="top"/>
          </w:tcPr>
          <w:p>
            <w:pPr>
              <w:spacing w:after="0"/>
            </w:pPr>
            <w:r>
              <w:t>Random and scrypt synchronous/callback failures map to clean hashing or verification errors without raw messages.</w:t>
            </w:r>
          </w:p>
        </w:tc>
      </w:tr>
      <w:tr>
        <w:trPr>
          <w:cantSplit/>
        </w:trPr>
        <w:tc>
          <w:tcPr>
            <w:tcW w:type="dxa" w:w="2952"/>
            <w:vAlign w:val="top"/>
          </w:tcPr>
          <w:p>
            <w:pPr>
              <w:spacing w:after="0"/>
            </w:pPr>
            <w:r>
              <w:t>Mutated controlled errors</w:t>
            </w:r>
          </w:p>
        </w:tc>
        <w:tc>
          <w:tcPr>
            <w:tcW w:type="dxa" w:w="7848"/>
            <w:vAlign w:val="top"/>
          </w:tcPr>
          <w:p>
            <w:pPr>
              <w:spacing w:after="0"/>
            </w:pPr>
            <w:r>
              <w:t>Extra cause, stack, plaintext, hash, salt, and enumerable secret fields are removed when errors are reconstructed.</w:t>
            </w:r>
          </w:p>
        </w:tc>
      </w:tr>
      <w:tr>
        <w:trPr>
          <w:cantSplit/>
        </w:trPr>
        <w:tc>
          <w:tcPr>
            <w:tcW w:type="dxa" w:w="2952"/>
            <w:vAlign w:val="top"/>
          </w:tcPr>
          <w:p>
            <w:pPr>
              <w:spacing w:after="0"/>
            </w:pPr>
            <w:r>
              <w:t>Real crypto integration</w:t>
            </w:r>
          </w:p>
        </w:tc>
        <w:tc>
          <w:tcPr>
            <w:tcW w:type="dxa" w:w="7848"/>
            <w:vAlign w:val="top"/>
          </w:tcPr>
          <w:p>
            <w:pPr>
              <w:spacing w:after="0"/>
            </w:pPr>
            <w:r>
              <w:t>Production adapter hashes and verifies one bounded example; same password hashed twice produces different salts; wrong password is false; test has a generous timeout but no fragile duration assertion.</w:t>
            </w:r>
          </w:p>
        </w:tc>
      </w:tr>
      <w:tr>
        <w:trPr>
          <w:cantSplit/>
        </w:trPr>
        <w:tc>
          <w:tcPr>
            <w:tcW w:type="dxa" w:w="2952"/>
            <w:vAlign w:val="top"/>
          </w:tcPr>
          <w:p>
            <w:pPr>
              <w:spacing w:after="0"/>
            </w:pPr>
            <w:r>
              <w:t>No database coupling</w:t>
            </w:r>
          </w:p>
        </w:tc>
        <w:tc>
          <w:tcPr>
            <w:tcW w:type="dxa" w:w="7848"/>
            <w:vAlign w:val="top"/>
          </w:tcPr>
          <w:p>
            <w:pPr>
              <w:spacing w:after="0"/>
            </w:pPr>
            <w:r>
              <w:t>Password tests create no SQLite file and password modules import neither better-sqlite3 nor transaction modules.</w:t>
            </w:r>
          </w:p>
        </w:tc>
      </w:tr>
      <w:tr>
        <w:trPr>
          <w:cantSplit/>
        </w:trPr>
        <w:tc>
          <w:tcPr>
            <w:tcW w:type="dxa" w:w="2952"/>
            <w:vAlign w:val="top"/>
          </w:tcPr>
          <w:p>
            <w:pPr>
              <w:spacing w:after="0"/>
            </w:pPr>
            <w:r>
              <w:t>Regression</w:t>
            </w:r>
          </w:p>
        </w:tc>
        <w:tc>
          <w:tcPr>
            <w:tcW w:type="dxa" w:w="7848"/>
            <w:vAlign w:val="top"/>
          </w:tcPr>
          <w:p>
            <w:pPr>
              <w:spacing w:after="0"/>
            </w:pPr>
            <w:r>
              <w:t>All HSD-001 through HSD-009 tests continue to pass.</w:t>
            </w:r>
          </w:p>
        </w:tc>
      </w:tr>
    </w:tbl>
    <w:p>
      <w:pPr>
        <w:spacing w:after="0" w:line="259" w:lineRule="auto"/>
      </w:pPr>
    </w:p>
    <w:tbl>
      <w:tblPr>
        <w:tblW w:type="auto" w:w="0"/>
        <w:jc w:val="center"/>
        <w:tblLook w:firstColumn="1" w:firstRow="1" w:lastColumn="0" w:lastRow="0" w:noHBand="0" w:noVBand="1" w:val="04A0"/>
      </w:tblPr>
      <w:tblGrid>
        <w:gridCol w:w="10080"/>
      </w:tblGrid>
      <w:tr>
        <w:trPr>
          <w:cantSplit/>
        </w:trPr>
        <w:tc>
          <w:tcPr>
            <w:tcW w:type="dxa" w:w="10080"/>
            <w:vAlign w:val="center"/>
            <w:shd w:fill="EAF2F8"/>
          </w:tcPr>
          <w:p>
            <w:pPr>
              <w:spacing w:after="0"/>
            </w:pPr>
            <w:r>
              <w:rPr>
                <w:b/>
              </w:rPr>
              <w:t>Performance tests must not assert an exact millisecond threshold. CI and field laptops vary. The test must prove the selected parameters are passed and that one real round trip completes within the test runner timeout.</w:t>
            </w:r>
          </w:p>
        </w:tc>
      </w:tr>
    </w:tbl>
    <w:p>
      <w:pPr>
        <w:spacing w:after="0" w:line="259" w:lineRule="auto"/>
      </w:pPr>
    </w:p>
    <w:p>
      <w:pPr>
        <w:pStyle w:val="Heading1"/>
        <w:keepNext/>
      </w:pPr>
      <w:r>
        <w:t>17. Documentation Requirements</w:t>
      </w:r>
    </w:p>
    <w:p>
      <w:pPr>
        <w:pStyle w:val="ListBullet"/>
        <w:spacing w:after="40"/>
      </w:pPr>
      <w:r>
        <w:t>ADR-010 must state why built-in scrypt is selected for this Windows-first Electron build and why Argon2, external dependencies, peppering, and field encryption are deferred.</w:t>
      </w:r>
    </w:p>
    <w:p>
      <w:pPr>
        <w:pStyle w:val="ListBullet"/>
        <w:spacing w:after="40"/>
      </w:pPr>
      <w:r>
        <w:t>Document the exact scrypt-v1 parameters and canonical storage formats.</w:t>
      </w:r>
    </w:p>
    <w:p>
      <w:pPr>
        <w:pStyle w:val="ListBullet"/>
        <w:spacing w:after="40"/>
      </w:pPr>
      <w:r>
        <w:t>Document that password derivation is asynchronous and prohibited inside HSD-008 transactions.</w:t>
      </w:r>
    </w:p>
    <w:p>
      <w:pPr>
        <w:pStyle w:val="ListBullet"/>
        <w:spacing w:after="40"/>
      </w:pPr>
      <w:r>
        <w:t>Document that later services must hash before entering the transaction and re-check workflow invariants inside the transaction.</w:t>
      </w:r>
    </w:p>
    <w:p>
      <w:pPr>
        <w:pStyle w:val="ListBullet"/>
        <w:spacing w:after="40"/>
      </w:pPr>
      <w:r>
        <w:t>Document exact password semantics: no trimming, case folding, or Unicode normalization.</w:t>
      </w:r>
    </w:p>
    <w:p>
      <w:pPr>
        <w:pStyle w:val="ListBullet"/>
        <w:spacing w:after="40"/>
      </w:pPr>
      <w:r>
        <w:t>Document controlled failures, no logging, and best-effort buffer zeroization.</w:t>
      </w:r>
    </w:p>
    <w:p>
      <w:pPr>
        <w:pStyle w:val="ListBullet"/>
        <w:spacing w:after="40"/>
      </w:pPr>
      <w:r>
        <w:t>Reference the OWASP Password Storage Cheat Sheet and official Node.js crypto documentation as design sources without copying long passages.</w:t>
      </w:r>
    </w:p>
    <w:p>
      <w:pPr>
        <w:pStyle w:val="Heading1"/>
        <w:keepNext/>
      </w:pPr>
      <w:r>
        <w:t>18. Verification Commands</w:t>
      </w:r>
    </w:p>
    <w:p>
      <w:pPr>
        <w:pStyle w:val="CodeBlock"/>
        <w:keepLines/>
      </w:pPr>
      <w:r>
        <w:t>pnpm install</w:t>
        <w:br/>
        <w:t>pnpm format:check</w:t>
        <w:br/>
        <w:t>pnpm lint</w:t>
        <w:br/>
        <w:t>pnpm typecheck</w:t>
        <w:br/>
        <w:t>pnpm test</w:t>
        <w:br/>
        <w:t>pnpm verify</w:t>
        <w:br/>
        <w:t>pnpm build</w:t>
      </w:r>
    </w:p>
    <w:p>
      <w:pPr>
        <w:spacing w:before="0" w:after="0" w:line="259" w:lineRule="auto"/>
      </w:pPr>
      <w:r>
        <w:rPr>
          <w:b w:val="0"/>
          <w:i w:val="0"/>
        </w:rPr>
        <w:t>All commands must pass from the repository root. package.json and pnpm-lock.yaml must remain unchanged.</w:t>
      </w:r>
    </w:p>
    <w:p>
      <w:pPr>
        <w:pStyle w:val="Heading1"/>
        <w:keepNext/>
      </w:pPr>
      <w:r>
        <w:t>19. Runtime and Packaging Smoke Tests</w:t>
      </w:r>
    </w:p>
    <w:p>
      <w:pPr>
        <w:pStyle w:val="CodeBlock"/>
        <w:keepLines/>
      </w:pPr>
      <w:r>
        <w:t>pnpm dev</w:t>
        <w:br/>
        <w:t>pnpm start</w:t>
        <w:br/>
        <w:t>pnpm build:unpack</w:t>
        <w:br/>
        <w:t>find dist/win-unpacked -type f -iname "*.node"</w:t>
        <w:br/>
        <w:t>./dist/win-unpacked/health-screening-desktop.exe</w:t>
      </w:r>
    </w:p>
    <w:p>
      <w:pPr>
        <w:pStyle w:val="ListBullet"/>
        <w:spacing w:after="40"/>
      </w:pPr>
      <w:r>
        <w:t>Development, preview, and unpacked Windows application must still open.</w:t>
      </w:r>
    </w:p>
    <w:p>
      <w:pPr>
        <w:pStyle w:val="ListBullet"/>
        <w:spacing w:after="40"/>
      </w:pPr>
      <w:r>
        <w:t>Database must remain Ready.</w:t>
      </w:r>
    </w:p>
    <w:p>
      <w:pPr>
        <w:pStyle w:val="ListBullet"/>
        <w:spacing w:after="40"/>
      </w:pPr>
      <w:r>
        <w:t>Desktop IPC must remain Available.</w:t>
      </w:r>
    </w:p>
    <w:p>
      <w:pPr>
        <w:pStyle w:val="ListBullet"/>
        <w:spacing w:after="40"/>
      </w:pPr>
      <w:r>
        <w:t>Clinical workflows must remain Not implemented.</w:t>
      </w:r>
    </w:p>
    <w:p>
      <w:pPr>
        <w:pStyle w:val="ListBullet"/>
        <w:spacing w:after="40"/>
      </w:pPr>
      <w:r>
        <w:t>No password hash operation, user record, first-run prompt, new screen, or startup write may occur.</w:t>
      </w:r>
    </w:p>
    <w:p>
      <w:pPr>
        <w:pStyle w:val="ListBullet"/>
        <w:spacing w:after="40"/>
      </w:pPr>
      <w:r>
        <w:t>The existing better-sqlite3 native module must remain packaged; HSD-010 adds no new native module.</w:t>
      </w:r>
    </w:p>
    <w:p>
      <w:pPr>
        <w:pStyle w:val="Heading1"/>
        <w:keepNext/>
      </w:pPr>
      <w:r>
        <w:t>20. Git, Commit, and Delivery</w:t>
      </w:r>
    </w:p>
    <w:p>
      <w:pPr>
        <w:pStyle w:val="CodeBlock"/>
        <w:keepLines/>
      </w:pPr>
      <w:r>
        <w:t>git status</w:t>
        <w:br/>
        <w:t>git diff --stat main...HEAD</w:t>
        <w:br/>
        <w:t>git diff -- package.json pnpm-lock.yaml</w:t>
        <w:br/>
        <w:t>git diff -- src/main/database/migrations/sql/0001-initial-schema.sql</w:t>
      </w:r>
    </w:p>
    <w:p>
      <w:pPr>
        <w:pStyle w:val="CodeBlock"/>
        <w:keepLines/>
      </w:pPr>
      <w:r>
        <w:t>git add .</w:t>
        <w:br/>
        <w:t>git commit -m "feat: add local password credential foundation"</w:t>
        <w:br/>
        <w:t>git push -u origin feature/hsd-010-password-credential-foundation</w:t>
      </w:r>
    </w:p>
    <w:p>
      <w:pPr>
        <w:pStyle w:val="ListBullet"/>
        <w:spacing w:after="40"/>
      </w:pPr>
      <w:r>
        <w:t>The final working tree must be clean.</w:t>
      </w:r>
    </w:p>
    <w:p>
      <w:pPr>
        <w:pStyle w:val="ListBullet"/>
        <w:spacing w:after="40"/>
      </w:pPr>
      <w:r>
        <w:t>The branch must be pushed and match origin/feature/hsd-010-password-credential-foundation.</w:t>
      </w:r>
    </w:p>
    <w:p>
      <w:pPr>
        <w:pStyle w:val="ListBullet"/>
        <w:spacing w:after="40"/>
      </w:pPr>
      <w:r>
        <w:t>Do not merge until the implementation and correction review are approved.</w:t>
      </w:r>
    </w:p>
    <w:p>
      <w:pPr>
        <w:pStyle w:val="ListBullet"/>
        <w:spacing w:after="40"/>
      </w:pPr>
      <w:r>
        <w:t>Do not begin HSD-011 before HSD-010 is merged into main.</w:t>
      </w:r>
    </w:p>
    <w:p>
      <w:pPr>
        <w:pStyle w:val="Heading1"/>
        <w:keepNext/>
        <w:pageBreakBefore/>
      </w:pPr>
      <w:r>
        <w:t>21. Reviewer Checklist</w:t>
      </w:r>
    </w:p>
    <w:tbl>
      <w:tblPr>
        <w:tblStyle w:val="LightShading-Accent1"/>
        <w:tblW w:type="auto" w:w="0"/>
        <w:jc w:val="center"/>
        <w:tblLayout w:type="autofit"/>
        <w:tblLook w:firstColumn="1" w:firstRow="1" w:lastColumn="0" w:lastRow="0" w:noHBand="0" w:noVBand="1" w:val="04A0"/>
      </w:tblPr>
      <w:tblGrid>
        <w:gridCol w:w="5040"/>
        <w:gridCol w:w="5040"/>
      </w:tblGrid>
      <w:tr>
        <w:trPr>
          <w:tblHeader w:val="true"/>
          <w:cantSplit/>
        </w:trPr>
        <w:tc>
          <w:tcPr>
            <w:tcW w:type="dxa" w:w="2880"/>
            <w:vAlign w:val="center"/>
          </w:tcPr>
          <w:p>
            <w:r>
              <w:rPr>
                <w:b/>
              </w:rPr>
              <w:t>Reviewer check</w:t>
            </w:r>
          </w:p>
        </w:tc>
        <w:tc>
          <w:tcPr>
            <w:tcW w:type="dxa" w:w="7920"/>
            <w:vAlign w:val="center"/>
          </w:tcPr>
          <w:p>
            <w:r>
              <w:rPr>
                <w:b/>
              </w:rPr>
              <w:t>Pass condition</w:t>
            </w:r>
          </w:p>
        </w:tc>
      </w:tr>
      <w:tr>
        <w:trPr>
          <w:cantSplit/>
        </w:trPr>
        <w:tc>
          <w:tcPr>
            <w:tcW w:type="dxa" w:w="2880"/>
            <w:vAlign w:val="top"/>
          </w:tcPr>
          <w:p>
            <w:pPr>
              <w:spacing w:after="0"/>
            </w:pPr>
            <w:r>
              <w:t>Branch ancestry</w:t>
            </w:r>
          </w:p>
        </w:tc>
        <w:tc>
          <w:tcPr>
            <w:tcW w:type="dxa" w:w="7920"/>
            <w:vAlign w:val="top"/>
          </w:tcPr>
          <w:p>
            <w:pPr>
              <w:spacing w:after="0"/>
            </w:pPr>
            <w:r>
              <w:t>Branch starts from 1731804 or the approved HSD-009 main baseline.</w:t>
            </w:r>
          </w:p>
        </w:tc>
      </w:tr>
      <w:tr>
        <w:trPr>
          <w:cantSplit/>
        </w:trPr>
        <w:tc>
          <w:tcPr>
            <w:tcW w:type="dxa" w:w="2880"/>
            <w:vAlign w:val="top"/>
          </w:tcPr>
          <w:p>
            <w:pPr>
              <w:spacing w:after="0"/>
            </w:pPr>
            <w:r>
              <w:t>Dependencies</w:t>
            </w:r>
          </w:p>
        </w:tc>
        <w:tc>
          <w:tcPr>
            <w:tcW w:type="dxa" w:w="7920"/>
            <w:vAlign w:val="top"/>
          </w:tcPr>
          <w:p>
            <w:pPr>
              <w:spacing w:after="0"/>
            </w:pPr>
            <w:r>
              <w:t>package.json and pnpm-lock.yaml unchanged; built-in node:crypto only.</w:t>
            </w:r>
          </w:p>
        </w:tc>
      </w:tr>
      <w:tr>
        <w:trPr>
          <w:cantSplit/>
        </w:trPr>
        <w:tc>
          <w:tcPr>
            <w:tcW w:type="dxa" w:w="2880"/>
            <w:vAlign w:val="top"/>
          </w:tcPr>
          <w:p>
            <w:pPr>
              <w:spacing w:after="0"/>
            </w:pPr>
            <w:r>
              <w:t>Schema</w:t>
            </w:r>
          </w:p>
        </w:tc>
        <w:tc>
          <w:tcPr>
            <w:tcW w:type="dxa" w:w="7920"/>
            <w:vAlign w:val="top"/>
          </w:tcPr>
          <w:p>
            <w:pPr>
              <w:spacing w:after="0"/>
            </w:pPr>
            <w:r>
              <w:t>No migration, schema-v1, user_version, or production-data change.</w:t>
            </w:r>
          </w:p>
        </w:tc>
      </w:tr>
      <w:tr>
        <w:trPr>
          <w:cantSplit/>
        </w:trPr>
        <w:tc>
          <w:tcPr>
            <w:tcW w:type="dxa" w:w="2880"/>
            <w:vAlign w:val="top"/>
          </w:tcPr>
          <w:p>
            <w:pPr>
              <w:spacing w:after="0"/>
            </w:pPr>
            <w:r>
              <w:t>Boundary</w:t>
            </w:r>
          </w:p>
        </w:tc>
        <w:tc>
          <w:tcPr>
            <w:tcW w:type="dxa" w:w="7920"/>
            <w:vAlign w:val="top"/>
          </w:tcPr>
          <w:p>
            <w:pPr>
              <w:spacing w:after="0"/>
            </w:pPr>
            <w:r>
              <w:t>Main-process-only password modules; no renderer/preload/shared IPC import.</w:t>
            </w:r>
          </w:p>
        </w:tc>
      </w:tr>
      <w:tr>
        <w:trPr>
          <w:cantSplit/>
        </w:trPr>
        <w:tc>
          <w:tcPr>
            <w:tcW w:type="dxa" w:w="2880"/>
            <w:vAlign w:val="top"/>
          </w:tcPr>
          <w:p>
            <w:pPr>
              <w:spacing w:after="0"/>
            </w:pPr>
            <w:r>
              <w:t>Async safety</w:t>
            </w:r>
          </w:p>
        </w:tc>
        <w:tc>
          <w:tcPr>
            <w:tcW w:type="dxa" w:w="7920"/>
            <w:vAlign w:val="top"/>
          </w:tcPr>
          <w:p>
            <w:pPr>
              <w:spacing w:after="0"/>
            </w:pPr>
            <w:r>
              <w:t>Production uses asynchronous scrypt and no HSD-008 Promise/transaction weakening.</w:t>
            </w:r>
          </w:p>
        </w:tc>
      </w:tr>
      <w:tr>
        <w:trPr>
          <w:cantSplit/>
        </w:trPr>
        <w:tc>
          <w:tcPr>
            <w:tcW w:type="dxa" w:w="2880"/>
            <w:vAlign w:val="top"/>
          </w:tcPr>
          <w:p>
            <w:pPr>
              <w:spacing w:after="0"/>
            </w:pPr>
            <w:r>
              <w:t>Password exactness</w:t>
            </w:r>
          </w:p>
        </w:tc>
        <w:tc>
          <w:tcPr>
            <w:tcW w:type="dxa" w:w="7920"/>
            <w:vAlign w:val="top"/>
          </w:tcPr>
          <w:p>
            <w:pPr>
              <w:spacing w:after="0"/>
            </w:pPr>
            <w:r>
              <w:t>No trim, normalization, case-folding, or hidden transformation.</w:t>
            </w:r>
          </w:p>
        </w:tc>
      </w:tr>
      <w:tr>
        <w:trPr>
          <w:cantSplit/>
        </w:trPr>
        <w:tc>
          <w:tcPr>
            <w:tcW w:type="dxa" w:w="2880"/>
            <w:vAlign w:val="top"/>
          </w:tcPr>
          <w:p>
            <w:pPr>
              <w:spacing w:after="0"/>
            </w:pPr>
            <w:r>
              <w:t>Parameters</w:t>
            </w:r>
          </w:p>
        </w:tc>
        <w:tc>
          <w:tcPr>
            <w:tcW w:type="dxa" w:w="7920"/>
            <w:vAlign w:val="top"/>
          </w:tcPr>
          <w:p>
            <w:pPr>
              <w:spacing w:after="0"/>
            </w:pPr>
            <w:r>
              <w:t>scrypt-v1 uses salt=32, dk=64, N=32768, r=8, p=3, maxmem=64 MiB.</w:t>
            </w:r>
          </w:p>
        </w:tc>
      </w:tr>
      <w:tr>
        <w:trPr>
          <w:cantSplit/>
        </w:trPr>
        <w:tc>
          <w:tcPr>
            <w:tcW w:type="dxa" w:w="2880"/>
            <w:vAlign w:val="top"/>
          </w:tcPr>
          <w:p>
            <w:pPr>
              <w:spacing w:after="0"/>
            </w:pPr>
            <w:r>
              <w:t>Format</w:t>
            </w:r>
          </w:p>
        </w:tc>
        <w:tc>
          <w:tcPr>
            <w:tcW w:type="dxa" w:w="7920"/>
            <w:vAlign w:val="top"/>
          </w:tcPr>
          <w:p>
            <w:pPr>
              <w:spacing w:after="0"/>
            </w:pPr>
            <w:r>
              <w:t>Canonical, versioned, strict base64url formats; malformed credentials fail closed.</w:t>
            </w:r>
          </w:p>
        </w:tc>
      </w:tr>
      <w:tr>
        <w:trPr>
          <w:cantSplit/>
        </w:trPr>
        <w:tc>
          <w:tcPr>
            <w:tcW w:type="dxa" w:w="2880"/>
            <w:vAlign w:val="top"/>
          </w:tcPr>
          <w:p>
            <w:pPr>
              <w:spacing w:after="0"/>
            </w:pPr>
            <w:r>
              <w:t>Verification</w:t>
            </w:r>
          </w:p>
        </w:tc>
        <w:tc>
          <w:tcPr>
            <w:tcW w:type="dxa" w:w="7920"/>
            <w:vAlign w:val="top"/>
          </w:tcPr>
          <w:p>
            <w:pPr>
              <w:spacing w:after="0"/>
            </w:pPr>
            <w:r>
              <w:t>Full derivation plus timingSafeEqual; wrong password returns false.</w:t>
            </w:r>
          </w:p>
        </w:tc>
      </w:tr>
      <w:tr>
        <w:trPr>
          <w:cantSplit/>
        </w:trPr>
        <w:tc>
          <w:tcPr>
            <w:tcW w:type="dxa" w:w="2880"/>
            <w:vAlign w:val="top"/>
          </w:tcPr>
          <w:p>
            <w:pPr>
              <w:spacing w:after="0"/>
            </w:pPr>
            <w:r>
              <w:t>Secret safety</w:t>
            </w:r>
          </w:p>
        </w:tc>
        <w:tc>
          <w:tcPr>
            <w:tcW w:type="dxa" w:w="7920"/>
            <w:vAlign w:val="top"/>
          </w:tcPr>
          <w:p>
            <w:pPr>
              <w:spacing w:after="0"/>
            </w:pPr>
            <w:r>
              <w:t>No plaintext/hash/salt/key in error, log, serialization, snapshot, or persistent state.</w:t>
            </w:r>
          </w:p>
        </w:tc>
      </w:tr>
      <w:tr>
        <w:trPr>
          <w:cantSplit/>
        </w:trPr>
        <w:tc>
          <w:tcPr>
            <w:tcW w:type="dxa" w:w="2880"/>
            <w:vAlign w:val="top"/>
          </w:tcPr>
          <w:p>
            <w:pPr>
              <w:spacing w:after="0"/>
            </w:pPr>
            <w:r>
              <w:t>Errors</w:t>
            </w:r>
          </w:p>
        </w:tc>
        <w:tc>
          <w:tcPr>
            <w:tcW w:type="dxa" w:w="7920"/>
            <w:vAlign w:val="top"/>
          </w:tcPr>
          <w:p>
            <w:pPr>
              <w:spacing w:after="0"/>
            </w:pPr>
            <w:r>
              <w:t>Fixed codes/messages; no cause/stack; allowlisted errorType only; clean reconstruction.</w:t>
            </w:r>
          </w:p>
        </w:tc>
      </w:tr>
      <w:tr>
        <w:trPr>
          <w:cantSplit/>
        </w:trPr>
        <w:tc>
          <w:tcPr>
            <w:tcW w:type="dxa" w:w="2880"/>
            <w:vAlign w:val="top"/>
          </w:tcPr>
          <w:p>
            <w:pPr>
              <w:spacing w:after="0"/>
            </w:pPr>
            <w:r>
              <w:t>Testing</w:t>
            </w:r>
          </w:p>
        </w:tc>
        <w:tc>
          <w:tcPr>
            <w:tcW w:type="dxa" w:w="7920"/>
            <w:vAlign w:val="top"/>
          </w:tcPr>
          <w:p>
            <w:pPr>
              <w:spacing w:after="0"/>
            </w:pPr>
            <w:r>
              <w:t>Deterministic unit coverage plus bounded real-crypto integration; all prior tests pass.</w:t>
            </w:r>
          </w:p>
        </w:tc>
      </w:tr>
      <w:tr>
        <w:trPr>
          <w:cantSplit/>
        </w:trPr>
        <w:tc>
          <w:tcPr>
            <w:tcW w:type="dxa" w:w="2880"/>
            <w:vAlign w:val="top"/>
          </w:tcPr>
          <w:p>
            <w:pPr>
              <w:spacing w:after="0"/>
            </w:pPr>
            <w:r>
              <w:t>No hidden feature</w:t>
            </w:r>
          </w:p>
        </w:tc>
        <w:tc>
          <w:tcPr>
            <w:tcW w:type="dxa" w:w="7920"/>
            <w:vAlign w:val="top"/>
          </w:tcPr>
          <w:p>
            <w:pPr>
              <w:spacing w:after="0"/>
            </w:pPr>
            <w:r>
              <w:t>No users, login, lockout, reset, session, first-run, audit, IPC, or UI implementation.</w:t>
            </w:r>
          </w:p>
        </w:tc>
      </w:tr>
      <w:tr>
        <w:trPr>
          <w:cantSplit/>
        </w:trPr>
        <w:tc>
          <w:tcPr>
            <w:tcW w:type="dxa" w:w="2880"/>
            <w:vAlign w:val="top"/>
          </w:tcPr>
          <w:p>
            <w:pPr>
              <w:spacing w:after="0"/>
            </w:pPr>
            <w:r>
              <w:t>Runtime</w:t>
            </w:r>
          </w:p>
        </w:tc>
        <w:tc>
          <w:tcPr>
            <w:tcW w:type="dxa" w:w="7920"/>
            <w:vAlign w:val="top"/>
          </w:tcPr>
          <w:p>
            <w:pPr>
              <w:spacing w:after="0"/>
            </w:pPr>
            <w:r>
              <w:t>Development, preview, and unpacked app remain Ready/Available.</w:t>
            </w:r>
          </w:p>
        </w:tc>
      </w:tr>
      <w:tr>
        <w:trPr>
          <w:cantSplit/>
        </w:trPr>
        <w:tc>
          <w:tcPr>
            <w:tcW w:type="dxa" w:w="2880"/>
            <w:vAlign w:val="top"/>
          </w:tcPr>
          <w:p>
            <w:pPr>
              <w:spacing w:after="0"/>
            </w:pPr>
            <w:r>
              <w:t>Repository state</w:t>
            </w:r>
          </w:p>
        </w:tc>
        <w:tc>
          <w:tcPr>
            <w:tcW w:type="dxa" w:w="7920"/>
            <w:vAlign w:val="top"/>
          </w:tcPr>
          <w:p>
            <w:pPr>
              <w:spacing w:after="0"/>
            </w:pPr>
            <w:r>
              <w:t>Working tree clean; branch pushed; reviewed history preserved.</w:t>
            </w:r>
          </w:p>
        </w:tc>
      </w:tr>
    </w:tbl>
    <w:p>
      <w:pPr>
        <w:spacing w:after="0" w:line="259" w:lineRule="auto"/>
      </w:pPr>
    </w:p>
    <w:p>
      <w:pPr>
        <w:pStyle w:val="Heading1"/>
        <w:keepNext/>
      </w:pPr>
      <w:r>
        <w:t>22. Completion Gate</w:t>
      </w:r>
    </w:p>
    <w:tbl>
      <w:tblPr>
        <w:tblW w:type="auto" w:w="0"/>
        <w:jc w:val="center"/>
        <w:tblLook w:firstColumn="1" w:firstRow="1" w:lastColumn="0" w:lastRow="0" w:noHBand="0" w:noVBand="1" w:val="04A0"/>
      </w:tblPr>
      <w:tblGrid>
        <w:gridCol w:w="10080"/>
      </w:tblGrid>
      <w:tr>
        <w:trPr>
          <w:cantSplit/>
        </w:trPr>
        <w:tc>
          <w:tcPr>
            <w:tcW w:type="dxa" w:w="10080"/>
            <w:vAlign w:val="center"/>
            <w:shd w:fill="EAF2F8"/>
          </w:tcPr>
          <w:p>
            <w:pPr>
              <w:spacing w:after="0"/>
            </w:pPr>
            <w:r>
              <w:rPr>
                <w:b/>
              </w:rPr>
              <w:t>HSD-010 is complete only when exact plaintext password input is validated without transformation; a fresh versioned scrypt-v1 credential is created asynchronously with a 32-byte random salt and the fixed reviewed parameters; strict parsing rejects malformed or unsupported credentials; verification performs full derivation and timing-safe comparison, returning false only for a well-formed nonmatch; all errors and logs remain free of plaintext, salt, hash, derived keys, raw causes, stacks, and crypto messages; no database, schema, dependency, IPC, renderer, authentication workflow, or production-startup behavior changes; every automated gate and development/preview/unpacked runtime check passes; and the pushed branch has a clean working tree ready for review.</w:t>
            </w:r>
          </w:p>
        </w:tc>
      </w:tr>
    </w:tbl>
    <w:p>
      <w:pPr>
        <w:spacing w:after="0" w:line="259" w:lineRule="auto"/>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6"/>
      </w:rPr>
      <w:t>HEALTH SCREENING OFFLINE DESKTOP APPLICATION  |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b/>
      <w:i/>
      <w:iCs/>
      <w:color w:val="4472C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ascadia Mono" w:hAnsi="Cascadia Mono"/>
      <w:color w:val="1E1E1E"/>
      <w:sz w:val="16"/>
    </w:rPr>
  </w:style>
  <w:style w:type="paragraph" w:customStyle="1" w:styleId="SmallNote">
    <w:name w:val="Small Note"/>
    <w:basedOn w:val="Normal"/>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HSD-010 Local Password Credential Foundation - Codex Task</dc:title>
  <dc:subject>Health Screening Offline Desktop Application implementation task</dc:subject>
  <dc:creator/>
  <cp:keywords>HSD-010, Electron, TypeScript, scrypt, password hashing, offline-first</cp:keywords>
  <dc:description>Approved bounded implementation task.</dc:description>
  <cp:lastModifiedBy/>
  <cp:revision>1</cp:revision>
  <dcterms:created xsi:type="dcterms:W3CDTF">2013-12-23T23:15:00Z</dcterms:created>
  <dcterms:modified xsi:type="dcterms:W3CDTF">2013-12-23T23:15:00Z</dcterms:modified>
  <cp:category/>
</cp:coreProperties>
</file>