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Aptos Display" w:hAnsi="Aptos Display"/>
          <w:b/>
          <w:color w:val="1F4E79"/>
          <w:sz w:val="48"/>
        </w:rPr>
        <w:t>HSD-017</w:t>
      </w:r>
    </w:p>
    <w:p>
      <w:pPr>
        <w:spacing w:after="40"/>
        <w:jc w:val="center"/>
      </w:pPr>
      <w:r>
        <w:rPr>
          <w:rFonts w:ascii="Aptos Display" w:hAnsi="Aptos Display"/>
          <w:b/>
          <w:color w:val="262626"/>
          <w:sz w:val="34"/>
        </w:rPr>
        <w:t>Transactional Local Authentication State Repository</w:t>
      </w:r>
    </w:p>
    <w:p>
      <w:pPr>
        <w:jc w:val="center"/>
      </w:pPr>
      <w:r>
        <w:rPr>
          <w:rFonts w:ascii="Aptos Display" w:hAnsi="Aptos Display"/>
          <w:b/>
          <w:color w:val="262626"/>
          <w:sz w:val="30"/>
        </w:rPr>
        <w:t>and Lockout Mutation Boundary</w:t>
      </w:r>
    </w:p>
    <w:p>
      <w:pPr>
        <w:spacing w:after="180"/>
        <w:jc w:val="center"/>
      </w:pPr>
      <w:r>
        <w:rPr>
          <w:i/>
          <w:color w:val="595959"/>
          <w:sz w:val="20"/>
        </w:rPr>
        <w:t>Codex Implementation Task - One bounded repository increment</w:t>
      </w:r>
    </w:p>
    <w:tbl>
      <w:tblPr>
        <w:tblStyle w:val="TableGrid"/>
        <w:tblW w:type="auto" w:w="0"/>
        <w:jc w:val="center"/>
        <w:tblLook w:firstColumn="1" w:firstRow="1" w:lastColumn="0" w:lastRow="0" w:noHBand="0" w:noVBand="1" w:val="04A0"/>
      </w:tblPr>
      <w:tblGrid>
        <w:gridCol w:w="2376"/>
        <w:gridCol w:w="8136"/>
      </w:tblGrid>
      <w:tr>
        <w:tc>
          <w:tcPr>
            <w:tcW w:type="dxa" w:w="5083"/>
            <w:shd w:fill="D9EAF7"/>
            <w:tcMar>
              <w:top w:w="100" w:type="dxa"/>
              <w:start w:w="120" w:type="dxa"/>
              <w:bottom w:w="100" w:type="dxa"/>
              <w:end w:w="120" w:type="dxa"/>
            </w:tcMar>
            <w:vAlign w:val="center"/>
          </w:tcPr>
          <w:p>
            <w:r>
              <w:rPr>
                <w:b/>
              </w:rPr>
              <w:t>Repository</w:t>
            </w:r>
          </w:p>
        </w:tc>
        <w:tc>
          <w:tcPr>
            <w:tcW w:type="dxa" w:w="5083"/>
            <w:tcMar>
              <w:top w:w="100" w:type="dxa"/>
              <w:start w:w="120" w:type="dxa"/>
              <w:bottom w:w="100" w:type="dxa"/>
              <w:end w:w="120" w:type="dxa"/>
            </w:tcMar>
          </w:tcPr>
          <w:p>
            <w:r>
              <w:t>emmauopeople/health-screening-desktop</w:t>
            </w:r>
          </w:p>
        </w:tc>
      </w:tr>
      <w:tr>
        <w:tc>
          <w:tcPr>
            <w:tcW w:type="dxa" w:w="5083"/>
            <w:shd w:fill="D9EAF7"/>
            <w:tcMar>
              <w:top w:w="100" w:type="dxa"/>
              <w:start w:w="120" w:type="dxa"/>
              <w:bottom w:w="100" w:type="dxa"/>
              <w:end w:w="120" w:type="dxa"/>
            </w:tcMar>
            <w:vAlign w:val="center"/>
          </w:tcPr>
          <w:p>
            <w:r>
              <w:rPr>
                <w:b/>
              </w:rPr>
              <w:t>Required predecessor</w:t>
            </w:r>
          </w:p>
        </w:tc>
        <w:tc>
          <w:tcPr>
            <w:tcW w:type="dxa" w:w="5083"/>
            <w:tcMar>
              <w:top w:w="100" w:type="dxa"/>
              <w:start w:w="120" w:type="dxa"/>
              <w:bottom w:w="100" w:type="dxa"/>
              <w:end w:w="120" w:type="dxa"/>
            </w:tcMar>
          </w:tcPr>
          <w:p>
            <w:r>
              <w:t>HSD-016 - First-run setup renderer flow, reviewed and merged</w:t>
            </w:r>
          </w:p>
        </w:tc>
      </w:tr>
      <w:tr>
        <w:tc>
          <w:tcPr>
            <w:tcW w:type="dxa" w:w="5083"/>
            <w:shd w:fill="D9EAF7"/>
            <w:tcMar>
              <w:top w:w="100" w:type="dxa"/>
              <w:start w:w="120" w:type="dxa"/>
              <w:bottom w:w="100" w:type="dxa"/>
              <w:end w:w="120" w:type="dxa"/>
            </w:tcMar>
            <w:vAlign w:val="center"/>
          </w:tcPr>
          <w:p>
            <w:r>
              <w:rPr>
                <w:b/>
              </w:rPr>
              <w:t>Working branch</w:t>
            </w:r>
          </w:p>
        </w:tc>
        <w:tc>
          <w:tcPr>
            <w:tcW w:type="dxa" w:w="5083"/>
            <w:tcMar>
              <w:top w:w="100" w:type="dxa"/>
              <w:start w:w="120" w:type="dxa"/>
              <w:bottom w:w="100" w:type="dxa"/>
              <w:end w:w="120" w:type="dxa"/>
            </w:tcMar>
          </w:tcPr>
          <w:p>
            <w:r>
              <w:t>feature/hsd-017-authentication-state-repository</w:t>
            </w:r>
          </w:p>
        </w:tc>
      </w:tr>
      <w:tr>
        <w:tc>
          <w:tcPr>
            <w:tcW w:type="dxa" w:w="5083"/>
            <w:shd w:fill="D9EAF7"/>
            <w:tcMar>
              <w:top w:w="100" w:type="dxa"/>
              <w:start w:w="120" w:type="dxa"/>
              <w:bottom w:w="100" w:type="dxa"/>
              <w:end w:w="120" w:type="dxa"/>
            </w:tcMar>
            <w:vAlign w:val="center"/>
          </w:tcPr>
          <w:p>
            <w:r>
              <w:rPr>
                <w:b/>
              </w:rPr>
              <w:t>Primary commit</w:t>
            </w:r>
          </w:p>
        </w:tc>
        <w:tc>
          <w:tcPr>
            <w:tcW w:type="dxa" w:w="5083"/>
            <w:tcMar>
              <w:top w:w="100" w:type="dxa"/>
              <w:start w:w="120" w:type="dxa"/>
              <w:bottom w:w="100" w:type="dxa"/>
              <w:end w:w="120" w:type="dxa"/>
            </w:tcMar>
          </w:tcPr>
          <w:p>
            <w:r>
              <w:t>feat: add transactional authentication state repository</w:t>
            </w:r>
          </w:p>
        </w:tc>
      </w:tr>
      <w:tr>
        <w:tc>
          <w:tcPr>
            <w:tcW w:type="dxa" w:w="5083"/>
            <w:shd w:fill="D9EAF7"/>
            <w:tcMar>
              <w:top w:w="100" w:type="dxa"/>
              <w:start w:w="120" w:type="dxa"/>
              <w:bottom w:w="100" w:type="dxa"/>
              <w:end w:w="120" w:type="dxa"/>
            </w:tcMar>
            <w:vAlign w:val="center"/>
          </w:tcPr>
          <w:p>
            <w:r>
              <w:rPr>
                <w:b/>
              </w:rPr>
              <w:t>Task class</w:t>
            </w:r>
          </w:p>
        </w:tc>
        <w:tc>
          <w:tcPr>
            <w:tcW w:type="dxa" w:w="5083"/>
            <w:tcMar>
              <w:top w:w="100" w:type="dxa"/>
              <w:start w:w="120" w:type="dxa"/>
              <w:bottom w:w="100" w:type="dxa"/>
              <w:end w:w="120" w:type="dxa"/>
            </w:tcMar>
          </w:tcPr>
          <w:p>
            <w:r>
              <w:t>Main-process database repository and validation only</w:t>
            </w:r>
          </w:p>
        </w:tc>
      </w:tr>
      <w:tr>
        <w:tc>
          <w:tcPr>
            <w:tcW w:type="dxa" w:w="5083"/>
            <w:shd w:fill="D9EAF7"/>
            <w:tcMar>
              <w:top w:w="100" w:type="dxa"/>
              <w:start w:w="120" w:type="dxa"/>
              <w:bottom w:w="100" w:type="dxa"/>
              <w:end w:w="120" w:type="dxa"/>
            </w:tcMar>
            <w:vAlign w:val="center"/>
          </w:tcPr>
          <w:p>
            <w:r>
              <w:rPr>
                <w:b/>
              </w:rPr>
              <w:t>Execution rule</w:t>
            </w:r>
          </w:p>
        </w:tc>
        <w:tc>
          <w:tcPr>
            <w:tcW w:type="dxa" w:w="5083"/>
            <w:tcMar>
              <w:top w:w="100" w:type="dxa"/>
              <w:start w:w="120" w:type="dxa"/>
              <w:bottom w:w="100" w:type="dxa"/>
              <w:end w:w="120" w:type="dxa"/>
            </w:tcMar>
          </w:tcPr>
          <w:p>
            <w:r>
              <w:t>Implement this task only. Do not begin HSD-018 or later work.</w:t>
            </w:r>
          </w:p>
        </w:tc>
      </w:tr>
    </w:tbl>
    <w:tbl>
      <w:tblPr>
        <w:tblW w:type="auto" w:w="0"/>
        <w:jc w:val="center"/>
        <w:tblLayout w:type="autofit"/>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Baseline control: </w:t>
            </w:r>
            <w:r>
              <w:t>Start from the merge commit that completes HSD-016. Record the exact SHA before changing files. Do not start this task from the HSD-015 merge commit or from an unreviewed HSD-016 working branch.</w:t>
            </w:r>
          </w:p>
        </w:tc>
      </w:tr>
    </w:tbl>
    <w:p>
      <w:pPr>
        <w:spacing w:after="0"/>
      </w:pPr>
    </w:p>
    <w:p>
      <w:pPr>
        <w:pStyle w:val="Heading1"/>
      </w:pPr>
      <w:r>
        <w:t>1. Purpose and Engineering Rationale</w:t>
      </w:r>
    </w:p>
    <w:p>
      <w:r>
        <w:t>HSD-017 extends the existing schema-v1 local-user repository with the narrow, transaction-scoped mutation operations required by a later login application service. The task records successful and failed authentication outcomes without placing SQL, lockout persistence, or stale-write handling inside future service or IPC code.</w:t>
      </w:r>
    </w:p>
    <w:p>
      <w:r>
        <w:t>The repository already exposes a credential-bearing authentication projection and stores failed_login_count, locked_until, last_login_at, and updated_at. It currently has no reviewed write boundary for those fields. Implementing that boundary first keeps authentication policy orchestration separate from persistence and prevents the future login service from bypassing repository controls.</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r>
              <w:rPr>
                <w:b/>
              </w:rPr>
              <w:t xml:space="preserve">Important sequencing: </w:t>
            </w:r>
            <w:r>
              <w:t>HSD-017 does not authenticate a user. It only provides safe persistence operations that HSD-018 can compose with password verification, policy evaluation, audit events, and transaction control.</w:t>
            </w:r>
          </w:p>
        </w:tc>
      </w:tr>
    </w:tbl>
    <w:p>
      <w:pPr>
        <w:spacing w:after="0"/>
      </w:pPr>
    </w:p>
    <w:p>
      <w:pPr>
        <w:pStyle w:val="Heading1"/>
      </w:pPr>
      <w:r>
        <w:t>2. Objective</w:t>
      </w:r>
    </w:p>
    <w:p>
      <w:r>
        <w:t>Add a main-process-only, typed, fail-closed repository boundary that can atomically persist the next local authentication state for one existing user while detecting stale concurrent state. The implementation must preserve all unrelated user fields and must never expose or rewrite password credential material.</w:t>
      </w:r>
    </w:p>
    <w:p>
      <w:pPr>
        <w:pStyle w:val="Heading1"/>
      </w:pPr>
      <w:r>
        <w:t>3. Required Scope</w:t>
      </w:r>
    </w:p>
    <w:p>
      <w:pPr>
        <w:pStyle w:val="ListBullet"/>
      </w:pPr>
      <w:r>
        <w:rPr>
          <w:b/>
        </w:rPr>
        <w:t xml:space="preserve">Repository extension. </w:t>
      </w:r>
      <w:r>
        <w:t>Extend the existing LocalUserRepository contract rather than creating direct SQL in an application service.</w:t>
      </w:r>
    </w:p>
    <w:p>
      <w:pPr>
        <w:pStyle w:val="ListBullet"/>
      </w:pPr>
      <w:r>
        <w:rPr>
          <w:b/>
        </w:rPr>
        <w:t xml:space="preserve">Typed mutation inputs. </w:t>
      </w:r>
      <w:r>
        <w:t>Add explicit types for the expected authentication-state snapshot and the requested next state.</w:t>
      </w:r>
    </w:p>
    <w:p>
      <w:pPr>
        <w:pStyle w:val="ListBullet"/>
      </w:pPr>
      <w:r>
        <w:rPr>
          <w:b/>
        </w:rPr>
        <w:t xml:space="preserve">Transaction capability. </w:t>
      </w:r>
      <w:r>
        <w:t>Require an authentic HSD-008 DatabaseTransactionConnection as the first executable validation for every write.</w:t>
      </w:r>
    </w:p>
    <w:p>
      <w:pPr>
        <w:pStyle w:val="ListBullet"/>
      </w:pPr>
      <w:r>
        <w:rPr>
          <w:b/>
        </w:rPr>
        <w:t xml:space="preserve">Compare-and-set protection. </w:t>
      </w:r>
      <w:r>
        <w:t>Update only when the persisted authentication state still matches the caller-supplied expected state.</w:t>
      </w:r>
    </w:p>
    <w:p>
      <w:pPr>
        <w:pStyle w:val="ListBullet"/>
      </w:pPr>
      <w:r>
        <w:rPr>
          <w:b/>
        </w:rPr>
        <w:t xml:space="preserve">Successful outcome. </w:t>
      </w:r>
      <w:r>
        <w:t>Support resetting failed-login state, clearing a lock, and recording last_login_at.</w:t>
      </w:r>
    </w:p>
    <w:p>
      <w:pPr>
        <w:pStyle w:val="ListBullet"/>
      </w:pPr>
      <w:r>
        <w:rPr>
          <w:b/>
        </w:rPr>
        <w:t xml:space="preserve">Failed outcome. </w:t>
      </w:r>
      <w:r>
        <w:t>Support persisting the caller-approved next failed-login count and optional lock expiration while preserving last_login_at.</w:t>
      </w:r>
    </w:p>
    <w:p>
      <w:pPr>
        <w:pStyle w:val="ListBullet"/>
      </w:pPr>
      <w:r>
        <w:rPr>
          <w:b/>
        </w:rPr>
        <w:t xml:space="preserve">Controlled errors. </w:t>
      </w:r>
      <w:r>
        <w:t>Distinguish missing users, stale authentication state, malformed input, data-integrity failures, and database write failures without leaking data.</w:t>
      </w:r>
    </w:p>
    <w:p>
      <w:pPr>
        <w:pStyle w:val="ListBullet"/>
      </w:pPr>
      <w:r>
        <w:rPr>
          <w:b/>
        </w:rPr>
        <w:t xml:space="preserve">Automated evidence. </w:t>
      </w:r>
      <w:r>
        <w:t>Add focused unit and temporary SQLite integration tests for validation, mutation semantics, conflicts, rollback, and error containment.</w:t>
      </w:r>
    </w:p>
    <w:p>
      <w:pPr>
        <w:pStyle w:val="ListBullet"/>
      </w:pPr>
      <w:r>
        <w:rPr>
          <w:b/>
        </w:rPr>
        <w:t xml:space="preserve">Documentation. </w:t>
      </w:r>
      <w:r>
        <w:t>Document the new repository boundary and update engineering/repository structure notes.</w:t>
      </w:r>
    </w:p>
    <w:p>
      <w:pPr>
        <w:pStyle w:val="Heading1"/>
      </w:pPr>
      <w:r>
        <w:t>4. Explicitly Out of Scope</w:t>
      </w:r>
    </w:p>
    <w:p>
      <w:pPr>
        <w:pStyle w:val="ListBullet"/>
      </w:pPr>
      <w:r>
        <w:t>Username/password login orchestration or a public authenticate() use case.</w:t>
      </w:r>
    </w:p>
    <w:p>
      <w:pPr>
        <w:pStyle w:val="ListBullet"/>
      </w:pPr>
      <w:r>
        <w:t>Password verification, password hashing, password change, credential replacement, password reset, or temporary-password issuance.</w:t>
      </w:r>
    </w:p>
    <w:p>
      <w:pPr>
        <w:pStyle w:val="ListBullet"/>
      </w:pPr>
      <w:r>
        <w:t>Lockout threshold selection, lockout duration policy, expired-lock interpretation, backoff policy, or configuration UI.</w:t>
      </w:r>
    </w:p>
    <w:p>
      <w:pPr>
        <w:pStyle w:val="ListBullet"/>
      </w:pPr>
      <w:r>
        <w:t>Audit-event creation for login success, failure, lockout, or unknown usernames.</w:t>
      </w:r>
    </w:p>
    <w:p>
      <w:pPr>
        <w:pStyle w:val="ListBullet"/>
      </w:pPr>
      <w:r>
        <w:t>Session tokens, in-memory sessions, idle timeout, unlock, logout, role authorization, or current-user context.</w:t>
      </w:r>
    </w:p>
    <w:p>
      <w:pPr>
        <w:pStyle w:val="ListBullet"/>
      </w:pPr>
      <w:r>
        <w:t>IPC channels, IPC handlers, preload methods, renderer routes, forms, screens, or navigation changes.</w:t>
      </w:r>
    </w:p>
    <w:p>
      <w:pPr>
        <w:pStyle w:val="ListBullet"/>
      </w:pPr>
      <w:r>
        <w:t>User creation, role changes, activation/deactivation, account administration, or clinical permissions.</w:t>
      </w:r>
    </w:p>
    <w:p>
      <w:pPr>
        <w:pStyle w:val="ListBullet"/>
      </w:pPr>
      <w:r>
        <w:t>Schema migrations, table/index changes, triggers, app_settings entries, protocol setup, sync, backup, restore, printing, or clinical workflows.</w:t>
      </w:r>
    </w:p>
    <w:p>
      <w:pPr>
        <w:pStyle w:val="ListBullet"/>
      </w:pPr>
      <w:r>
        <w:t>Logging usernames, passwords, credentials, user IDs, timestamps, SQL, database paths, row values, or raw driver errors.</w:t>
      </w:r>
    </w:p>
    <w:p>
      <w:pPr>
        <w:pStyle w:val="Heading1"/>
      </w:pPr>
      <w:r>
        <w:t>5. Required Repository Contract</w:t>
      </w:r>
    </w:p>
    <w:p>
      <w:r>
        <w:t>Use existing naming and validation conventions. The exact file organization may follow the repository pattern, but the public main-process contract must provide equivalent narrow behavior.</w:t>
      </w:r>
    </w:p>
    <w:p>
      <w:pPr>
        <w:pStyle w:val="CodeBlock"/>
      </w:pPr>
      <w:r>
        <w:t>export interface LocalUserAuthenticationStateSnapshot {</w:t>
      </w:r>
      <w:r>
        <w:br/>
      </w:r>
      <w:r>
        <w:t xml:space="preserve">  readonly failedLoginCount: number</w:t>
      </w:r>
      <w:r>
        <w:br/>
      </w:r>
      <w:r>
        <w:t xml:space="preserve">  readonly lockedUntil: UtcTimestamp | null</w:t>
      </w:r>
      <w:r>
        <w:br/>
      </w:r>
      <w:r>
        <w:t xml:space="preserve">  readonly lastLoginAt: UtcTimestamp | null</w:t>
      </w:r>
      <w:r>
        <w:br/>
      </w:r>
      <w:r>
        <w:t xml:space="preserve">  readonly updatedAt: UtcTimestamp</w:t>
      </w:r>
      <w:r>
        <w:br/>
      </w:r>
      <w:r>
        <w:t>}</w:t>
      </w:r>
      <w:r>
        <w:br/>
      </w:r>
      <w:r/>
      <w:r>
        <w:br/>
      </w:r>
      <w:r>
        <w:t>export interface UpdateLocalUserAuthenticationStateInput {</w:t>
      </w:r>
      <w:r>
        <w:br/>
      </w:r>
      <w:r>
        <w:t xml:space="preserve">  readonly id: EntityId</w:t>
      </w:r>
      <w:r>
        <w:br/>
      </w:r>
      <w:r>
        <w:t xml:space="preserve">  readonly expected: LocalUserAuthenticationStateSnapshot</w:t>
      </w:r>
      <w:r>
        <w:br/>
      </w:r>
      <w:r>
        <w:t xml:space="preserve">  readonly next: LocalUserAuthenticationStateSnapshot</w:t>
      </w:r>
      <w:r>
        <w:br/>
      </w:r>
      <w:r>
        <w:t>}</w:t>
      </w:r>
      <w:r>
        <w:br/>
      </w:r>
      <w:r/>
      <w:r>
        <w:br/>
      </w:r>
      <w:r>
        <w:t>export interface LocalUserRepository {</w:t>
      </w:r>
      <w:r>
        <w:br/>
      </w:r>
      <w:r>
        <w:t xml:space="preserve">  // Existing operations remain unchanged.</w:t>
      </w:r>
      <w:r>
        <w:br/>
      </w:r>
      <w:r>
        <w:t xml:space="preserve">  updateAuthenticationState(</w:t>
      </w:r>
      <w:r>
        <w:br/>
      </w:r>
      <w:r>
        <w:t xml:space="preserve">    connection: DatabaseTransactionConnection,</w:t>
      </w:r>
      <w:r>
        <w:br/>
      </w:r>
      <w:r>
        <w:t xml:space="preserve">    input: UpdateLocalUserAuthenticationStateInput</w:t>
      </w:r>
      <w:r>
        <w:br/>
      </w:r>
      <w:r>
        <w:t xml:space="preserve">  ): LocalUserRecord</w:t>
      </w:r>
      <w:r>
        <w:br/>
      </w:r>
      <w:r>
        <w:t>}</w:t>
      </w:r>
    </w:p>
    <w:tbl>
      <w:tblPr>
        <w:tblW w:type="auto" w:w="0"/>
        <w:jc w:val="center"/>
        <w:tblLayout w:type="autofit"/>
        <w:tblLook w:firstColumn="1" w:firstRow="1" w:lastColumn="0" w:lastRow="0" w:noHBand="0" w:noVBand="1" w:val="04A0"/>
      </w:tblPr>
      <w:tblGrid>
        <w:gridCol w:w="10166"/>
      </w:tblGrid>
      <w:tr>
        <w:tc>
          <w:tcPr>
            <w:tcW w:type="dxa" w:w="10166"/>
            <w:shd w:fill="EAF2F8"/>
            <w:tcMar>
              <w:top w:w="120" w:type="dxa"/>
              <w:start w:w="160" w:type="dxa"/>
              <w:bottom w:w="120" w:type="dxa"/>
              <w:end w:w="160" w:type="dxa"/>
            </w:tcMar>
          </w:tcPr>
          <w:p>
            <w:r>
              <w:rPr>
                <w:b/>
              </w:rPr>
              <w:t xml:space="preserve">Naming flexibility: </w:t>
            </w:r>
            <w:r>
              <w:t>Codex may choose equally precise names consistent with the existing repository. Do not broaden this into a generic updateUser() or patchUser() method.</w:t>
            </w:r>
          </w:p>
        </w:tc>
      </w:tr>
    </w:tbl>
    <w:p>
      <w:pPr>
        <w:spacing w:after="0"/>
      </w:pPr>
    </w:p>
    <w:p>
      <w:pPr>
        <w:pStyle w:val="Heading1"/>
      </w:pPr>
      <w:r>
        <w:t>6. Authentication-State Semantics</w:t>
      </w:r>
    </w:p>
    <w:p>
      <w:pPr>
        <w:pStyle w:val="Heading2"/>
      </w:pPr>
      <w:r>
        <w:t>6.1 Expected state</w:t>
      </w:r>
    </w:p>
    <w:p>
      <w:pPr>
        <w:pStyle w:val="ListBullet"/>
      </w:pPr>
      <w:r>
        <w:t>The expected snapshot represents the caller-observed persisted values before the attempted write.</w:t>
      </w:r>
    </w:p>
    <w:p>
      <w:pPr>
        <w:pStyle w:val="ListBullet"/>
      </w:pPr>
      <w:r>
        <w:t>All four fields participate in stale-state detection: failedLoginCount, lockedUntil, lastLoginAt, and updatedAt.</w:t>
      </w:r>
    </w:p>
    <w:p>
      <w:pPr>
        <w:pStyle w:val="ListBullet"/>
      </w:pPr>
      <w:r>
        <w:t>Null equality must be handled correctly; do not rely on ordinary SQL equality for nullable timestamps.</w:t>
      </w:r>
    </w:p>
    <w:p>
      <w:pPr>
        <w:pStyle w:val="ListBullet"/>
      </w:pPr>
      <w:r>
        <w:t>The repository must not silently refresh and overwrite newer state when the expected snapshot is stale.</w:t>
      </w:r>
    </w:p>
    <w:p>
      <w:pPr>
        <w:pStyle w:val="Heading2"/>
      </w:pPr>
      <w:r>
        <w:t>6.2 Next state</w:t>
      </w:r>
    </w:p>
    <w:p>
      <w:pPr>
        <w:pStyle w:val="ListBullet"/>
      </w:pPr>
      <w:r>
        <w:t>failedLoginCount is a non-negative safe integer accepted only within a reviewed persistence bound compatible with the schema.</w:t>
      </w:r>
    </w:p>
    <w:p>
      <w:pPr>
        <w:pStyle w:val="ListBullet"/>
      </w:pPr>
      <w:r>
        <w:t>lockedUntil and lastLoginAt are null or canonical HSD-008 UTC timestamps.</w:t>
      </w:r>
    </w:p>
    <w:p>
      <w:pPr>
        <w:pStyle w:val="ListBullet"/>
      </w:pPr>
      <w:r>
        <w:t>updatedAt is a canonical HSD-008 UTC timestamp.</w:t>
      </w:r>
    </w:p>
    <w:p>
      <w:pPr>
        <w:pStyle w:val="ListBullet"/>
      </w:pPr>
      <w:r>
        <w:t>A non-null lockedUntil must be later than updatedAt. A persisted lock that is already expired at the update timestamp is invalid as a next state.</w:t>
      </w:r>
    </w:p>
    <w:p>
      <w:pPr>
        <w:pStyle w:val="ListBullet"/>
      </w:pPr>
      <w:r>
        <w:t>lastLoginAt must not move backward relative to the expected lastLoginAt.</w:t>
      </w:r>
    </w:p>
    <w:p>
      <w:pPr>
        <w:pStyle w:val="ListBullet"/>
      </w:pPr>
      <w:r>
        <w:t>updatedAt must not move backward relative to expected.updatedAt.</w:t>
      </w:r>
    </w:p>
    <w:p>
      <w:pPr>
        <w:pStyle w:val="ListBullet"/>
      </w:pPr>
      <w:r>
        <w:t>The repository validates structural and temporal invariants only. It does not decide the number of permitted failures or how long a lock should last.</w:t>
      </w:r>
    </w:p>
    <w:p>
      <w:pPr>
        <w:pStyle w:val="Heading2"/>
      </w:pPr>
      <w:r>
        <w:t>6.3 Successful authentication representation</w:t>
      </w:r>
    </w:p>
    <w:p>
      <w:r>
        <w:t>A later login service will represent a successful authentication by requesting a next state with:</w:t>
      </w:r>
    </w:p>
    <w:p>
      <w:pPr>
        <w:pStyle w:val="ListBullet2"/>
      </w:pPr>
      <w:r>
        <w:t>failedLoginCount = 0;</w:t>
      </w:r>
    </w:p>
    <w:p>
      <w:pPr>
        <w:pStyle w:val="ListBullet2"/>
      </w:pPr>
      <w:r>
        <w:t>lockedUntil = null;</w:t>
      </w:r>
    </w:p>
    <w:p>
      <w:pPr>
        <w:pStyle w:val="ListBullet2"/>
      </w:pPr>
      <w:r>
        <w:t>lastLoginAt = the reviewed authentication timestamp;</w:t>
      </w:r>
    </w:p>
    <w:p>
      <w:pPr>
        <w:pStyle w:val="ListBullet2"/>
      </w:pPr>
      <w:r>
        <w:t>updatedAt = the same authentication timestamp or another canonical timestamp selected by the service.</w:t>
      </w:r>
    </w:p>
    <w:p>
      <w:pPr>
        <w:pStyle w:val="Heading2"/>
      </w:pPr>
      <w:r>
        <w:t>6.4 Failed authentication representation</w:t>
      </w:r>
    </w:p>
    <w:p>
      <w:r>
        <w:t>A later login service will represent a failed authentication by requesting a next state with:</w:t>
      </w:r>
    </w:p>
    <w:p>
      <w:pPr>
        <w:pStyle w:val="ListBullet2"/>
      </w:pPr>
      <w:r>
        <w:t>the policy-approved next failedLoginCount;</w:t>
      </w:r>
    </w:p>
    <w:p>
      <w:pPr>
        <w:pStyle w:val="ListBullet2"/>
      </w:pPr>
      <w:r>
        <w:t>lockedUntil = null when no lock is imposed, or a future canonical timestamp when the policy imposes a lock;</w:t>
      </w:r>
    </w:p>
    <w:p>
      <w:pPr>
        <w:pStyle w:val="ListBullet2"/>
      </w:pPr>
      <w:r>
        <w:t>lastLoginAt unchanged;</w:t>
      </w:r>
    </w:p>
    <w:p>
      <w:pPr>
        <w:pStyle w:val="ListBullet2"/>
      </w:pPr>
      <w:r>
        <w:t>updatedAt = the attempt timestamp.</w:t>
      </w:r>
    </w:p>
    <w:p>
      <w:pPr>
        <w:pStyle w:val="Heading1"/>
      </w:pPr>
      <w:r>
        <w:t>7. SQL and Transaction Requirements</w:t>
      </w:r>
    </w:p>
    <w:p>
      <w:pPr>
        <w:pStyle w:val="ListBullet"/>
      </w:pPr>
      <w:r>
        <w:t>Validate the transaction-scoped capability before parsing the remaining input and before preparing or executing SQL.</w:t>
      </w:r>
    </w:p>
    <w:p>
      <w:pPr>
        <w:pStyle w:val="ListBullet"/>
      </w:pPr>
      <w:r>
        <w:t>Use one compare-and-set UPDATE inside the caller-owned transaction. Do not open, commit, roll back, retry, or nest a transaction in the repository.</w:t>
      </w:r>
    </w:p>
    <w:p>
      <w:pPr>
        <w:pStyle w:val="ListBullet"/>
      </w:pPr>
      <w:r>
        <w:t>The UPDATE predicate must include the user ID and all expected authentication-state fields, including null-safe comparisons.</w:t>
      </w:r>
    </w:p>
    <w:p>
      <w:pPr>
        <w:pStyle w:val="ListBullet"/>
      </w:pPr>
      <w:r>
        <w:t>The UPDATE statement may change only failed_login_count, locked_until, last_login_at, and updated_at.</w:t>
      </w:r>
    </w:p>
    <w:p>
      <w:pPr>
        <w:pStyle w:val="ListBullet"/>
      </w:pPr>
      <w:r>
        <w:t>Do not select, return, bind as output, rewrite, serialize, or log password_hash or password_salt.</w:t>
      </w:r>
    </w:p>
    <w:p>
      <w:pPr>
        <w:pStyle w:val="ListBullet"/>
      </w:pPr>
      <w:r>
        <w:t>After a successful update, decode and return a credential-free LocalUserRecord through the existing strict row decoder or an equally strict reviewed decoder.</w:t>
      </w:r>
    </w:p>
    <w:p>
      <w:pPr>
        <w:pStyle w:val="ListBullet"/>
      </w:pPr>
      <w:r>
        <w:t>Exactly one changed row is success. Zero changed rows must be classified by a safe credential-free existence/state check inside the same transaction: missing user versus stale state conflict.</w:t>
      </w:r>
    </w:p>
    <w:p>
      <w:pPr>
        <w:pStyle w:val="ListBullet"/>
      </w:pPr>
      <w:r>
        <w:t>More than one changed row is a controlled repository integrity failure.</w:t>
      </w:r>
    </w:p>
    <w:p>
      <w:pPr>
        <w:pStyle w:val="ListBullet"/>
      </w:pPr>
      <w:r>
        <w:t>Database exceptions must be rebuilt into fixed repository errors. Never return raw SQLite messages, SQL text, constraint names, file paths, bound values, or causes.</w:t>
      </w:r>
    </w:p>
    <w:p>
      <w:pPr>
        <w:pStyle w:val="Heading1"/>
      </w:pPr>
      <w:r>
        <w:t>8. Required Error Model</w:t>
      </w:r>
    </w:p>
    <w:p>
      <w:r>
        <w:t>Reuse the repository error hierarchy where appropriate and add narrow error types only when required. Equivalent names are acceptable, but behavior must distinguish: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100" w:type="dxa"/>
              <w:start w:w="120" w:type="dxa"/>
              <w:bottom w:w="100" w:type="dxa"/>
              <w:end w:w="120" w:type="dxa"/>
            </w:tcMar>
          </w:tcPr>
          <w:p>
            <w:r>
              <w:rPr>
                <w:b/>
                <w:color w:val="FFFFFF"/>
              </w:rPr>
              <w:t>Condition</w:t>
            </w:r>
          </w:p>
        </w:tc>
        <w:tc>
          <w:tcPr>
            <w:tcW w:type="dxa" w:w="3389"/>
            <w:shd w:fill="1F4E79"/>
            <w:tcMar>
              <w:top w:w="100" w:type="dxa"/>
              <w:start w:w="120" w:type="dxa"/>
              <w:bottom w:w="100" w:type="dxa"/>
              <w:end w:w="120" w:type="dxa"/>
            </w:tcMar>
          </w:tcPr>
          <w:p>
            <w:r>
              <w:rPr>
                <w:b/>
                <w:color w:val="FFFFFF"/>
              </w:rPr>
              <w:t>Required classification</w:t>
            </w:r>
          </w:p>
        </w:tc>
        <w:tc>
          <w:tcPr>
            <w:tcW w:type="dxa" w:w="3389"/>
            <w:shd w:fill="1F4E79"/>
            <w:tcMar>
              <w:top w:w="100" w:type="dxa"/>
              <w:start w:w="120" w:type="dxa"/>
              <w:bottom w:w="100" w:type="dxa"/>
              <w:end w:w="120" w:type="dxa"/>
            </w:tcMar>
          </w:tcPr>
          <w:p>
            <w:r>
              <w:rPr>
                <w:b/>
                <w:color w:val="FFFFFF"/>
              </w:rPr>
              <w:t>Renderer exposure</w:t>
            </w:r>
          </w:p>
        </w:tc>
      </w:tr>
      <w:tr>
        <w:tc>
          <w:tcPr>
            <w:tcW w:type="dxa" w:w="3389"/>
            <w:tcMar>
              <w:top w:w="100" w:type="dxa"/>
              <w:start w:w="120" w:type="dxa"/>
              <w:bottom w:w="100" w:type="dxa"/>
              <w:end w:w="120" w:type="dxa"/>
            </w:tcMar>
          </w:tcPr>
          <w:p>
            <w:r>
              <w:t>Malformed or hostile mutation input</w:t>
            </w:r>
          </w:p>
        </w:tc>
        <w:tc>
          <w:tcPr>
            <w:tcW w:type="dxa" w:w="3389"/>
            <w:tcMar>
              <w:top w:w="100" w:type="dxa"/>
              <w:start w:w="120" w:type="dxa"/>
              <w:bottom w:w="100" w:type="dxa"/>
              <w:end w:w="120" w:type="dxa"/>
            </w:tcMar>
          </w:tcPr>
          <w:p>
            <w:r>
              <w:t>Controlled validation error</w:t>
            </w:r>
          </w:p>
        </w:tc>
        <w:tc>
          <w:tcPr>
            <w:tcW w:type="dxa" w:w="3389"/>
            <w:tcMar>
              <w:top w:w="100" w:type="dxa"/>
              <w:start w:w="120" w:type="dxa"/>
              <w:bottom w:w="100" w:type="dxa"/>
              <w:end w:w="120" w:type="dxa"/>
            </w:tcMar>
          </w:tcPr>
          <w:p>
            <w:r>
              <w:t>Not exposed in HSD-017</w:t>
            </w:r>
          </w:p>
        </w:tc>
      </w:tr>
      <w:tr>
        <w:tc>
          <w:tcPr>
            <w:tcW w:type="dxa" w:w="3389"/>
            <w:tcMar>
              <w:top w:w="100" w:type="dxa"/>
              <w:start w:w="120" w:type="dxa"/>
              <w:bottom w:w="100" w:type="dxa"/>
              <w:end w:w="120" w:type="dxa"/>
            </w:tcMar>
          </w:tcPr>
          <w:p>
            <w:r>
              <w:t>Unauthentic transaction capability</w:t>
            </w:r>
          </w:p>
        </w:tc>
        <w:tc>
          <w:tcPr>
            <w:tcW w:type="dxa" w:w="3389"/>
            <w:tcMar>
              <w:top w:w="100" w:type="dxa"/>
              <w:start w:w="120" w:type="dxa"/>
              <w:bottom w:w="100" w:type="dxa"/>
              <w:end w:w="120" w:type="dxa"/>
            </w:tcMar>
          </w:tcPr>
          <w:p>
            <w:r>
              <w:t>Controlled transaction/repository boundary error</w:t>
            </w:r>
          </w:p>
        </w:tc>
        <w:tc>
          <w:tcPr>
            <w:tcW w:type="dxa" w:w="3389"/>
            <w:tcMar>
              <w:top w:w="100" w:type="dxa"/>
              <w:start w:w="120" w:type="dxa"/>
              <w:bottom w:w="100" w:type="dxa"/>
              <w:end w:w="120" w:type="dxa"/>
            </w:tcMar>
          </w:tcPr>
          <w:p>
            <w:r>
              <w:t>Not exposed in HSD-017</w:t>
            </w:r>
          </w:p>
        </w:tc>
      </w:tr>
      <w:tr>
        <w:tc>
          <w:tcPr>
            <w:tcW w:type="dxa" w:w="3389"/>
            <w:tcMar>
              <w:top w:w="100" w:type="dxa"/>
              <w:start w:w="120" w:type="dxa"/>
              <w:bottom w:w="100" w:type="dxa"/>
              <w:end w:w="120" w:type="dxa"/>
            </w:tcMar>
          </w:tcPr>
          <w:p>
            <w:r>
              <w:t>User ID does not exist</w:t>
            </w:r>
          </w:p>
        </w:tc>
        <w:tc>
          <w:tcPr>
            <w:tcW w:type="dxa" w:w="3389"/>
            <w:tcMar>
              <w:top w:w="100" w:type="dxa"/>
              <w:start w:w="120" w:type="dxa"/>
              <w:bottom w:w="100" w:type="dxa"/>
              <w:end w:w="120" w:type="dxa"/>
            </w:tcMar>
          </w:tcPr>
          <w:p>
            <w:r>
              <w:t>Local-user not-found error</w:t>
            </w:r>
          </w:p>
        </w:tc>
        <w:tc>
          <w:tcPr>
            <w:tcW w:type="dxa" w:w="3389"/>
            <w:tcMar>
              <w:top w:w="100" w:type="dxa"/>
              <w:start w:w="120" w:type="dxa"/>
              <w:bottom w:w="100" w:type="dxa"/>
              <w:end w:w="120" w:type="dxa"/>
            </w:tcMar>
          </w:tcPr>
          <w:p>
            <w:r>
              <w:t>Not exposed in HSD-017</w:t>
            </w:r>
          </w:p>
        </w:tc>
      </w:tr>
      <w:tr>
        <w:tc>
          <w:tcPr>
            <w:tcW w:type="dxa" w:w="3389"/>
            <w:tcMar>
              <w:top w:w="100" w:type="dxa"/>
              <w:start w:w="120" w:type="dxa"/>
              <w:bottom w:w="100" w:type="dxa"/>
              <w:end w:w="120" w:type="dxa"/>
            </w:tcMar>
          </w:tcPr>
          <w:p>
            <w:r>
              <w:t>Expected state no longer matches</w:t>
            </w:r>
          </w:p>
        </w:tc>
        <w:tc>
          <w:tcPr>
            <w:tcW w:type="dxa" w:w="3389"/>
            <w:tcMar>
              <w:top w:w="100" w:type="dxa"/>
              <w:start w:w="120" w:type="dxa"/>
              <w:bottom w:w="100" w:type="dxa"/>
              <w:end w:w="120" w:type="dxa"/>
            </w:tcMar>
          </w:tcPr>
          <w:p>
            <w:r>
              <w:t>Authentication-state conflict error</w:t>
            </w:r>
          </w:p>
        </w:tc>
        <w:tc>
          <w:tcPr>
            <w:tcW w:type="dxa" w:w="3389"/>
            <w:tcMar>
              <w:top w:w="100" w:type="dxa"/>
              <w:start w:w="120" w:type="dxa"/>
              <w:bottom w:w="100" w:type="dxa"/>
              <w:end w:w="120" w:type="dxa"/>
            </w:tcMar>
          </w:tcPr>
          <w:p>
            <w:r>
              <w:t>Not exposed in HSD-017</w:t>
            </w:r>
          </w:p>
        </w:tc>
      </w:tr>
      <w:tr>
        <w:tc>
          <w:tcPr>
            <w:tcW w:type="dxa" w:w="3389"/>
            <w:tcMar>
              <w:top w:w="100" w:type="dxa"/>
              <w:start w:w="120" w:type="dxa"/>
              <w:bottom w:w="100" w:type="dxa"/>
              <w:end w:w="120" w:type="dxa"/>
            </w:tcMar>
          </w:tcPr>
          <w:p>
            <w:r>
              <w:t>Malformed persisted row</w:t>
            </w:r>
          </w:p>
        </w:tc>
        <w:tc>
          <w:tcPr>
            <w:tcW w:type="dxa" w:w="3389"/>
            <w:tcMar>
              <w:top w:w="100" w:type="dxa"/>
              <w:start w:w="120" w:type="dxa"/>
              <w:bottom w:w="100" w:type="dxa"/>
              <w:end w:w="120" w:type="dxa"/>
            </w:tcMar>
          </w:tcPr>
          <w:p>
            <w:r>
              <w:t>Repository data-integrity error</w:t>
            </w:r>
          </w:p>
        </w:tc>
        <w:tc>
          <w:tcPr>
            <w:tcW w:type="dxa" w:w="3389"/>
            <w:tcMar>
              <w:top w:w="100" w:type="dxa"/>
              <w:start w:w="120" w:type="dxa"/>
              <w:bottom w:w="100" w:type="dxa"/>
              <w:end w:w="120" w:type="dxa"/>
            </w:tcMar>
          </w:tcPr>
          <w:p>
            <w:r>
              <w:t>Not exposed in HSD-017</w:t>
            </w:r>
          </w:p>
        </w:tc>
      </w:tr>
      <w:tr>
        <w:tc>
          <w:tcPr>
            <w:tcW w:type="dxa" w:w="3389"/>
            <w:tcMar>
              <w:top w:w="100" w:type="dxa"/>
              <w:start w:w="120" w:type="dxa"/>
              <w:bottom w:w="100" w:type="dxa"/>
              <w:end w:w="120" w:type="dxa"/>
            </w:tcMar>
          </w:tcPr>
          <w:p>
            <w:r>
              <w:t>SQLite prepare/execute/read failure</w:t>
            </w:r>
          </w:p>
        </w:tc>
        <w:tc>
          <w:tcPr>
            <w:tcW w:type="dxa" w:w="3389"/>
            <w:tcMar>
              <w:top w:w="100" w:type="dxa"/>
              <w:start w:w="120" w:type="dxa"/>
              <w:bottom w:w="100" w:type="dxa"/>
              <w:end w:w="120" w:type="dxa"/>
            </w:tcMar>
          </w:tcPr>
          <w:p>
            <w:r>
              <w:t>Controlled repository write/read error</w:t>
            </w:r>
          </w:p>
        </w:tc>
        <w:tc>
          <w:tcPr>
            <w:tcW w:type="dxa" w:w="3389"/>
            <w:tcMar>
              <w:top w:w="100" w:type="dxa"/>
              <w:start w:w="120" w:type="dxa"/>
              <w:bottom w:w="100" w:type="dxa"/>
              <w:end w:w="120" w:type="dxa"/>
            </w:tcMar>
          </w:tcPr>
          <w:p>
            <w:r>
              <w:t>Not exposed in HSD-017</w:t>
            </w:r>
          </w:p>
        </w:tc>
      </w:tr>
    </w:tbl>
    <w:p>
      <w:pPr>
        <w:pStyle w:val="Heading1"/>
      </w:pPr>
      <w:r>
        <w:t>9. Validation and Hostile-Input Requirements</w:t>
      </w:r>
    </w:p>
    <w:p>
      <w:pPr>
        <w:pStyle w:val="ListBullet"/>
      </w:pPr>
      <w:r>
        <w:t>Parse all mutation input from unknown; do not trust TypeScript types at runtime.</w:t>
      </w:r>
    </w:p>
    <w:p>
      <w:pPr>
        <w:pStyle w:val="ListBullet"/>
      </w:pPr>
      <w:r>
        <w:t>Accept only strict own-property plain objects. Reject extra keys, symbol keys, inherited values, accessors, arrays, class instances, dates, maps, sets, and proxy-driven ambiguity using the established defensive validation approach.</w:t>
      </w:r>
    </w:p>
    <w:p>
      <w:pPr>
        <w:pStyle w:val="ListBullet"/>
      </w:pPr>
      <w:r>
        <w:t>Do not normalize, trim, repair, infer, or generate IDs or timestamps in the repository mutation parser.</w:t>
      </w:r>
    </w:p>
    <w:p>
      <w:pPr>
        <w:pStyle w:val="ListBullet"/>
      </w:pPr>
      <w:r>
        <w:t>Reject non-canonical UUIDs and timestamps through existing HSD-008 parsers.</w:t>
      </w:r>
    </w:p>
    <w:p>
      <w:pPr>
        <w:pStyle w:val="ListBullet"/>
      </w:pPr>
      <w:r>
        <w:t>Reject NaN, Infinity, fractional counts, negative counts, unsafe integers, and values outside the chosen persistence bound.</w:t>
      </w:r>
    </w:p>
    <w:p>
      <w:pPr>
        <w:pStyle w:val="ListBullet"/>
      </w:pPr>
      <w:r>
        <w:t>Do not include the rejected values in errors or logs.</w:t>
      </w:r>
    </w:p>
    <w:p>
      <w:pPr>
        <w:pStyle w:val="Heading1"/>
      </w:pPr>
      <w:r>
        <w:t>10. Required Files and Change Boundaries</w:t>
      </w:r>
    </w:p>
    <w:p>
      <w:r>
        <w:t>Follow existing paths and barrels. Expected changes include the following or an equivalent reviewed arrangement: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100" w:type="dxa"/>
              <w:start w:w="120" w:type="dxa"/>
              <w:bottom w:w="100" w:type="dxa"/>
              <w:end w:w="120" w:type="dxa"/>
            </w:tcMar>
          </w:tcPr>
          <w:p>
            <w:r>
              <w:rPr>
                <w:b/>
                <w:color w:val="FFFFFF"/>
              </w:rPr>
              <w:t>Area</w:t>
            </w:r>
          </w:p>
        </w:tc>
        <w:tc>
          <w:tcPr>
            <w:tcW w:type="dxa" w:w="5083"/>
            <w:shd w:fill="1F4E79"/>
            <w:tcMar>
              <w:top w:w="100" w:type="dxa"/>
              <w:start w:w="120" w:type="dxa"/>
              <w:bottom w:w="100" w:type="dxa"/>
              <w:end w:w="120" w:type="dxa"/>
            </w:tcMar>
          </w:tcPr>
          <w:p>
            <w:r>
              <w:rPr>
                <w:b/>
                <w:color w:val="FFFFFF"/>
              </w:rPr>
              <w:t>Expected change</w:t>
            </w:r>
          </w:p>
        </w:tc>
      </w:tr>
      <w:tr>
        <w:tc>
          <w:tcPr>
            <w:tcW w:type="dxa" w:w="5083"/>
            <w:tcMar>
              <w:top w:w="100" w:type="dxa"/>
              <w:start w:w="120" w:type="dxa"/>
              <w:bottom w:w="100" w:type="dxa"/>
              <w:end w:w="120" w:type="dxa"/>
            </w:tcMar>
          </w:tcPr>
          <w:p>
            <w:r>
              <w:t>src/main/database/repositories/local-user/local-user-types.ts</w:t>
            </w:r>
          </w:p>
        </w:tc>
        <w:tc>
          <w:tcPr>
            <w:tcW w:type="dxa" w:w="5083"/>
            <w:tcMar>
              <w:top w:w="100" w:type="dxa"/>
              <w:start w:w="120" w:type="dxa"/>
              <w:bottom w:w="100" w:type="dxa"/>
              <w:end w:w="120" w:type="dxa"/>
            </w:tcMar>
          </w:tcPr>
          <w:p>
            <w:r>
              <w:t>Add expected/next authentication-state mutation types and repository method.</w:t>
            </w:r>
          </w:p>
        </w:tc>
      </w:tr>
      <w:tr>
        <w:tc>
          <w:tcPr>
            <w:tcW w:type="dxa" w:w="5083"/>
            <w:tcMar>
              <w:top w:w="100" w:type="dxa"/>
              <w:start w:w="120" w:type="dxa"/>
              <w:bottom w:w="100" w:type="dxa"/>
              <w:end w:w="120" w:type="dxa"/>
            </w:tcMar>
          </w:tcPr>
          <w:p>
            <w:r>
              <w:t>src/main/database/repositories/local-user/local-user-validation.ts</w:t>
            </w:r>
          </w:p>
        </w:tc>
        <w:tc>
          <w:tcPr>
            <w:tcW w:type="dxa" w:w="5083"/>
            <w:tcMar>
              <w:top w:w="100" w:type="dxa"/>
              <w:start w:w="120" w:type="dxa"/>
              <w:bottom w:w="100" w:type="dxa"/>
              <w:end w:w="120" w:type="dxa"/>
            </w:tcMar>
          </w:tcPr>
          <w:p>
            <w:r>
              <w:t>Add strict unknown-input parsing and temporal/state invariant validation.</w:t>
            </w:r>
          </w:p>
        </w:tc>
      </w:tr>
      <w:tr>
        <w:tc>
          <w:tcPr>
            <w:tcW w:type="dxa" w:w="5083"/>
            <w:tcMar>
              <w:top w:w="100" w:type="dxa"/>
              <w:start w:w="120" w:type="dxa"/>
              <w:bottom w:w="100" w:type="dxa"/>
              <w:end w:w="120" w:type="dxa"/>
            </w:tcMar>
          </w:tcPr>
          <w:p>
            <w:r>
              <w:t>src/main/database/repositories/local-user/local-user-repository.ts</w:t>
            </w:r>
          </w:p>
        </w:tc>
        <w:tc>
          <w:tcPr>
            <w:tcW w:type="dxa" w:w="5083"/>
            <w:tcMar>
              <w:top w:w="100" w:type="dxa"/>
              <w:start w:w="120" w:type="dxa"/>
              <w:bottom w:w="100" w:type="dxa"/>
              <w:end w:w="120" w:type="dxa"/>
            </w:tcMar>
          </w:tcPr>
          <w:p>
            <w:r>
              <w:t>Implement transaction-first compare-and-set mutation, classification, and credential-free return.</w:t>
            </w:r>
          </w:p>
        </w:tc>
      </w:tr>
      <w:tr>
        <w:tc>
          <w:tcPr>
            <w:tcW w:type="dxa" w:w="5083"/>
            <w:tcMar>
              <w:top w:w="100" w:type="dxa"/>
              <w:start w:w="120" w:type="dxa"/>
              <w:bottom w:w="100" w:type="dxa"/>
              <w:end w:w="120" w:type="dxa"/>
            </w:tcMar>
          </w:tcPr>
          <w:p>
            <w:r>
              <w:t>src/main/database/repositories/local-user/index.ts and repository barrels</w:t>
            </w:r>
          </w:p>
        </w:tc>
        <w:tc>
          <w:tcPr>
            <w:tcW w:type="dxa" w:w="5083"/>
            <w:tcMar>
              <w:top w:w="100" w:type="dxa"/>
              <w:start w:w="120" w:type="dxa"/>
              <w:bottom w:w="100" w:type="dxa"/>
              <w:end w:w="120" w:type="dxa"/>
            </w:tcMar>
          </w:tcPr>
          <w:p>
            <w:r>
              <w:t>Export only the intended main-process contract.</w:t>
            </w:r>
          </w:p>
        </w:tc>
      </w:tr>
      <w:tr>
        <w:tc>
          <w:tcPr>
            <w:tcW w:type="dxa" w:w="5083"/>
            <w:tcMar>
              <w:top w:w="100" w:type="dxa"/>
              <w:start w:w="120" w:type="dxa"/>
              <w:bottom w:w="100" w:type="dxa"/>
              <w:end w:w="120" w:type="dxa"/>
            </w:tcMar>
          </w:tcPr>
          <w:p>
            <w:r>
              <w:t>src/main/database/repositories/repository-errors.ts</w:t>
            </w:r>
          </w:p>
        </w:tc>
        <w:tc>
          <w:tcPr>
            <w:tcW w:type="dxa" w:w="5083"/>
            <w:tcMar>
              <w:top w:w="100" w:type="dxa"/>
              <w:start w:w="120" w:type="dxa"/>
              <w:bottom w:w="100" w:type="dxa"/>
              <w:end w:w="120" w:type="dxa"/>
            </w:tcMar>
          </w:tcPr>
          <w:p>
            <w:r>
              <w:t>Add narrow not-found/conflict errors only if existing types are insufficient.</w:t>
            </w:r>
          </w:p>
        </w:tc>
      </w:tr>
      <w:tr>
        <w:tc>
          <w:tcPr>
            <w:tcW w:type="dxa" w:w="5083"/>
            <w:tcMar>
              <w:top w:w="100" w:type="dxa"/>
              <w:start w:w="120" w:type="dxa"/>
              <w:bottom w:w="100" w:type="dxa"/>
              <w:end w:w="120" w:type="dxa"/>
            </w:tcMar>
          </w:tcPr>
          <w:p>
            <w:r>
              <w:t>tests/unit/main/...</w:t>
            </w:r>
          </w:p>
        </w:tc>
        <w:tc>
          <w:tcPr>
            <w:tcW w:type="dxa" w:w="5083"/>
            <w:tcMar>
              <w:top w:w="100" w:type="dxa"/>
              <w:start w:w="120" w:type="dxa"/>
              <w:bottom w:w="100" w:type="dxa"/>
              <w:end w:w="120" w:type="dxa"/>
            </w:tcMar>
          </w:tcPr>
          <w:p>
            <w:r>
              <w:t>Add validation and error-containment coverage.</w:t>
            </w:r>
          </w:p>
        </w:tc>
      </w:tr>
      <w:tr>
        <w:tc>
          <w:tcPr>
            <w:tcW w:type="dxa" w:w="5083"/>
            <w:tcMar>
              <w:top w:w="100" w:type="dxa"/>
              <w:start w:w="120" w:type="dxa"/>
              <w:bottom w:w="100" w:type="dxa"/>
              <w:end w:w="120" w:type="dxa"/>
            </w:tcMar>
          </w:tcPr>
          <w:p>
            <w:r>
              <w:t>tests/integration/main/local-user-repository.test.ts or focused companion</w:t>
            </w:r>
          </w:p>
        </w:tc>
        <w:tc>
          <w:tcPr>
            <w:tcW w:type="dxa" w:w="5083"/>
            <w:tcMar>
              <w:top w:w="100" w:type="dxa"/>
              <w:start w:w="120" w:type="dxa"/>
              <w:bottom w:w="100" w:type="dxa"/>
              <w:end w:w="120" w:type="dxa"/>
            </w:tcMar>
          </w:tcPr>
          <w:p>
            <w:r>
              <w:t>Add temporary SQLite mutation, conflict, and rollback tests.</w:t>
            </w:r>
          </w:p>
        </w:tc>
      </w:tr>
      <w:tr>
        <w:tc>
          <w:tcPr>
            <w:tcW w:type="dxa" w:w="5083"/>
            <w:tcMar>
              <w:top w:w="100" w:type="dxa"/>
              <w:start w:w="120" w:type="dxa"/>
              <w:bottom w:w="100" w:type="dxa"/>
              <w:end w:w="120" w:type="dxa"/>
            </w:tcMar>
          </w:tcPr>
          <w:p>
            <w:r>
              <w:t>docs/database/local-user-authentication-state.md</w:t>
            </w:r>
          </w:p>
        </w:tc>
        <w:tc>
          <w:tcPr>
            <w:tcW w:type="dxa" w:w="5083"/>
            <w:tcMar>
              <w:top w:w="100" w:type="dxa"/>
              <w:start w:w="120" w:type="dxa"/>
              <w:bottom w:w="100" w:type="dxa"/>
              <w:end w:w="120" w:type="dxa"/>
            </w:tcMar>
          </w:tcPr>
          <w:p>
            <w:r>
              <w:t>Document state fields, CAS semantics, errors, and deferred work.</w:t>
            </w:r>
          </w:p>
        </w:tc>
      </w:tr>
      <w:tr>
        <w:tc>
          <w:tcPr>
            <w:tcW w:type="dxa" w:w="5083"/>
            <w:tcMar>
              <w:top w:w="100" w:type="dxa"/>
              <w:start w:w="120" w:type="dxa"/>
              <w:bottom w:w="100" w:type="dxa"/>
              <w:end w:w="120" w:type="dxa"/>
            </w:tcMar>
          </w:tcPr>
          <w:p>
            <w:r>
              <w:t>docs/database/local-user-repository.md</w:t>
            </w:r>
          </w:p>
        </w:tc>
        <w:tc>
          <w:tcPr>
            <w:tcW w:type="dxa" w:w="5083"/>
            <w:tcMar>
              <w:top w:w="100" w:type="dxa"/>
              <w:start w:w="120" w:type="dxa"/>
              <w:bottom w:w="100" w:type="dxa"/>
              <w:end w:w="120" w:type="dxa"/>
            </w:tcMar>
          </w:tcPr>
          <w:p>
            <w:r>
              <w:t>Update the existing repository capability/deferred sections.</w:t>
            </w:r>
          </w:p>
        </w:tc>
      </w:tr>
      <w:tr>
        <w:tc>
          <w:tcPr>
            <w:tcW w:type="dxa" w:w="5083"/>
            <w:tcMar>
              <w:top w:w="100" w:type="dxa"/>
              <w:start w:w="120" w:type="dxa"/>
              <w:bottom w:w="100" w:type="dxa"/>
              <w:end w:w="120" w:type="dxa"/>
            </w:tcMar>
          </w:tcPr>
          <w:p>
            <w:r>
              <w:t>docs/engineering-standards.md and docs/repository-structure.md</w:t>
            </w:r>
          </w:p>
        </w:tc>
        <w:tc>
          <w:tcPr>
            <w:tcW w:type="dxa" w:w="5083"/>
            <w:tcMar>
              <w:top w:w="100" w:type="dxa"/>
              <w:start w:w="120" w:type="dxa"/>
              <w:bottom w:w="100" w:type="dxa"/>
              <w:end w:w="120" w:type="dxa"/>
            </w:tcMar>
          </w:tcPr>
          <w:p>
            <w:r>
              <w:t>Record HSD-017 without claiming login is implemented.</w:t>
            </w:r>
          </w:p>
        </w:tc>
      </w:tr>
    </w:tbl>
    <w:tbl>
      <w:tblPr>
        <w:tblW w:type="auto" w:w="0"/>
        <w:jc w:val="center"/>
        <w:tblLayout w:type="autofit"/>
        <w:tblLook w:firstColumn="1" w:firstRow="1" w:lastColumn="0" w:lastRow="0" w:noHBand="0" w:noVBand="1" w:val="04A0"/>
      </w:tblPr>
      <w:tblGrid>
        <w:gridCol w:w="10166"/>
      </w:tblGrid>
      <w:tr>
        <w:tc>
          <w:tcPr>
            <w:tcW w:type="dxa" w:w="10166"/>
            <w:shd w:fill="FCE4D6"/>
            <w:tcMar>
              <w:top w:w="120" w:type="dxa"/>
              <w:start w:w="160" w:type="dxa"/>
              <w:bottom w:w="120" w:type="dxa"/>
              <w:end w:w="160" w:type="dxa"/>
            </w:tcMar>
          </w:tcPr>
          <w:p>
            <w:r>
              <w:rPr>
                <w:b/>
              </w:rPr>
              <w:t xml:space="preserve">Do not modify: </w:t>
            </w:r>
            <w:r>
              <w:t>Shared IPC contracts, channels, preload API, renderer source, Electron lifecycle registration, schema migration SQL, package dependencies, or application-service composition are outside this task.</w:t>
            </w:r>
          </w:p>
        </w:tc>
      </w:tr>
    </w:tbl>
    <w:p>
      <w:pPr>
        <w:spacing w:after="0"/>
      </w:pPr>
    </w:p>
    <w:p>
      <w:pPr>
        <w:pStyle w:val="Heading1"/>
      </w:pPr>
      <w:r>
        <w:t>11. Automated Test Requirements</w:t>
      </w:r>
    </w:p>
    <w:p>
      <w:pPr>
        <w:pStyle w:val="Heading2"/>
      </w:pPr>
      <w:r>
        <w:t>11.1 Unit tests</w:t>
      </w:r>
    </w:p>
    <w:p>
      <w:pPr>
        <w:pStyle w:val="ListBullet"/>
      </w:pPr>
      <w:r>
        <w:t>Valid strict mutation input is accepted without changing canonical values.</w:t>
      </w:r>
    </w:p>
    <w:p>
      <w:pPr>
        <w:pStyle w:val="ListBullet"/>
      </w:pPr>
      <w:r>
        <w:t>Extra keys, symbol properties, inherited properties, arrays, custom prototypes, accessors, proxies, malformed nested state, and invalid scalar types are rejected safely.</w:t>
      </w:r>
    </w:p>
    <w:p>
      <w:pPr>
        <w:pStyle w:val="ListBullet"/>
      </w:pPr>
      <w:r>
        <w:t>Invalid UUIDs, timestamps, counts, backward timestamps, backward last-login values, and non-future next locks are rejected.</w:t>
      </w:r>
    </w:p>
    <w:p>
      <w:pPr>
        <w:pStyle w:val="ListBullet"/>
      </w:pPr>
      <w:r>
        <w:t>Error messages and error objects do not contain IDs, timestamps, counts, SQL, paths, or raw input.</w:t>
      </w:r>
    </w:p>
    <w:p>
      <w:pPr>
        <w:pStyle w:val="ListBullet"/>
      </w:pPr>
      <w:r>
        <w:t>Public barrels do not expose low-level SQL helpers, credential decoders, or persistence internals.</w:t>
      </w:r>
    </w:p>
    <w:p>
      <w:pPr>
        <w:pStyle w:val="Heading2"/>
      </w:pPr>
      <w:r>
        <w:t>11.2 Integration tests</w:t>
      </w:r>
    </w:p>
    <w:p>
      <w:pPr>
        <w:pStyle w:val="ListBullet"/>
      </w:pPr>
      <w:r>
        <w:t>A successful-outcome next state resets failed count, clears lockedUntil, and sets lastLoginAt/updatedAt while preserving username, display name, role, active flag, must-change-password flag, createdAt, and credentials.</w:t>
      </w:r>
    </w:p>
    <w:p>
      <w:pPr>
        <w:pStyle w:val="ListBullet"/>
      </w:pPr>
      <w:r>
        <w:t>A failed-outcome next state persists the requested count and future lock while preserving lastLoginAt and all unrelated fields.</w:t>
      </w:r>
    </w:p>
    <w:p>
      <w:pPr>
        <w:pStyle w:val="ListBullet"/>
      </w:pPr>
      <w:r>
        <w:t>A failure with no lock persists lockedUntil = null.</w:t>
      </w:r>
    </w:p>
    <w:p>
      <w:pPr>
        <w:pStyle w:val="ListBullet"/>
      </w:pPr>
      <w:r>
        <w:t>A stale expected failed count is rejected as a state conflict and does not alter the row.</w:t>
      </w:r>
    </w:p>
    <w:p>
      <w:pPr>
        <w:pStyle w:val="ListBullet"/>
      </w:pPr>
      <w:r>
        <w:t>A stale expected lockedUntil, lastLoginAt, or updatedAt is independently rejected.</w:t>
      </w:r>
    </w:p>
    <w:p>
      <w:pPr>
        <w:pStyle w:val="ListBullet"/>
      </w:pPr>
      <w:r>
        <w:t>A missing user produces the not-found classification rather than a conflict.</w:t>
      </w:r>
    </w:p>
    <w:p>
      <w:pPr>
        <w:pStyle w:val="ListBullet"/>
      </w:pPr>
      <w:r>
        <w:t>The transaction capability is checked before other executable input access and before SQL.</w:t>
      </w:r>
    </w:p>
    <w:p>
      <w:pPr>
        <w:pStyle w:val="ListBullet"/>
      </w:pPr>
      <w:r>
        <w:t>A surrounding transaction rollback restores the original authentication state.</w:t>
      </w:r>
    </w:p>
    <w:p>
      <w:pPr>
        <w:pStyle w:val="ListBullet"/>
      </w:pPr>
      <w:r>
        <w:t>A successful surrounding transaction commit persists the state after database reopen.</w:t>
      </w:r>
    </w:p>
    <w:p>
      <w:pPr>
        <w:pStyle w:val="ListBullet"/>
      </w:pPr>
      <w:r>
        <w:t>Malformed persisted state fails closed through a controlled integrity error.</w:t>
      </w:r>
    </w:p>
    <w:p>
      <w:pPr>
        <w:pStyle w:val="ListBullet"/>
      </w:pPr>
      <w:r>
        <w:t>Credential columns are byte-for-byte/text-for-text unchanged after both success and failure mutations.</w:t>
      </w:r>
    </w:p>
    <w:p>
      <w:pPr>
        <w:pStyle w:val="ListBullet"/>
      </w:pPr>
      <w:r>
        <w:t>No SQLite, WAL, or SHM artifacts are left in the repository.</w:t>
      </w:r>
    </w:p>
    <w:p>
      <w:pPr>
        <w:pStyle w:val="Heading2"/>
      </w:pPr>
      <w:r>
        <w:t>11.3 Regression checks</w:t>
      </w:r>
    </w:p>
    <w:p>
      <w:pPr>
        <w:pStyle w:val="ListBullet"/>
      </w:pPr>
      <w:r>
        <w:t>Existing HSD-009 through HSD-016 tests remain green.</w:t>
      </w:r>
    </w:p>
    <w:p>
      <w:pPr>
        <w:pStyle w:val="ListBullet"/>
      </w:pPr>
      <w:r>
        <w:t>First-run setup behavior and public preload bridge remain unchanged.</w:t>
      </w:r>
    </w:p>
    <w:p>
      <w:pPr>
        <w:pStyle w:val="ListBullet"/>
      </w:pPr>
      <w:r>
        <w:t>No test asserts that login, sessions, or lockout policy are implemented.</w:t>
      </w:r>
    </w:p>
    <w:p>
      <w:pPr>
        <w:pStyle w:val="Heading1"/>
      </w:pPr>
      <w:r>
        <w:t>12. Documentation Requirements</w:t>
      </w:r>
    </w:p>
    <w:p>
      <w:pPr>
        <w:pStyle w:val="ListBullet"/>
      </w:pPr>
      <w:r>
        <w:t>State clearly that HSD-017 is a persistence boundary, not a completed authentication workflow.</w:t>
      </w:r>
    </w:p>
    <w:p>
      <w:pPr>
        <w:pStyle w:val="ListBullet"/>
      </w:pPr>
      <w:r>
        <w:t>Document the four authentication-state fields and which columns the mutation is permitted to change.</w:t>
      </w:r>
    </w:p>
    <w:p>
      <w:pPr>
        <w:pStyle w:val="ListBullet"/>
      </w:pPr>
      <w:r>
        <w:t>Document caller ownership of policy, password verification, auditing, IDs/timestamps, and the transaction.</w:t>
      </w:r>
    </w:p>
    <w:p>
      <w:pPr>
        <w:pStyle w:val="ListBullet"/>
      </w:pPr>
      <w:r>
        <w:t>Document compare-and-set behavior and the distinction between not found and stale state conflict.</w:t>
      </w:r>
    </w:p>
    <w:p>
      <w:pPr>
        <w:pStyle w:val="ListBullet"/>
      </w:pPr>
      <w:r>
        <w:t>Document that credential columns are neither returned nor rewritten.</w:t>
      </w:r>
    </w:p>
    <w:p>
      <w:pPr>
        <w:pStyle w:val="ListBullet"/>
      </w:pPr>
      <w:r>
        <w:t>Keep deferred-work lists accurate: login service, audit composition, IPC, renderer login, sessions, forced password change, and administration remain deferred.</w:t>
      </w:r>
    </w:p>
    <w:p>
      <w:pPr>
        <w:pStyle w:val="Heading1"/>
      </w:pPr>
      <w:r>
        <w:t>13. Acceptance Criteria</w:t>
      </w:r>
    </w:p>
    <w:p>
      <w:pPr>
        <w:pStyle w:val="ListNumber"/>
      </w:pPr>
      <w:r>
        <w:t>The implementation starts from the reviewed HSD-016 merge commit on feature/hsd-017-authentication-state-repository.</w:t>
      </w:r>
    </w:p>
    <w:p>
      <w:pPr>
        <w:pStyle w:val="ListNumber"/>
      </w:pPr>
      <w:r>
        <w:t>The local-user repository exposes one narrow transaction-scoped authentication-state mutation capability; no generic user patch method is added.</w:t>
      </w:r>
    </w:p>
    <w:p>
      <w:pPr>
        <w:pStyle w:val="ListNumber"/>
      </w:pPr>
      <w:r>
        <w:t>The mutation changes only failed_login_count, locked_until, last_login_at, and updated_at.</w:t>
      </w:r>
    </w:p>
    <w:p>
      <w:pPr>
        <w:pStyle w:val="ListNumber"/>
      </w:pPr>
      <w:r>
        <w:t>The write uses caller-owned HSD-008 transaction capability and performs compare-and-set stale-state detection.</w:t>
      </w:r>
    </w:p>
    <w:p>
      <w:pPr>
        <w:pStyle w:val="ListNumber"/>
      </w:pPr>
      <w:r>
        <w:t>Missing user and stale state are distinguishable through fixed controlled errors.</w:t>
      </w:r>
    </w:p>
    <w:p>
      <w:pPr>
        <w:pStyle w:val="ListNumber"/>
      </w:pPr>
      <w:r>
        <w:t>Password credential columns are not selected for output, modified, serialized, or logged.</w:t>
      </w:r>
    </w:p>
    <w:p>
      <w:pPr>
        <w:pStyle w:val="ListNumber"/>
      </w:pPr>
      <w:r>
        <w:t>Validation rejects malformed and hostile unknown input without leaking values.</w:t>
      </w:r>
    </w:p>
    <w:p>
      <w:pPr>
        <w:pStyle w:val="ListNumber"/>
      </w:pPr>
      <w:r>
        <w:t>Unit and integration tests cover successful state, failed state, null lock, stale fields, missing user, rollback, reopen persistence, credential preservation, and data-integrity failure.</w:t>
      </w:r>
    </w:p>
    <w:p>
      <w:pPr>
        <w:pStyle w:val="ListNumber"/>
      </w:pPr>
      <w:r>
        <w:t>No schema, IPC, preload, renderer, session, password-change, user-administration, or clinical behavior is added.</w:t>
      </w:r>
    </w:p>
    <w:p>
      <w:pPr>
        <w:pStyle w:val="ListNumber"/>
      </w:pPr>
      <w:r>
        <w:t>Documentation accurately describes HSD-017 and deferred work.</w:t>
      </w:r>
    </w:p>
    <w:p>
      <w:pPr>
        <w:pStyle w:val="ListNumber"/>
      </w:pPr>
      <w:r>
        <w:t>pnpm format:check, pnpm lint, pnpm typecheck, pnpm test, pnpm verify, and pnpm build all pass.</w:t>
      </w:r>
    </w:p>
    <w:p>
      <w:pPr>
        <w:pStyle w:val="ListNumber"/>
      </w:pPr>
      <w:r>
        <w:t>The working tree contains only HSD-017 changes before the local commit is created.</w:t>
      </w:r>
    </w:p>
    <w:p>
      <w:pPr>
        <w:pStyle w:val="Heading1"/>
      </w:pPr>
      <w:r>
        <w:t>14. Codex Execution Workflow</w:t>
      </w:r>
    </w:p>
    <w:p>
      <w:pPr>
        <w:pStyle w:val="ListNumber"/>
      </w:pPr>
      <w:r>
        <w:t>Read the repository instructions, current engineering standards, repository structure, local-user repository documentation, password credential documentation, HSD-008 transaction boundary, HSD-016 implementation, and relevant tests before editing.</w:t>
      </w:r>
    </w:p>
    <w:p>
      <w:pPr>
        <w:pStyle w:val="ListNumber"/>
      </w:pPr>
      <w:r>
        <w:t>Confirm the working tree is clean and main contains the reviewed HSD-016 merge commit. Record the exact baseline SHA in the final report.</w:t>
      </w:r>
    </w:p>
    <w:p>
      <w:pPr>
        <w:pStyle w:val="ListNumber"/>
      </w:pPr>
      <w:r>
        <w:t>Create and switch to feature/hsd-017-authentication-state-repository. Do not reuse the HSD-016 branch.</w:t>
      </w:r>
    </w:p>
    <w:p>
      <w:pPr>
        <w:pStyle w:val="ListNumber"/>
      </w:pPr>
      <w:r>
        <w:t>Inspect existing repository validation/error patterns and propose the smallest compatible file plan internally before editing.</w:t>
      </w:r>
    </w:p>
    <w:p>
      <w:pPr>
        <w:pStyle w:val="ListNumber"/>
      </w:pPr>
      <w:r>
        <w:t>Implement only the HSD-017 repository, validation, errors, tests, and documentation described here.</w:t>
      </w:r>
    </w:p>
    <w:p>
      <w:pPr>
        <w:pStyle w:val="ListNumber"/>
      </w:pPr>
      <w:r>
        <w:t>Run focused unit and integration tests while developing.</w:t>
      </w:r>
    </w:p>
    <w:p>
      <w:pPr>
        <w:pStyle w:val="ListNumber"/>
      </w:pPr>
      <w:r>
        <w:t>Run pnpm format, then pnpm format:check, pnpm lint, pnpm typecheck, pnpm test, pnpm verify, and pnpm build.</w:t>
      </w:r>
    </w:p>
    <w:p>
      <w:pPr>
        <w:pStyle w:val="ListNumber"/>
      </w:pPr>
      <w:r>
        <w:t>Review git diff and git status. Remove unrelated or generated files except the approved HSD-017 task DOCX under doc/.</w:t>
      </w:r>
    </w:p>
    <w:p>
      <w:pPr>
        <w:pStyle w:val="ListNumber"/>
      </w:pPr>
      <w:r>
        <w:t>Create one local primary commit with message: feat: add transactional authentication state repository.</w:t>
      </w:r>
    </w:p>
    <w:p>
      <w:pPr>
        <w:pStyle w:val="ListNumber"/>
      </w:pPr>
      <w:r>
        <w:t>Do not push, merge, open a pull request, rebase unrelated work, or begin HSD-018.</w:t>
      </w:r>
    </w:p>
    <w:p>
      <w:pPr>
        <w:pStyle w:val="Heading1"/>
      </w:pPr>
      <w:r>
        <w:t>15. Required Codex Final Report</w:t>
      </w:r>
    </w:p>
    <w:p>
      <w:r>
        <w:t>Codex must finish with a concise evidence report containing:</w:t>
      </w:r>
    </w:p>
    <w:p>
      <w:pPr>
        <w:pStyle w:val="ListBullet"/>
      </w:pPr>
      <w:r>
        <w:t>Baseline SHA and branch name.</w:t>
      </w:r>
    </w:p>
    <w:p>
      <w:pPr>
        <w:pStyle w:val="ListBullet"/>
      </w:pPr>
      <w:r>
        <w:t>Commit SHA and exact commit message.</w:t>
      </w:r>
    </w:p>
    <w:p>
      <w:pPr>
        <w:pStyle w:val="ListBullet"/>
      </w:pPr>
      <w:r>
        <w:t>Files added and modified, grouped by repository code, validation/errors, tests, and documentation.</w:t>
      </w:r>
    </w:p>
    <w:p>
      <w:pPr>
        <w:pStyle w:val="ListBullet"/>
      </w:pPr>
      <w:r>
        <w:t>Exact repository method and public types added.</w:t>
      </w:r>
    </w:p>
    <w:p>
      <w:pPr>
        <w:pStyle w:val="ListBullet"/>
      </w:pPr>
      <w:r>
        <w:t>How compare-and-set and null-safe expected-state matching work.</w:t>
      </w:r>
    </w:p>
    <w:p>
      <w:pPr>
        <w:pStyle w:val="ListBullet"/>
      </w:pPr>
      <w:r>
        <w:t>How missing-user versus stale-state conflict is classified.</w:t>
      </w:r>
    </w:p>
    <w:p>
      <w:pPr>
        <w:pStyle w:val="ListBullet"/>
      </w:pPr>
      <w:r>
        <w:t>Evidence that credential columns remain unchanged and unexposed.</w:t>
      </w:r>
    </w:p>
    <w:p>
      <w:pPr>
        <w:pStyle w:val="ListBullet"/>
      </w:pPr>
      <w:r>
        <w:t>All validation commands and results.</w:t>
      </w:r>
    </w:p>
    <w:p>
      <w:pPr>
        <w:pStyle w:val="ListBullet"/>
      </w:pPr>
      <w:r>
        <w:t>git status --short output after commit.</w:t>
      </w:r>
    </w:p>
    <w:p>
      <w:pPr>
        <w:pStyle w:val="ListBullet"/>
      </w:pPr>
      <w:r>
        <w:t>Any residual risk or intentionally deferred work. Do not claim login is complete.</w:t>
      </w:r>
    </w:p>
    <w:p>
      <w:pPr>
        <w:pStyle w:val="Heading1"/>
      </w:pPr>
      <w:r>
        <w:t>16. Paste-Ready Codex Prompt</w:t>
      </w:r>
    </w:p>
    <w:p>
      <w:pPr>
        <w:pStyle w:val="CodeBlock"/>
      </w:pPr>
      <w:r>
        <w:t>Implement HSD-017 only: Transactional Local Authentication State Repository and Lockout Mutation Boundary.</w:t>
      </w:r>
      <w:r>
        <w:br/>
      </w:r>
      <w:r/>
      <w:r>
        <w:br/>
      </w:r>
      <w:r>
        <w:t>Repository: E:\health-app\health-screening-desktop</w:t>
      </w:r>
      <w:r>
        <w:br/>
      </w:r>
      <w:r>
        <w:t>Required predecessor: reviewed and merged HSD-016 first-run setup renderer flow.</w:t>
      </w:r>
      <w:r>
        <w:br/>
      </w:r>
      <w:r>
        <w:t>Branch: feature/hsd-017-authentication-state-repository</w:t>
      </w:r>
      <w:r>
        <w:br/>
      </w:r>
      <w:r>
        <w:t>Primary local commit: feat: add transactional authentication state repository</w:t>
      </w:r>
      <w:r>
        <w:br/>
      </w:r>
      <w:r/>
      <w:r>
        <w:br/>
      </w:r>
      <w:r>
        <w:t>Read the repository instructions and current HSD-008 through HSD-016 code/docs/tests first. Confirm the working tree is clean and record the exact HSD-016 merge baseline SHA.</w:t>
      </w:r>
      <w:r>
        <w:br/>
      </w:r>
      <w:r/>
      <w:r>
        <w:br/>
      </w:r>
      <w:r>
        <w:t>Extend the existing main-process local-user repository with one narrow transaction-scoped compare-and-set operation for the authentication state fields only: failedLoginCount, lockedUntil, lastLoginAt, and updatedAt. The caller supplies a strict expected snapshot and strict next snapshot. Require the authentic HSD-008 DatabaseTransactionConnection before other executable input processing. Update only when every expected field still matches, including null-safe timestamp matching. Return a credential-free LocalUserRecord. Distinguish missing user from stale authentication-state conflict through fixed controlled errors. Never select for output, modify, serialize, or log password_hash or password_salt.</w:t>
      </w:r>
      <w:r>
        <w:br/>
      </w:r>
      <w:r/>
      <w:r>
        <w:br/>
      </w:r>
      <w:r>
        <w:t>Add strict unknown-input validation, temporal/state invariants, safe repository errors, unit tests, temporary SQLite integration tests, and documentation. Test successful and failed next states, no-lock failure, stale values for every expected field, missing user, transaction-first behavior, rollback, commit/reopen persistence, credential preservation, malformed persisted data, hostile inputs, and error containment.</w:t>
      </w:r>
      <w:r>
        <w:br/>
      </w:r>
      <w:r/>
      <w:r>
        <w:br/>
      </w:r>
      <w:r>
        <w:t>Do not implement password verification, login orchestration, lockout thresholds/durations, audit events, sessions, logout, forced password change, authorization, user administration, IPC, preload, renderer UI, migrations, settings, sync, backup/restore, printing, protocol, or clinical workflows. Do not change dependencies.</w:t>
      </w:r>
      <w:r>
        <w:br/>
      </w:r>
      <w:r/>
      <w:r>
        <w:br/>
      </w:r>
      <w:r>
        <w:t>Run pnpm format, pnpm format:check, pnpm lint, pnpm typecheck, pnpm test, pnpm verify, and pnpm build. Review git diff/status, create the one local primary commit, and do not push, merge, open a PR, or start HSD-018.</w:t>
      </w:r>
      <w:r>
        <w:br/>
      </w:r>
      <w:r/>
      <w:r>
        <w:br/>
      </w:r>
      <w:r>
        <w:t>Finish with the required evidence report: baseline SHA, branch, commit SHA/message, changed files, exact contract, CAS behavior, error classification, credential-preservation evidence, command results, git status, residual risks, and deferred work.</w:t>
      </w:r>
    </w:p>
    <w:tbl>
      <w:tblPr>
        <w:tblW w:type="auto" w:w="0"/>
        <w:jc w:val="center"/>
        <w:tblLayout w:type="autofit"/>
        <w:tblLook w:firstColumn="1" w:firstRow="1" w:lastColumn="0" w:lastRow="0" w:noHBand="0" w:noVBand="1" w:val="04A0"/>
      </w:tblPr>
      <w:tblGrid>
        <w:gridCol w:w="10166"/>
      </w:tblGrid>
      <w:tr>
        <w:tc>
          <w:tcPr>
            <w:tcW w:type="dxa" w:w="10166"/>
            <w:shd w:fill="E2F0D9"/>
            <w:tcMar>
              <w:top w:w="120" w:type="dxa"/>
              <w:start w:w="160" w:type="dxa"/>
              <w:bottom w:w="120" w:type="dxa"/>
              <w:end w:w="160" w:type="dxa"/>
            </w:tcMar>
          </w:tcPr>
          <w:p>
            <w:r>
              <w:rPr>
                <w:b/>
              </w:rPr>
              <w:t xml:space="preserve">Repository copy: </w:t>
            </w:r>
            <w:r>
              <w:t>Place the DOCX file in doc/ on the HSD-017 branch as task documentation. The PDF is a review/reference copy and does not need to be committed unless the repository documentation policy is changed.</w:t>
            </w:r>
          </w:p>
        </w:tc>
      </w:tr>
    </w:tbl>
    <w:p>
      <w:pPr>
        <w:spacing w:after="0"/>
      </w:pPr>
    </w:p>
    <w:p>
      <w:pPr>
        <w:pStyle w:val="Heading1"/>
      </w:pPr>
      <w:r>
        <w:t>17. Task Boundary Summary</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D9EAF7"/>
          </w:tcPr>
          <w:p>
            <w:r>
              <w:rPr>
                <w:b/>
              </w:rPr>
              <w:t>HSD-017 delivers</w:t>
            </w:r>
          </w:p>
        </w:tc>
        <w:tc>
          <w:tcPr>
            <w:tcW w:type="dxa" w:w="5083"/>
            <w:tcMar>
              <w:top w:w="100" w:type="dxa"/>
              <w:start w:w="120" w:type="dxa"/>
              <w:bottom w:w="100" w:type="dxa"/>
              <w:end w:w="120" w:type="dxa"/>
            </w:tcMar>
          </w:tcPr>
          <w:p>
            <w:r>
              <w:t>Safe, atomic persistence of expected-to-next local authentication state.</w:t>
            </w:r>
          </w:p>
        </w:tc>
      </w:tr>
      <w:tr>
        <w:tc>
          <w:tcPr>
            <w:tcW w:type="dxa" w:w="5083"/>
            <w:tcMar>
              <w:top w:w="100" w:type="dxa"/>
              <w:start w:w="120" w:type="dxa"/>
              <w:bottom w:w="100" w:type="dxa"/>
              <w:end w:w="120" w:type="dxa"/>
            </w:tcMar>
            <w:shd w:fill="D9EAF7"/>
          </w:tcPr>
          <w:p>
            <w:r>
              <w:rPr>
                <w:b/>
              </w:rPr>
              <w:t>HSD-017 does not deliver</w:t>
            </w:r>
          </w:p>
        </w:tc>
        <w:tc>
          <w:tcPr>
            <w:tcW w:type="dxa" w:w="5083"/>
            <w:tcMar>
              <w:top w:w="100" w:type="dxa"/>
              <w:start w:w="120" w:type="dxa"/>
              <w:bottom w:w="100" w:type="dxa"/>
              <w:end w:w="120" w:type="dxa"/>
            </w:tcMar>
          </w:tcPr>
          <w:p>
            <w:r>
              <w:t>A working login, lockout policy, session, IPC method, or login screen.</w:t>
            </w:r>
          </w:p>
        </w:tc>
      </w:tr>
      <w:tr>
        <w:tc>
          <w:tcPr>
            <w:tcW w:type="dxa" w:w="5083"/>
            <w:tcMar>
              <w:top w:w="100" w:type="dxa"/>
              <w:start w:w="120" w:type="dxa"/>
              <w:bottom w:w="100" w:type="dxa"/>
              <w:end w:w="120" w:type="dxa"/>
            </w:tcMar>
            <w:shd w:fill="D9EAF7"/>
          </w:tcPr>
          <w:p>
            <w:r>
              <w:rPr>
                <w:b/>
              </w:rPr>
              <w:t>Likely next task</w:t>
            </w:r>
          </w:p>
        </w:tc>
        <w:tc>
          <w:tcPr>
            <w:tcW w:type="dxa" w:w="5083"/>
            <w:tcMar>
              <w:top w:w="100" w:type="dxa"/>
              <w:start w:w="120" w:type="dxa"/>
              <w:bottom w:w="100" w:type="dxa"/>
              <w:end w:w="120" w:type="dxa"/>
            </w:tcMar>
          </w:tcPr>
          <w:p>
            <w:r>
              <w:t>HSD-018 - Local login authentication application service and audited policy orchestration.</w:t>
            </w:r>
          </w:p>
        </w:tc>
      </w:tr>
      <w:tr>
        <w:tc>
          <w:tcPr>
            <w:tcW w:type="dxa" w:w="5083"/>
            <w:tcMar>
              <w:top w:w="100" w:type="dxa"/>
              <w:start w:w="120" w:type="dxa"/>
              <w:bottom w:w="100" w:type="dxa"/>
              <w:end w:w="120" w:type="dxa"/>
            </w:tcMar>
            <w:shd w:fill="D9EAF7"/>
          </w:tcPr>
          <w:p>
            <w:r>
              <w:rPr>
                <w:b/>
              </w:rPr>
              <w:t>Review gate</w:t>
            </w:r>
          </w:p>
        </w:tc>
        <w:tc>
          <w:tcPr>
            <w:tcW w:type="dxa" w:w="5083"/>
            <w:tcMar>
              <w:top w:w="100" w:type="dxa"/>
              <w:start w:w="120" w:type="dxa"/>
              <w:bottom w:w="100" w:type="dxa"/>
              <w:end w:w="120" w:type="dxa"/>
            </w:tcMar>
          </w:tcPr>
          <w:p>
            <w:r>
              <w:t>Push HSD-017 only after local validation, then review the branch before starting HSD-018.</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HSD-017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B4C6E7"/>
      </w:pBdr>
    </w:pPr>
    <w:r>
      <w:rPr>
        <w:rFonts w:ascii="Aptos" w:hAnsi="Aptos"/>
        <w:b/>
        <w:color w:val="595959"/>
        <w:sz w:val="16"/>
      </w:rPr>
      <w:t>HEALTH SCREENING OFFLINE DESKTOP  |  CODEX IMPLEMENTATION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shd w:fill="F3F5F7"/>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HSD-017 Transactional Local Authentication State Repository and Lockout Mutation Boundary</dc:title>
  <dc:subject>Codex implementation task for Health Screening Offline Desktop</dc:subject>
  <dc:creator>OpenAI</dc:creator>
  <cp:keywords>HSD-017, Electron, SQLite, authentication state, lockout, repository, Codex</cp:keywords>
  <dc:description>generated by python-docx</dc:description>
  <cp:lastModifiedBy/>
  <cp:revision>1</cp:revision>
  <dcterms:created xsi:type="dcterms:W3CDTF">2013-12-23T23:15:00Z</dcterms:created>
  <dcterms:modified xsi:type="dcterms:W3CDTF">2013-12-23T23:15:00Z</dcterms:modified>
  <cp:category/>
</cp:coreProperties>
</file>