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78"/>
          <w:sz w:val="36"/>
        </w:rPr>
        <w:t>HSD-008</w:t>
      </w:r>
    </w:p>
    <w:p>
      <w:pPr>
        <w:pStyle w:val="Title"/>
        <w:jc w:val="center"/>
      </w:pPr>
      <w:r>
        <w:rPr>
          <w:color w:val="173F46"/>
        </w:rPr>
        <w:t>Transactional Data Foundation:</w:t>
        <w:br/>
        <w:t>UUID Identifiers, UTC Time, and SQLite Write Boundary</w:t>
      </w:r>
    </w:p>
    <w:p>
      <w:pPr>
        <w:pStyle w:val="Subtitle"/>
        <w:jc w:val="center"/>
      </w:pPr>
      <w:r>
        <w:t>Bounded Codex Implementation Task</w:t>
      </w:r>
    </w:p>
    <w:p>
      <w:pPr>
        <w:jc w:val="center"/>
      </w:pPr>
      <w:r>
        <w:rPr>
          <w:b/>
          <w:color w:val="5B6573"/>
        </w:rPr>
        <w:t>Health Screening Offline Desktop Application</w:t>
      </w:r>
    </w:p>
    <w:p>
      <w:pPr>
        <w:jc w:val="center"/>
      </w:pPr>
      <w:r>
        <w:rPr>
          <w:i/>
          <w:color w:val="5B6573"/>
        </w:rPr>
        <w:t>Implementation must preserve the approved HSD-001 through HSD-007 baseline.</w:t>
      </w:r>
    </w:p>
    <w:p/>
    <w:p/>
    <w:p/>
    <w:tbl>
      <w:tblPr>
        <w:tblStyle w:val="LightShading-Accent1"/>
        <w:tblW w:type="auto" w:w="0"/>
        <w:jc w:val="center"/>
        <w:tblLook w:firstColumn="1" w:firstRow="1" w:lastColumn="0" w:lastRow="0" w:noHBand="0" w:noVBand="1" w:val="04A0"/>
      </w:tblPr>
      <w:tblGrid>
        <w:gridCol w:w="5040"/>
        <w:gridCol w:w="5040"/>
      </w:tblGrid>
      <w:tr>
        <w:trPr>
          <w:tblHeader w:val="true"/>
          <w:cantSplit w:val="true"/>
        </w:trPr>
        <w:tc>
          <w:tcPr>
            <w:tcW w:type="dxa" w:w="2592"/>
            <w:shd w:fill="1F6F78"/>
            <w:vAlign w:val="center"/>
            <w:tcMar>
              <w:top w:w="80" w:type="dxa"/>
              <w:start w:w="100" w:type="dxa"/>
              <w:bottom w:w="80" w:type="dxa"/>
              <w:end w:w="100" w:type="dxa"/>
            </w:tcMar>
          </w:tcPr>
          <w:p>
            <w:r>
              <w:rPr>
                <w:b/>
                <w:color w:val="FFFFFF"/>
              </w:rPr>
              <w:t>Field</w:t>
            </w:r>
          </w:p>
        </w:tc>
        <w:tc>
          <w:tcPr>
            <w:tcW w:type="dxa" w:w="8352"/>
            <w:shd w:fill="1F6F78"/>
            <w:vAlign w:val="center"/>
            <w:tcMar>
              <w:top w:w="80" w:type="dxa"/>
              <w:start w:w="100" w:type="dxa"/>
              <w:bottom w:w="80" w:type="dxa"/>
              <w:end w:w="100" w:type="dxa"/>
            </w:tcMar>
          </w:tcPr>
          <w:p>
            <w:r>
              <w:rPr>
                <w:b/>
                <w:color w:val="FFFFFF"/>
              </w:rPr>
              <w:t>Required value</w:t>
            </w:r>
          </w:p>
        </w:tc>
      </w:tr>
      <w:tr>
        <w:trPr>
          <w:cantSplit w:val="true"/>
        </w:trPr>
        <w:tc>
          <w:tcPr>
            <w:tcW w:type="dxa" w:w="2592"/>
            <w:vAlign w:val="top"/>
            <w:tcMar>
              <w:top w:w="80" w:type="dxa"/>
              <w:start w:w="100" w:type="dxa"/>
              <w:bottom w:w="80" w:type="dxa"/>
              <w:end w:w="100" w:type="dxa"/>
            </w:tcMar>
          </w:tcPr>
          <w:p>
            <w:r>
              <w:t>Task ID</w:t>
            </w:r>
          </w:p>
        </w:tc>
        <w:tc>
          <w:tcPr>
            <w:tcW w:type="dxa" w:w="8352"/>
            <w:vAlign w:val="top"/>
            <w:tcMar>
              <w:top w:w="80" w:type="dxa"/>
              <w:start w:w="100" w:type="dxa"/>
              <w:bottom w:w="80" w:type="dxa"/>
              <w:end w:w="100" w:type="dxa"/>
            </w:tcMar>
          </w:tcPr>
          <w:p>
            <w:r>
              <w:t>HSD-008</w:t>
            </w:r>
          </w:p>
        </w:tc>
      </w:tr>
      <w:tr>
        <w:trPr>
          <w:cantSplit w:val="true"/>
        </w:trPr>
        <w:tc>
          <w:tcPr>
            <w:tcW w:type="dxa" w:w="2592"/>
            <w:vAlign w:val="top"/>
            <w:tcMar>
              <w:top w:w="80" w:type="dxa"/>
              <w:start w:w="100" w:type="dxa"/>
              <w:bottom w:w="80" w:type="dxa"/>
              <w:end w:w="100" w:type="dxa"/>
            </w:tcMar>
          </w:tcPr>
          <w:p>
            <w:r>
              <w:t>Status</w:t>
            </w:r>
          </w:p>
        </w:tc>
        <w:tc>
          <w:tcPr>
            <w:tcW w:type="dxa" w:w="8352"/>
            <w:vAlign w:val="top"/>
            <w:tcMar>
              <w:top w:w="80" w:type="dxa"/>
              <w:start w:w="100" w:type="dxa"/>
              <w:bottom w:w="80" w:type="dxa"/>
              <w:end w:w="100" w:type="dxa"/>
            </w:tcMar>
          </w:tcPr>
          <w:p>
            <w:r>
              <w:t>Ready for implementation after HSD-007 is merged into main</w:t>
            </w:r>
          </w:p>
        </w:tc>
      </w:tr>
      <w:tr>
        <w:trPr>
          <w:cantSplit w:val="true"/>
        </w:trPr>
        <w:tc>
          <w:tcPr>
            <w:tcW w:type="dxa" w:w="2592"/>
            <w:vAlign w:val="top"/>
            <w:tcMar>
              <w:top w:w="80" w:type="dxa"/>
              <w:start w:w="100" w:type="dxa"/>
              <w:bottom w:w="80" w:type="dxa"/>
              <w:end w:w="100" w:type="dxa"/>
            </w:tcMar>
          </w:tcPr>
          <w:p>
            <w:r>
              <w:t>Approved baseline</w:t>
            </w:r>
          </w:p>
        </w:tc>
        <w:tc>
          <w:tcPr>
            <w:tcW w:type="dxa" w:w="8352"/>
            <w:vAlign w:val="top"/>
            <w:tcMar>
              <w:top w:w="80" w:type="dxa"/>
              <w:start w:w="100" w:type="dxa"/>
              <w:bottom w:w="80" w:type="dxa"/>
              <w:end w:w="100" w:type="dxa"/>
            </w:tcMar>
          </w:tcPr>
          <w:p>
            <w:r>
              <w:t>main at merge commit a94aa54 - HSD-007 numbered SQLite migrations</w:t>
            </w:r>
          </w:p>
        </w:tc>
      </w:tr>
      <w:tr>
        <w:trPr>
          <w:cantSplit w:val="true"/>
        </w:trPr>
        <w:tc>
          <w:tcPr>
            <w:tcW w:type="dxa" w:w="2592"/>
            <w:vAlign w:val="top"/>
            <w:tcMar>
              <w:top w:w="80" w:type="dxa"/>
              <w:start w:w="100" w:type="dxa"/>
              <w:bottom w:w="80" w:type="dxa"/>
              <w:end w:w="100" w:type="dxa"/>
            </w:tcMar>
          </w:tcPr>
          <w:p>
            <w:r>
              <w:t>Branch</w:t>
            </w:r>
          </w:p>
        </w:tc>
        <w:tc>
          <w:tcPr>
            <w:tcW w:type="dxa" w:w="8352"/>
            <w:vAlign w:val="top"/>
            <w:tcMar>
              <w:top w:w="80" w:type="dxa"/>
              <w:start w:w="100" w:type="dxa"/>
              <w:bottom w:w="80" w:type="dxa"/>
              <w:end w:w="100" w:type="dxa"/>
            </w:tcMar>
          </w:tcPr>
          <w:p>
            <w:r>
              <w:t>feature/hsd-008-transaction-foundation</w:t>
            </w:r>
          </w:p>
        </w:tc>
      </w:tr>
      <w:tr>
        <w:trPr>
          <w:cantSplit w:val="true"/>
        </w:trPr>
        <w:tc>
          <w:tcPr>
            <w:tcW w:type="dxa" w:w="2592"/>
            <w:vAlign w:val="top"/>
            <w:tcMar>
              <w:top w:w="80" w:type="dxa"/>
              <w:start w:w="100" w:type="dxa"/>
              <w:bottom w:w="80" w:type="dxa"/>
              <w:end w:w="100" w:type="dxa"/>
            </w:tcMar>
          </w:tcPr>
          <w:p>
            <w:r>
              <w:t>Primary commit</w:t>
            </w:r>
          </w:p>
        </w:tc>
        <w:tc>
          <w:tcPr>
            <w:tcW w:type="dxa" w:w="8352"/>
            <w:vAlign w:val="top"/>
            <w:tcMar>
              <w:top w:w="80" w:type="dxa"/>
              <w:start w:w="100" w:type="dxa"/>
              <w:bottom w:w="80" w:type="dxa"/>
              <w:end w:w="100" w:type="dxa"/>
            </w:tcMar>
          </w:tcPr>
          <w:p>
            <w:r>
              <w:t>feat: establish transactional data foundation</w:t>
            </w:r>
          </w:p>
        </w:tc>
      </w:tr>
      <w:tr>
        <w:trPr>
          <w:cantSplit w:val="true"/>
        </w:trPr>
        <w:tc>
          <w:tcPr>
            <w:tcW w:type="dxa" w:w="2592"/>
            <w:vAlign w:val="top"/>
            <w:tcMar>
              <w:top w:w="80" w:type="dxa"/>
              <w:start w:w="100" w:type="dxa"/>
              <w:bottom w:w="80" w:type="dxa"/>
              <w:end w:w="100" w:type="dxa"/>
            </w:tcMar>
          </w:tcPr>
          <w:p>
            <w:r>
              <w:t>Core deliverable</w:t>
            </w:r>
          </w:p>
        </w:tc>
        <w:tc>
          <w:tcPr>
            <w:tcW w:type="dxa" w:w="8352"/>
            <w:vAlign w:val="top"/>
            <w:tcMar>
              <w:top w:w="80" w:type="dxa"/>
              <w:start w:w="100" w:type="dxa"/>
              <w:bottom w:w="80" w:type="dxa"/>
              <w:end w:w="100" w:type="dxa"/>
            </w:tcMar>
          </w:tcPr>
          <w:p>
            <w:r>
              <w:t>Main-process-only UUID/UTC providers and a synchronous, safe SQLite transaction executor</w:t>
            </w:r>
          </w:p>
        </w:tc>
      </w:tr>
      <w:tr>
        <w:trPr>
          <w:cantSplit w:val="true"/>
        </w:trPr>
        <w:tc>
          <w:tcPr>
            <w:tcW w:type="dxa" w:w="2592"/>
            <w:vAlign w:val="top"/>
            <w:tcMar>
              <w:top w:w="80" w:type="dxa"/>
              <w:start w:w="100" w:type="dxa"/>
              <w:bottom w:w="80" w:type="dxa"/>
              <w:end w:w="100" w:type="dxa"/>
            </w:tcMar>
          </w:tcPr>
          <w:p>
            <w:r>
              <w:t>Schema impact</w:t>
            </w:r>
          </w:p>
        </w:tc>
        <w:tc>
          <w:tcPr>
            <w:tcW w:type="dxa" w:w="8352"/>
            <w:vAlign w:val="top"/>
            <w:tcMar>
              <w:top w:w="80" w:type="dxa"/>
              <w:start w:w="100" w:type="dxa"/>
              <w:bottom w:w="80" w:type="dxa"/>
              <w:end w:w="100" w:type="dxa"/>
            </w:tcMar>
          </w:tcPr>
          <w:p>
            <w:r>
              <w:t>None - no migration, table, index, trigger, seed, or production row</w:t>
            </w:r>
          </w:p>
        </w:tc>
      </w:tr>
      <w:tr>
        <w:trPr>
          <w:cantSplit w:val="true"/>
        </w:trPr>
        <w:tc>
          <w:tcPr>
            <w:tcW w:type="dxa" w:w="2592"/>
            <w:vAlign w:val="top"/>
            <w:tcMar>
              <w:top w:w="80" w:type="dxa"/>
              <w:start w:w="100" w:type="dxa"/>
              <w:bottom w:w="80" w:type="dxa"/>
              <w:end w:w="100" w:type="dxa"/>
            </w:tcMar>
          </w:tcPr>
          <w:p>
            <w:r>
              <w:t>IPC/UI impact</w:t>
            </w:r>
          </w:p>
        </w:tc>
        <w:tc>
          <w:tcPr>
            <w:tcW w:type="dxa" w:w="8352"/>
            <w:vAlign w:val="top"/>
            <w:tcMar>
              <w:top w:w="80" w:type="dxa"/>
              <w:start w:w="100" w:type="dxa"/>
              <w:bottom w:w="80" w:type="dxa"/>
              <w:end w:w="100" w:type="dxa"/>
            </w:tcMar>
          </w:tcPr>
          <w:p>
            <w:r>
              <w:t>None - no channel, preload, renderer, route, form, or visible workflow change</w:t>
            </w:r>
          </w:p>
        </w:tc>
      </w:tr>
      <w:tr>
        <w:trPr>
          <w:cantSplit w:val="true"/>
        </w:trPr>
        <w:tc>
          <w:tcPr>
            <w:tcW w:type="dxa" w:w="2592"/>
            <w:vAlign w:val="top"/>
            <w:tcMar>
              <w:top w:w="80" w:type="dxa"/>
              <w:start w:w="100" w:type="dxa"/>
              <w:bottom w:w="80" w:type="dxa"/>
              <w:end w:w="100" w:type="dxa"/>
            </w:tcMar>
          </w:tcPr>
          <w:p>
            <w:r>
              <w:t>Next-task gate</w:t>
            </w:r>
          </w:p>
        </w:tc>
        <w:tc>
          <w:tcPr>
            <w:tcW w:type="dxa" w:w="8352"/>
            <w:vAlign w:val="top"/>
            <w:tcMar>
              <w:top w:w="80" w:type="dxa"/>
              <w:start w:w="100" w:type="dxa"/>
              <w:bottom w:w="80" w:type="dxa"/>
              <w:end w:w="100" w:type="dxa"/>
            </w:tcMar>
          </w:tcPr>
          <w:p>
            <w:r>
              <w:t>Do not begin HSD-009 until HSD-008 is reviewed, corrected if needed, tested, and merged</w:t>
            </w:r>
          </w:p>
        </w:tc>
      </w:tr>
    </w:tbl>
    <w:p/>
    <w:tbl>
      <w:tblPr>
        <w:tblW w:type="auto" w:w="0"/>
        <w:jc w:val="center"/>
        <w:tblLook w:firstColumn="1" w:firstRow="1" w:lastColumn="0" w:lastRow="0" w:noHBand="0" w:noVBand="1" w:val="04A0"/>
      </w:tblPr>
      <w:tblGrid>
        <w:gridCol w:w="10080"/>
      </w:tblGrid>
      <w:tr>
        <w:tc>
          <w:tcPr>
            <w:tcW w:type="dxa" w:w="10080"/>
            <w:shd w:fill="FFF4CE"/>
            <w:tcMar>
              <w:top w:w="150" w:type="dxa"/>
              <w:start w:w="180" w:type="dxa"/>
              <w:bottom w:w="150" w:type="dxa"/>
              <w:end w:w="180" w:type="dxa"/>
            </w:tcMar>
          </w:tcPr>
          <w:p>
            <w:r>
              <w:rPr>
                <w:b/>
                <w:color w:val="173F46"/>
              </w:rPr>
              <w:t>Scope boundary: HSD-008 creates the reusable write foundation only. It must not implement first-run setup, installation creation, user or location repositories, authentication, audit/outbox business writes, patient workflows, or any renderer-facing capability.</w:t>
            </w:r>
          </w:p>
        </w:tc>
      </w:tr>
    </w:tbl>
    <w:p/>
    <w:p>
      <w:pPr>
        <w:pStyle w:val="Heading1"/>
        <w:keepNext/>
        <w:pageBreakBefore/>
      </w:pPr>
      <w:r>
        <w:t>1. Task Brief</w:t>
      </w:r>
    </w:p>
    <w:p>
      <w:r>
        <w:t>HSD-008 establishes the trusted primitives that every later local write will rely on: client-generated entity identifiers, canonical UTC timestamps, and one explicit synchronous SQLite transaction boundary. The task creates no operational records and changes no user-visible behavior. Its purpose is to prevent future repositories and services from inventing inconsistent UUID, time, transaction, rollback, or error-handling patterns.</w:t>
      </w:r>
    </w:p>
    <w:p>
      <w:r>
        <w:t>The transaction executor must work only in the Electron main process, bind to the already migrated HSD-007 better-sqlite3 connection, reject nested or asynchronous work, guarantee commit-or-rollback behavior, and preserve only sanitized exception-type context. The resulting API becomes the approved foundation for HSD-009 and later repository/application-service tasks.</w:t>
      </w:r>
    </w:p>
    <w:p>
      <w:pPr>
        <w:pStyle w:val="Heading1"/>
        <w:keepNext/>
      </w:pPr>
      <w:r>
        <w:t>2. Prerequisite and Branch Setup</w:t>
      </w:r>
    </w:p>
    <w:p>
      <w:r>
        <w:t>HSD-007 must already be fully approved and merged into main. The expected remote baseline is the merge commit shown in the task metadata table.</w:t>
      </w:r>
    </w:p>
    <w:p>
      <w:pPr>
        <w:pStyle w:val="CodeBlock"/>
      </w:pPr>
      <w:r>
        <w:t>git switch main</w:t>
        <w:br/>
        <w:t>git pull origin main</w:t>
        <w:br/>
        <w:t>git status</w:t>
        <w:br/>
        <w:t>git log -6 --oneline</w:t>
        <w:br/>
        <w:t>git switch -c feature/hsd-008-transaction-foundation</w:t>
      </w:r>
    </w:p>
    <w:p>
      <w:pPr>
        <w:pStyle w:val="ListBullet"/>
      </w:pPr>
      <w:r>
        <w:t>The working tree must be clean before the branch is created.</w:t>
      </w:r>
    </w:p>
    <w:p>
      <w:pPr>
        <w:pStyle w:val="ListBullet"/>
      </w:pPr>
      <w:r>
        <w:t>The branch must start from the merged HSD-007 main baseline, not from feature/hsd-007-numbered-migrations.</w:t>
      </w:r>
    </w:p>
    <w:p>
      <w:pPr>
        <w:pStyle w:val="ListBullet"/>
      </w:pPr>
      <w:r>
        <w:t>Copy this task document into doc/ without changing its requirements.</w:t>
      </w:r>
    </w:p>
    <w:p>
      <w:pPr>
        <w:pStyle w:val="ListBullet"/>
      </w:pPr>
      <w:r>
        <w:t>Do not rewrite, squash, reset, or force-push any previously reviewed HSD commit.</w:t>
      </w:r>
    </w:p>
    <w:p>
      <w:pPr>
        <w:pStyle w:val="ListBullet"/>
      </w:pPr>
      <w:r>
        <w:t>Do not add a dependency. Use Node.js crypto.randomUUID, Date, TypeScript, better-sqlite3, and the existing test stack.</w:t>
      </w:r>
    </w:p>
    <w:p>
      <w:pPr>
        <w:pStyle w:val="Heading1"/>
        <w:keepNext/>
      </w:pPr>
      <w:r>
        <w:t>3. Goal</w:t>
      </w:r>
    </w:p>
    <w:p>
      <w:r>
        <w:t>Create one deterministic main-process data-write foundation that future application services can compose without exposing raw database primitives through IPC. A successful transaction must begin with BEGIN IMMEDIATE, execute only synchronous work, commit exactly once, and return the callback result only after commit succeeds. Any failure must attempt at most one rollback, leave no partial rows, log only fixed operational context, and throw a controlled error containing no SQL, path, identifiers, timestamps, payloads, raw messages, causes, or stack traces.</w:t>
      </w:r>
    </w:p>
    <w:p>
      <w:pPr>
        <w:pStyle w:val="Heading1"/>
        <w:keepNext/>
      </w:pPr>
      <w:r>
        <w:t>4. Required Outcomes</w:t>
      </w:r>
    </w:p>
    <w:tbl>
      <w:tblPr>
        <w:tblStyle w:val="LightShading-Accent1"/>
        <w:tblW w:type="auto" w:w="0"/>
        <w:jc w:val="center"/>
        <w:tblLook w:firstColumn="1" w:firstRow="1" w:lastColumn="0" w:lastRow="0" w:noHBand="0" w:noVBand="1" w:val="04A0"/>
      </w:tblPr>
      <w:tblGrid>
        <w:gridCol w:w="5040"/>
        <w:gridCol w:w="5040"/>
      </w:tblGrid>
      <w:tr>
        <w:trPr>
          <w:tblHeader w:val="true"/>
          <w:cantSplit w:val="true"/>
        </w:trPr>
        <w:tc>
          <w:tcPr>
            <w:tcW w:type="dxa" w:w="2448"/>
            <w:shd w:fill="1F6F78"/>
            <w:vAlign w:val="center"/>
            <w:tcMar>
              <w:top w:w="80" w:type="dxa"/>
              <w:start w:w="100" w:type="dxa"/>
              <w:bottom w:w="80" w:type="dxa"/>
              <w:end w:w="100" w:type="dxa"/>
            </w:tcMar>
          </w:tcPr>
          <w:p>
            <w:r>
              <w:rPr>
                <w:b/>
                <w:color w:val="FFFFFF"/>
              </w:rPr>
              <w:t>Area</w:t>
            </w:r>
          </w:p>
        </w:tc>
        <w:tc>
          <w:tcPr>
            <w:tcW w:type="dxa" w:w="8496"/>
            <w:shd w:fill="1F6F78"/>
            <w:vAlign w:val="center"/>
            <w:tcMar>
              <w:top w:w="80" w:type="dxa"/>
              <w:start w:w="100" w:type="dxa"/>
              <w:bottom w:w="80" w:type="dxa"/>
              <w:end w:w="100" w:type="dxa"/>
            </w:tcMar>
          </w:tcPr>
          <w:p>
            <w:r>
              <w:rPr>
                <w:b/>
                <w:color w:val="FFFFFF"/>
              </w:rPr>
              <w:t>Required outcome</w:t>
            </w:r>
          </w:p>
        </w:tc>
      </w:tr>
      <w:tr>
        <w:trPr>
          <w:cantSplit w:val="true"/>
        </w:trPr>
        <w:tc>
          <w:tcPr>
            <w:tcW w:type="dxa" w:w="2448"/>
            <w:vAlign w:val="top"/>
            <w:tcMar>
              <w:top w:w="80" w:type="dxa"/>
              <w:start w:w="100" w:type="dxa"/>
              <w:bottom w:w="80" w:type="dxa"/>
              <w:end w:w="100" w:type="dxa"/>
            </w:tcMar>
          </w:tcPr>
          <w:p>
            <w:r>
              <w:t>Entity identity</w:t>
            </w:r>
          </w:p>
        </w:tc>
        <w:tc>
          <w:tcPr>
            <w:tcW w:type="dxa" w:w="8496"/>
            <w:vAlign w:val="top"/>
            <w:tcMar>
              <w:top w:w="80" w:type="dxa"/>
              <w:start w:w="100" w:type="dxa"/>
              <w:bottom w:w="80" w:type="dxa"/>
              <w:end w:w="100" w:type="dxa"/>
            </w:tcMar>
          </w:tcPr>
          <w:p>
            <w:r>
              <w:t>One injectable generator produces canonical lowercase UUID version 4 identifiers through Node.js crypto.randomUUID. Invalid generated values are rejected before a repository can use them.</w:t>
            </w:r>
          </w:p>
        </w:tc>
      </w:tr>
      <w:tr>
        <w:trPr>
          <w:cantSplit w:val="true"/>
        </w:trPr>
        <w:tc>
          <w:tcPr>
            <w:tcW w:type="dxa" w:w="2448"/>
            <w:vAlign w:val="top"/>
            <w:tcMar>
              <w:top w:w="80" w:type="dxa"/>
              <w:start w:w="100" w:type="dxa"/>
              <w:bottom w:w="80" w:type="dxa"/>
              <w:end w:w="100" w:type="dxa"/>
            </w:tcMar>
          </w:tcPr>
          <w:p>
            <w:r>
              <w:t>UTC time</w:t>
            </w:r>
          </w:p>
        </w:tc>
        <w:tc>
          <w:tcPr>
            <w:tcW w:type="dxa" w:w="8496"/>
            <w:vAlign w:val="top"/>
            <w:tcMar>
              <w:top w:w="80" w:type="dxa"/>
              <w:start w:w="100" w:type="dxa"/>
              <w:bottom w:w="80" w:type="dxa"/>
              <w:end w:w="100" w:type="dxa"/>
            </w:tcMar>
          </w:tcPr>
          <w:p>
            <w:r>
              <w:t>One injectable clock produces canonical RFC 3339 UTC timestamps with millisecond precision using a trailing Z. Invalid or non-UTC values are rejected.</w:t>
            </w:r>
          </w:p>
        </w:tc>
      </w:tr>
      <w:tr>
        <w:trPr>
          <w:cantSplit w:val="true"/>
        </w:trPr>
        <w:tc>
          <w:tcPr>
            <w:tcW w:type="dxa" w:w="2448"/>
            <w:vAlign w:val="top"/>
            <w:tcMar>
              <w:top w:w="80" w:type="dxa"/>
              <w:start w:w="100" w:type="dxa"/>
              <w:bottom w:w="80" w:type="dxa"/>
              <w:end w:w="100" w:type="dxa"/>
            </w:tcMar>
          </w:tcPr>
          <w:p>
            <w:r>
              <w:t>Transaction boundary</w:t>
            </w:r>
          </w:p>
        </w:tc>
        <w:tc>
          <w:tcPr>
            <w:tcW w:type="dxa" w:w="8496"/>
            <w:vAlign w:val="top"/>
            <w:tcMar>
              <w:top w:w="80" w:type="dxa"/>
              <w:start w:w="100" w:type="dxa"/>
              <w:bottom w:w="80" w:type="dxa"/>
              <w:end w:w="100" w:type="dxa"/>
            </w:tcMar>
          </w:tcPr>
          <w:p>
            <w:r>
              <w:t>One executor binds to one live HSD-007 SQLite connection and runs synchronous work inside BEGIN IMMEDIATE / COMMIT with safe rollback.</w:t>
            </w:r>
          </w:p>
        </w:tc>
      </w:tr>
      <w:tr>
        <w:trPr>
          <w:cantSplit w:val="true"/>
        </w:trPr>
        <w:tc>
          <w:tcPr>
            <w:tcW w:type="dxa" w:w="2448"/>
            <w:vAlign w:val="top"/>
            <w:tcMar>
              <w:top w:w="80" w:type="dxa"/>
              <w:start w:w="100" w:type="dxa"/>
              <w:bottom w:w="80" w:type="dxa"/>
              <w:end w:w="100" w:type="dxa"/>
            </w:tcMar>
          </w:tcPr>
          <w:p>
            <w:r>
              <w:t>No nested work</w:t>
            </w:r>
          </w:p>
        </w:tc>
        <w:tc>
          <w:tcPr>
            <w:tcW w:type="dxa" w:w="8496"/>
            <w:vAlign w:val="top"/>
            <w:tcMar>
              <w:top w:w="80" w:type="dxa"/>
              <w:start w:w="100" w:type="dxa"/>
              <w:bottom w:w="80" w:type="dxa"/>
              <w:end w:w="100" w:type="dxa"/>
            </w:tcMar>
          </w:tcPr>
          <w:p>
            <w:r>
              <w:t>Existing transactions and re-entrant executor calls are rejected before additional SQL or callback work executes.</w:t>
            </w:r>
          </w:p>
        </w:tc>
      </w:tr>
      <w:tr>
        <w:trPr>
          <w:cantSplit w:val="true"/>
        </w:trPr>
        <w:tc>
          <w:tcPr>
            <w:tcW w:type="dxa" w:w="2448"/>
            <w:vAlign w:val="top"/>
            <w:tcMar>
              <w:top w:w="80" w:type="dxa"/>
              <w:start w:w="100" w:type="dxa"/>
              <w:bottom w:w="80" w:type="dxa"/>
              <w:end w:w="100" w:type="dxa"/>
            </w:tcMar>
          </w:tcPr>
          <w:p>
            <w:r>
              <w:t>No async work</w:t>
            </w:r>
          </w:p>
        </w:tc>
        <w:tc>
          <w:tcPr>
            <w:tcW w:type="dxa" w:w="8496"/>
            <w:vAlign w:val="top"/>
            <w:tcMar>
              <w:top w:w="80" w:type="dxa"/>
              <w:start w:w="100" w:type="dxa"/>
              <w:bottom w:w="80" w:type="dxa"/>
              <w:end w:w="100" w:type="dxa"/>
            </w:tcMar>
          </w:tcPr>
          <w:p>
            <w:r>
              <w:t>Promise or thenable callback results are refused and the transaction is rolled back. Transactions must never remain open across await.</w:t>
            </w:r>
          </w:p>
        </w:tc>
      </w:tr>
      <w:tr>
        <w:trPr>
          <w:cantSplit w:val="true"/>
        </w:trPr>
        <w:tc>
          <w:tcPr>
            <w:tcW w:type="dxa" w:w="2448"/>
            <w:vAlign w:val="top"/>
            <w:tcMar>
              <w:top w:w="80" w:type="dxa"/>
              <w:start w:w="100" w:type="dxa"/>
              <w:bottom w:w="80" w:type="dxa"/>
              <w:end w:w="100" w:type="dxa"/>
            </w:tcMar>
          </w:tcPr>
          <w:p>
            <w:r>
              <w:t>Atomicity</w:t>
            </w:r>
          </w:p>
        </w:tc>
        <w:tc>
          <w:tcPr>
            <w:tcW w:type="dxa" w:w="8496"/>
            <w:vAlign w:val="top"/>
            <w:tcMar>
              <w:top w:w="80" w:type="dxa"/>
              <w:start w:w="100" w:type="dxa"/>
              <w:bottom w:w="80" w:type="dxa"/>
              <w:end w:w="100" w:type="dxa"/>
            </w:tcMar>
          </w:tcPr>
          <w:p>
            <w:r>
              <w:t>Integration tests prove multi-row success commits together and callback, commit, or constraint failures leave no partial state.</w:t>
            </w:r>
          </w:p>
        </w:tc>
      </w:tr>
      <w:tr>
        <w:trPr>
          <w:cantSplit w:val="true"/>
        </w:trPr>
        <w:tc>
          <w:tcPr>
            <w:tcW w:type="dxa" w:w="2448"/>
            <w:vAlign w:val="top"/>
            <w:tcMar>
              <w:top w:w="80" w:type="dxa"/>
              <w:start w:w="100" w:type="dxa"/>
              <w:bottom w:w="80" w:type="dxa"/>
              <w:end w:w="100" w:type="dxa"/>
            </w:tcMar>
          </w:tcPr>
          <w:p>
            <w:r>
              <w:t>Safe errors</w:t>
            </w:r>
          </w:p>
        </w:tc>
        <w:tc>
          <w:tcPr>
            <w:tcW w:type="dxa" w:w="8496"/>
            <w:vAlign w:val="top"/>
            <w:tcMar>
              <w:top w:w="80" w:type="dxa"/>
              <w:start w:w="100" w:type="dxa"/>
              <w:bottom w:w="80" w:type="dxa"/>
              <w:end w:w="100" w:type="dxa"/>
            </w:tcMar>
          </w:tcPr>
          <w:p>
            <w:r>
              <w:t>Controlled errors retain at most a sanitized exception type. No raw Error.cause or stack survives the boundary.</w:t>
            </w:r>
          </w:p>
        </w:tc>
      </w:tr>
      <w:tr>
        <w:trPr>
          <w:cantSplit w:val="true"/>
        </w:trPr>
        <w:tc>
          <w:tcPr>
            <w:tcW w:type="dxa" w:w="2448"/>
            <w:vAlign w:val="top"/>
            <w:tcMar>
              <w:top w:w="80" w:type="dxa"/>
              <w:start w:w="100" w:type="dxa"/>
              <w:bottom w:w="80" w:type="dxa"/>
              <w:end w:w="100" w:type="dxa"/>
            </w:tcMar>
          </w:tcPr>
          <w:p>
            <w:r>
              <w:t>Safe logs</w:t>
            </w:r>
          </w:p>
        </w:tc>
        <w:tc>
          <w:tcPr>
            <w:tcW w:type="dxa" w:w="8496"/>
            <w:vAlign w:val="top"/>
            <w:tcMar>
              <w:top w:w="80" w:type="dxa"/>
              <w:start w:w="100" w:type="dxa"/>
              <w:bottom w:w="80" w:type="dxa"/>
              <w:end w:w="100" w:type="dxa"/>
            </w:tcMar>
          </w:tcPr>
          <w:p>
            <w:r>
              <w:t>Failure logs contain only fixed event, phase, and errorType fields. No SQL, database path, generated ID, timestamp, row value, or clinical-like test secret appears.</w:t>
            </w:r>
          </w:p>
        </w:tc>
      </w:tr>
      <w:tr>
        <w:trPr>
          <w:cantSplit w:val="true"/>
        </w:trPr>
        <w:tc>
          <w:tcPr>
            <w:tcW w:type="dxa" w:w="2448"/>
            <w:vAlign w:val="top"/>
            <w:tcMar>
              <w:top w:w="80" w:type="dxa"/>
              <w:start w:w="100" w:type="dxa"/>
              <w:bottom w:w="80" w:type="dxa"/>
              <w:end w:w="100" w:type="dxa"/>
            </w:tcMar>
          </w:tcPr>
          <w:p>
            <w:r>
              <w:t>Architecture</w:t>
            </w:r>
          </w:p>
        </w:tc>
        <w:tc>
          <w:tcPr>
            <w:tcW w:type="dxa" w:w="8496"/>
            <w:vAlign w:val="top"/>
            <w:tcMar>
              <w:top w:w="80" w:type="dxa"/>
              <w:start w:w="100" w:type="dxa"/>
              <w:bottom w:w="80" w:type="dxa"/>
              <w:end w:w="100" w:type="dxa"/>
            </w:tcMar>
          </w:tcPr>
          <w:p>
            <w:r>
              <w:t>The API remains main-process-only and becomes the required entry point for future repository write orchestration.</w:t>
            </w:r>
          </w:p>
        </w:tc>
      </w:tr>
      <w:tr>
        <w:trPr>
          <w:cantSplit w:val="true"/>
        </w:trPr>
        <w:tc>
          <w:tcPr>
            <w:tcW w:type="dxa" w:w="2448"/>
            <w:vAlign w:val="top"/>
            <w:tcMar>
              <w:top w:w="80" w:type="dxa"/>
              <w:start w:w="100" w:type="dxa"/>
              <w:bottom w:w="80" w:type="dxa"/>
              <w:end w:w="100" w:type="dxa"/>
            </w:tcMar>
          </w:tcPr>
          <w:p>
            <w:r>
              <w:t>Regression</w:t>
            </w:r>
          </w:p>
        </w:tc>
        <w:tc>
          <w:tcPr>
            <w:tcW w:type="dxa" w:w="8496"/>
            <w:vAlign w:val="top"/>
            <w:tcMar>
              <w:top w:w="80" w:type="dxa"/>
              <w:start w:w="100" w:type="dxa"/>
              <w:bottom w:w="80" w:type="dxa"/>
              <w:end w:w="100" w:type="dxa"/>
            </w:tcMar>
          </w:tcPr>
          <w:p>
            <w:r>
              <w:t>Migration integrity, database readiness, IPC hardening, renderer isolation, native packaging, and all prior tests continue to pass.</w:t>
            </w:r>
          </w:p>
        </w:tc>
      </w:tr>
    </w:tbl>
    <w:p/>
    <w:p>
      <w:pPr>
        <w:pStyle w:val="Heading1"/>
        <w:keepNext/>
      </w:pPr>
      <w:r>
        <w:t>5. Scope</w:t>
      </w:r>
    </w:p>
    <w:tbl>
      <w:tblPr>
        <w:tblStyle w:val="LightShading-Accent1"/>
        <w:tblW w:type="auto" w:w="0"/>
        <w:jc w:val="center"/>
        <w:tblLook w:firstColumn="1" w:firstRow="1" w:lastColumn="0" w:lastRow="0" w:noHBand="0" w:noVBand="1" w:val="04A0"/>
      </w:tblPr>
      <w:tblGrid>
        <w:gridCol w:w="5040"/>
        <w:gridCol w:w="5040"/>
      </w:tblGrid>
      <w:tr>
        <w:trPr>
          <w:tblHeader w:val="true"/>
          <w:cantSplit w:val="true"/>
        </w:trPr>
        <w:tc>
          <w:tcPr>
            <w:tcW w:type="dxa" w:w="5472"/>
            <w:shd w:fill="1F6F78"/>
            <w:vAlign w:val="center"/>
            <w:tcMar>
              <w:top w:w="80" w:type="dxa"/>
              <w:start w:w="100" w:type="dxa"/>
              <w:bottom w:w="80" w:type="dxa"/>
              <w:end w:w="100" w:type="dxa"/>
            </w:tcMar>
          </w:tcPr>
          <w:p>
            <w:r>
              <w:rPr>
                <w:b/>
                <w:color w:val="FFFFFF"/>
              </w:rPr>
              <w:t>In scope</w:t>
            </w:r>
          </w:p>
        </w:tc>
        <w:tc>
          <w:tcPr>
            <w:tcW w:type="dxa" w:w="5472"/>
            <w:shd w:fill="1F6F78"/>
            <w:vAlign w:val="center"/>
            <w:tcMar>
              <w:top w:w="80" w:type="dxa"/>
              <w:start w:w="100" w:type="dxa"/>
              <w:bottom w:w="80" w:type="dxa"/>
              <w:end w:w="100" w:type="dxa"/>
            </w:tcMar>
          </w:tcPr>
          <w:p>
            <w:r>
              <w:rPr>
                <w:b/>
                <w:color w:val="FFFFFF"/>
              </w:rPr>
              <w:t>Out of scope</w:t>
            </w:r>
          </w:p>
        </w:tc>
      </w:tr>
      <w:tr>
        <w:trPr>
          <w:cantSplit w:val="true"/>
        </w:trPr>
        <w:tc>
          <w:tcPr>
            <w:tcW w:type="dxa" w:w="5472"/>
            <w:vAlign w:val="top"/>
            <w:tcMar>
              <w:top w:w="80" w:type="dxa"/>
              <w:start w:w="100" w:type="dxa"/>
              <w:bottom w:w="80" w:type="dxa"/>
              <w:end w:w="100" w:type="dxa"/>
            </w:tcMar>
          </w:tcPr>
          <w:p>
            <w:r>
              <w:t>EntityId and EntityIdGenerator contracts plus system implementation</w:t>
            </w:r>
          </w:p>
        </w:tc>
        <w:tc>
          <w:tcPr>
            <w:tcW w:type="dxa" w:w="5472"/>
            <w:vAlign w:val="top"/>
            <w:tcMar>
              <w:top w:w="80" w:type="dxa"/>
              <w:start w:w="100" w:type="dxa"/>
              <w:bottom w:w="80" w:type="dxa"/>
              <w:end w:w="100" w:type="dxa"/>
            </w:tcMar>
          </w:tcPr>
          <w:p>
            <w:r>
              <w:t>Installation, user, location, patient, consent, screening, referral, follow-up, audit, or outbox repositories</w:t>
            </w:r>
          </w:p>
        </w:tc>
      </w:tr>
      <w:tr>
        <w:trPr>
          <w:cantSplit w:val="true"/>
        </w:trPr>
        <w:tc>
          <w:tcPr>
            <w:tcW w:type="dxa" w:w="5472"/>
            <w:vAlign w:val="top"/>
            <w:tcMar>
              <w:top w:w="80" w:type="dxa"/>
              <w:start w:w="100" w:type="dxa"/>
              <w:bottom w:w="80" w:type="dxa"/>
              <w:end w:w="100" w:type="dxa"/>
            </w:tcMar>
          </w:tcPr>
          <w:p>
            <w:r>
              <w:t>UtcTimestamp and UtcClock contracts plus system implementation</w:t>
            </w:r>
          </w:p>
        </w:tc>
        <w:tc>
          <w:tcPr>
            <w:tcW w:type="dxa" w:w="5472"/>
            <w:vAlign w:val="top"/>
            <w:tcMar>
              <w:top w:w="80" w:type="dxa"/>
              <w:start w:w="100" w:type="dxa"/>
              <w:bottom w:w="80" w:type="dxa"/>
              <w:end w:w="100" w:type="dxa"/>
            </w:tcMar>
          </w:tcPr>
          <w:p>
            <w:r>
              <w:t>First-run setup, login, password hashing, sessions, RBAC, or role-aware navigation</w:t>
            </w:r>
          </w:p>
        </w:tc>
      </w:tr>
      <w:tr>
        <w:trPr>
          <w:cantSplit w:val="true"/>
        </w:trPr>
        <w:tc>
          <w:tcPr>
            <w:tcW w:type="dxa" w:w="5472"/>
            <w:vAlign w:val="top"/>
            <w:tcMar>
              <w:top w:w="80" w:type="dxa"/>
              <w:start w:w="100" w:type="dxa"/>
              <w:bottom w:w="80" w:type="dxa"/>
              <w:end w:w="100" w:type="dxa"/>
            </w:tcMar>
          </w:tcPr>
          <w:p>
            <w:r>
              <w:t>Synchronous DatabaseTransactionExecutor and transaction context</w:t>
            </w:r>
          </w:p>
        </w:tc>
        <w:tc>
          <w:tcPr>
            <w:tcW w:type="dxa" w:w="5472"/>
            <w:vAlign w:val="top"/>
            <w:tcMar>
              <w:top w:w="80" w:type="dxa"/>
              <w:start w:w="100" w:type="dxa"/>
              <w:bottom w:w="80" w:type="dxa"/>
              <w:end w:w="100" w:type="dxa"/>
            </w:tcMar>
          </w:tcPr>
          <w:p>
            <w:r>
              <w:t>New IPC channels, request/response schemas, preload methods, renderer state, or UI changes</w:t>
            </w:r>
          </w:p>
        </w:tc>
      </w:tr>
      <w:tr>
        <w:trPr>
          <w:cantSplit w:val="true"/>
        </w:trPr>
        <w:tc>
          <w:tcPr>
            <w:tcW w:type="dxa" w:w="5472"/>
            <w:vAlign w:val="top"/>
            <w:tcMar>
              <w:top w:w="80" w:type="dxa"/>
              <w:start w:w="100" w:type="dxa"/>
              <w:bottom w:w="80" w:type="dxa"/>
              <w:end w:w="100" w:type="dxa"/>
            </w:tcMar>
          </w:tcPr>
          <w:p>
            <w:r>
              <w:t>Controlled transaction/foundation errors and safe logging</w:t>
            </w:r>
          </w:p>
        </w:tc>
        <w:tc>
          <w:tcPr>
            <w:tcW w:type="dxa" w:w="5472"/>
            <w:vAlign w:val="top"/>
            <w:tcMar>
              <w:top w:w="80" w:type="dxa"/>
              <w:start w:w="100" w:type="dxa"/>
              <w:bottom w:w="80" w:type="dxa"/>
              <w:end w:w="100" w:type="dxa"/>
            </w:tcMar>
          </w:tcPr>
          <w:p>
            <w:r>
              <w:t>Raw error causes, stack traces, SQL logging, path logging, or payload logging</w:t>
            </w:r>
          </w:p>
        </w:tc>
      </w:tr>
      <w:tr>
        <w:trPr>
          <w:cantSplit w:val="true"/>
        </w:trPr>
        <w:tc>
          <w:tcPr>
            <w:tcW w:type="dxa" w:w="5472"/>
            <w:vAlign w:val="top"/>
            <w:tcMar>
              <w:top w:w="80" w:type="dxa"/>
              <w:start w:w="100" w:type="dxa"/>
              <w:bottom w:w="80" w:type="dxa"/>
              <w:end w:w="100" w:type="dxa"/>
            </w:tcMar>
          </w:tcPr>
          <w:p>
            <w:r>
              <w:t>Main-only exports and architecture documentation</w:t>
            </w:r>
          </w:p>
        </w:tc>
        <w:tc>
          <w:tcPr>
            <w:tcW w:type="dxa" w:w="5472"/>
            <w:vAlign w:val="top"/>
            <w:tcMar>
              <w:top w:w="80" w:type="dxa"/>
              <w:start w:w="100" w:type="dxa"/>
              <w:bottom w:w="80" w:type="dxa"/>
              <w:end w:w="100" w:type="dxa"/>
            </w:tcMar>
          </w:tcPr>
          <w:p>
            <w:r>
              <w:t>Migration 0002, schema changes, triggers, views, FTS, seed data, or production data mutation</w:t>
            </w:r>
          </w:p>
        </w:tc>
      </w:tr>
      <w:tr>
        <w:trPr>
          <w:cantSplit w:val="true"/>
        </w:trPr>
        <w:tc>
          <w:tcPr>
            <w:tcW w:type="dxa" w:w="5472"/>
            <w:vAlign w:val="top"/>
            <w:tcMar>
              <w:top w:w="80" w:type="dxa"/>
              <w:start w:w="100" w:type="dxa"/>
              <w:bottom w:w="80" w:type="dxa"/>
              <w:end w:w="100" w:type="dxa"/>
            </w:tcMar>
          </w:tcPr>
          <w:p>
            <w:r>
              <w:t>Temporary-file integration tests using schema-v1 tables</w:t>
            </w:r>
          </w:p>
        </w:tc>
        <w:tc>
          <w:tcPr>
            <w:tcW w:type="dxa" w:w="5472"/>
            <w:vAlign w:val="top"/>
            <w:tcMar>
              <w:top w:w="80" w:type="dxa"/>
              <w:start w:w="100" w:type="dxa"/>
              <w:bottom w:w="80" w:type="dxa"/>
              <w:end w:w="100" w:type="dxa"/>
            </w:tcMar>
          </w:tcPr>
          <w:p>
            <w:r>
              <w:t>Central API, PostgreSQL, HTTP sync, FHIR, doctor portal, AI, backup, restore, or printing</w:t>
            </w:r>
          </w:p>
        </w:tc>
      </w:tr>
      <w:tr>
        <w:trPr>
          <w:cantSplit w:val="true"/>
        </w:trPr>
        <w:tc>
          <w:tcPr>
            <w:tcW w:type="dxa" w:w="5472"/>
            <w:vAlign w:val="top"/>
            <w:tcMar>
              <w:top w:w="80" w:type="dxa"/>
              <w:start w:w="100" w:type="dxa"/>
              <w:bottom w:w="80" w:type="dxa"/>
              <w:end w:w="100" w:type="dxa"/>
            </w:tcMar>
          </w:tcPr>
          <w:p>
            <w:r>
              <w:t>Development, preview, and unpacked Windows regression smoke tests</w:t>
            </w:r>
          </w:p>
        </w:tc>
        <w:tc>
          <w:tcPr>
            <w:tcW w:type="dxa" w:w="5472"/>
            <w:vAlign w:val="top"/>
            <w:tcMar>
              <w:top w:w="80" w:type="dxa"/>
              <w:start w:w="100" w:type="dxa"/>
              <w:bottom w:w="80" w:type="dxa"/>
              <w:end w:w="100" w:type="dxa"/>
            </w:tcMar>
          </w:tcPr>
          <w:p>
            <w:r>
              <w:t>Changing Electron, better-sqlite3, electron-builder, pnpm, or any dependency version</w:t>
            </w:r>
          </w:p>
        </w:tc>
      </w:tr>
    </w:tbl>
    <w:p/>
    <w:p>
      <w:pPr>
        <w:pStyle w:val="Heading1"/>
        <w:keepNext/>
      </w:pPr>
      <w:r>
        <w:t>6. Required Files</w:t>
      </w:r>
    </w:p>
    <w:tbl>
      <w:tblPr>
        <w:tblStyle w:val="LightShading-Accent1"/>
        <w:tblW w:type="auto" w:w="0"/>
        <w:jc w:val="center"/>
        <w:tblLook w:firstColumn="1" w:firstRow="1" w:lastColumn="0" w:lastRow="0" w:noHBand="0" w:noVBand="1" w:val="04A0"/>
      </w:tblPr>
      <w:tblGrid>
        <w:gridCol w:w="3360"/>
        <w:gridCol w:w="3360"/>
        <w:gridCol w:w="3360"/>
      </w:tblGrid>
      <w:tr>
        <w:trPr>
          <w:tblHeader w:val="true"/>
          <w:cantSplit w:val="true"/>
        </w:trPr>
        <w:tc>
          <w:tcPr>
            <w:tcW w:type="dxa" w:w="4320"/>
            <w:shd w:fill="1F6F78"/>
            <w:vAlign w:val="center"/>
            <w:tcMar>
              <w:top w:w="80" w:type="dxa"/>
              <w:start w:w="100" w:type="dxa"/>
              <w:bottom w:w="80" w:type="dxa"/>
              <w:end w:w="100" w:type="dxa"/>
            </w:tcMar>
          </w:tcPr>
          <w:p>
            <w:r>
              <w:rPr>
                <w:b/>
                <w:color w:val="FFFFFF"/>
              </w:rPr>
              <w:t>Path</w:t>
            </w:r>
          </w:p>
        </w:tc>
        <w:tc>
          <w:tcPr>
            <w:tcW w:type="dxa" w:w="1800"/>
            <w:shd w:fill="1F6F78"/>
            <w:vAlign w:val="center"/>
            <w:tcMar>
              <w:top w:w="80" w:type="dxa"/>
              <w:start w:w="100" w:type="dxa"/>
              <w:bottom w:w="80" w:type="dxa"/>
              <w:end w:w="100" w:type="dxa"/>
            </w:tcMar>
          </w:tcPr>
          <w:p>
            <w:r>
              <w:rPr>
                <w:b/>
                <w:color w:val="FFFFFF"/>
              </w:rPr>
              <w:t>Action</w:t>
            </w:r>
          </w:p>
        </w:tc>
        <w:tc>
          <w:tcPr>
            <w:tcW w:type="dxa" w:w="4824"/>
            <w:shd w:fill="1F6F78"/>
            <w:vAlign w:val="center"/>
            <w:tcMar>
              <w:top w:w="80" w:type="dxa"/>
              <w:start w:w="100" w:type="dxa"/>
              <w:bottom w:w="80" w:type="dxa"/>
              <w:end w:w="100" w:type="dxa"/>
            </w:tcMar>
          </w:tcPr>
          <w:p>
            <w:r>
              <w:rPr>
                <w:b/>
                <w:color w:val="FFFFFF"/>
              </w:rPr>
              <w:t>Responsibility</w:t>
            </w:r>
          </w:p>
        </w:tc>
      </w:tr>
      <w:tr>
        <w:trPr>
          <w:cantSplit w:val="true"/>
        </w:trPr>
        <w:tc>
          <w:tcPr>
            <w:tcW w:type="dxa" w:w="4320"/>
            <w:vAlign w:val="top"/>
            <w:tcMar>
              <w:top w:w="80" w:type="dxa"/>
              <w:start w:w="100" w:type="dxa"/>
              <w:bottom w:w="80" w:type="dxa"/>
              <w:end w:w="100" w:type="dxa"/>
            </w:tcMar>
          </w:tcPr>
          <w:p>
            <w:r>
              <w:t>src/main/foundation/entity-id.ts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Define branded EntityId, validation, injectable EntityIdGenerator, and system crypto.randomUUID implementation.</w:t>
            </w:r>
          </w:p>
        </w:tc>
      </w:tr>
      <w:tr>
        <w:trPr>
          <w:cantSplit w:val="true"/>
        </w:trPr>
        <w:tc>
          <w:tcPr>
            <w:tcW w:type="dxa" w:w="4320"/>
            <w:vAlign w:val="top"/>
            <w:tcMar>
              <w:top w:w="80" w:type="dxa"/>
              <w:start w:w="100" w:type="dxa"/>
              <w:bottom w:w="80" w:type="dxa"/>
              <w:end w:w="100" w:type="dxa"/>
            </w:tcMar>
          </w:tcPr>
          <w:p>
            <w:r>
              <w:t>src/main/foundation/utc-clock.ts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Define branded UtcTimestamp, validation, injectable UtcClock, and system Date-based implementation.</w:t>
            </w:r>
          </w:p>
        </w:tc>
      </w:tr>
      <w:tr>
        <w:trPr>
          <w:cantSplit w:val="true"/>
        </w:trPr>
        <w:tc>
          <w:tcPr>
            <w:tcW w:type="dxa" w:w="4320"/>
            <w:vAlign w:val="top"/>
            <w:tcMar>
              <w:top w:w="80" w:type="dxa"/>
              <w:start w:w="100" w:type="dxa"/>
              <w:bottom w:w="80" w:type="dxa"/>
              <w:end w:w="100" w:type="dxa"/>
            </w:tcMar>
          </w:tcPr>
          <w:p>
            <w:r>
              <w:t>src/main/foundation/index.ts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Export only trusted main-process identity/time APIs.</w:t>
            </w:r>
          </w:p>
        </w:tc>
      </w:tr>
      <w:tr>
        <w:trPr>
          <w:cantSplit w:val="true"/>
        </w:trPr>
        <w:tc>
          <w:tcPr>
            <w:tcW w:type="dxa" w:w="4320"/>
            <w:vAlign w:val="top"/>
            <w:tcMar>
              <w:top w:w="80" w:type="dxa"/>
              <w:start w:w="100" w:type="dxa"/>
              <w:bottom w:w="80" w:type="dxa"/>
              <w:end w:w="100" w:type="dxa"/>
            </w:tcMar>
          </w:tcPr>
          <w:p>
            <w:r>
              <w:t>src/main/database/transaction/transaction-types.ts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Define transaction context, executor, logger, phases, and controlled error contracts.</w:t>
            </w:r>
          </w:p>
        </w:tc>
      </w:tr>
      <w:tr>
        <w:trPr>
          <w:cantSplit w:val="true"/>
        </w:trPr>
        <w:tc>
          <w:tcPr>
            <w:tcW w:type="dxa" w:w="4320"/>
            <w:vAlign w:val="top"/>
            <w:tcMar>
              <w:top w:w="80" w:type="dxa"/>
              <w:start w:w="100" w:type="dxa"/>
              <w:bottom w:w="80" w:type="dxa"/>
              <w:end w:w="100" w:type="dxa"/>
            </w:tcMar>
          </w:tcPr>
          <w:p>
            <w:r>
              <w:t>src/main/database/transaction/transaction-executor.ts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Implement BEGIN IMMEDIATE, synchronous work, commit, rollback, state validation, context creation, and safe error mapping.</w:t>
            </w:r>
          </w:p>
        </w:tc>
      </w:tr>
      <w:tr>
        <w:trPr>
          <w:cantSplit w:val="true"/>
        </w:trPr>
        <w:tc>
          <w:tcPr>
            <w:tcW w:type="dxa" w:w="4320"/>
            <w:vAlign w:val="top"/>
            <w:tcMar>
              <w:top w:w="80" w:type="dxa"/>
              <w:start w:w="100" w:type="dxa"/>
              <w:bottom w:w="80" w:type="dxa"/>
              <w:end w:w="100" w:type="dxa"/>
            </w:tcMar>
          </w:tcPr>
          <w:p>
            <w:r>
              <w:t>src/main/database/transaction/index.ts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Export the transaction factory and safe types inside the main database boundary.</w:t>
            </w:r>
          </w:p>
        </w:tc>
      </w:tr>
      <w:tr>
        <w:trPr>
          <w:cantSplit w:val="true"/>
        </w:trPr>
        <w:tc>
          <w:tcPr>
            <w:tcW w:type="dxa" w:w="4320"/>
            <w:vAlign w:val="top"/>
            <w:tcMar>
              <w:top w:w="80" w:type="dxa"/>
              <w:start w:w="100" w:type="dxa"/>
              <w:bottom w:w="80" w:type="dxa"/>
              <w:end w:w="100" w:type="dxa"/>
            </w:tcMar>
          </w:tcPr>
          <w:p>
            <w:r>
              <w:t>src/main/database/index.ts</w:t>
            </w:r>
          </w:p>
        </w:tc>
        <w:tc>
          <w:tcPr>
            <w:tcW w:type="dxa" w:w="1800"/>
            <w:vAlign w:val="top"/>
            <w:tcMar>
              <w:top w:w="80" w:type="dxa"/>
              <w:start w:w="100" w:type="dxa"/>
              <w:bottom w:w="80" w:type="dxa"/>
              <w:end w:w="100" w:type="dxa"/>
            </w:tcMar>
          </w:tcPr>
          <w:p>
            <w:r>
              <w:t>Modify</w:t>
            </w:r>
          </w:p>
        </w:tc>
        <w:tc>
          <w:tcPr>
            <w:tcW w:type="dxa" w:w="4824"/>
            <w:vAlign w:val="top"/>
            <w:tcMar>
              <w:top w:w="80" w:type="dxa"/>
              <w:start w:w="100" w:type="dxa"/>
              <w:bottom w:w="80" w:type="dxa"/>
              <w:end w:w="100" w:type="dxa"/>
            </w:tcMar>
          </w:tcPr>
          <w:p>
            <w:r>
              <w:t>Re-export only the intended transaction APIs. Do not expose them through shared or preload code.</w:t>
            </w:r>
          </w:p>
        </w:tc>
      </w:tr>
      <w:tr>
        <w:trPr>
          <w:cantSplit w:val="true"/>
        </w:trPr>
        <w:tc>
          <w:tcPr>
            <w:tcW w:type="dxa" w:w="4320"/>
            <w:vAlign w:val="top"/>
            <w:tcMar>
              <w:top w:w="80" w:type="dxa"/>
              <w:start w:w="100" w:type="dxa"/>
              <w:bottom w:w="80" w:type="dxa"/>
              <w:end w:w="100" w:type="dxa"/>
            </w:tcMar>
          </w:tcPr>
          <w:p>
            <w:r>
              <w:t>docs/adr/ADR-006-client-generated-uuid.md</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Record the client-generated UUID v4 decision and rejected alternatives.</w:t>
            </w:r>
          </w:p>
        </w:tc>
      </w:tr>
      <w:tr>
        <w:trPr>
          <w:cantSplit w:val="true"/>
        </w:trPr>
        <w:tc>
          <w:tcPr>
            <w:tcW w:type="dxa" w:w="4320"/>
            <w:vAlign w:val="top"/>
            <w:tcMar>
              <w:top w:w="80" w:type="dxa"/>
              <w:start w:w="100" w:type="dxa"/>
              <w:bottom w:w="80" w:type="dxa"/>
              <w:end w:w="100" w:type="dxa"/>
            </w:tcMar>
          </w:tcPr>
          <w:p>
            <w:r>
              <w:t>docs/database/transaction-boundary.md</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Document synchronous transaction rules, error phases, rollback behavior, and future repository usage.</w:t>
            </w:r>
          </w:p>
        </w:tc>
      </w:tr>
      <w:tr>
        <w:trPr>
          <w:cantSplit w:val="true"/>
        </w:trPr>
        <w:tc>
          <w:tcPr>
            <w:tcW w:type="dxa" w:w="4320"/>
            <w:vAlign w:val="top"/>
            <w:tcMar>
              <w:top w:w="80" w:type="dxa"/>
              <w:start w:w="100" w:type="dxa"/>
              <w:bottom w:w="80" w:type="dxa"/>
              <w:end w:w="100" w:type="dxa"/>
            </w:tcMar>
          </w:tcPr>
          <w:p>
            <w:r>
              <w:t>docs/engineering-standards.md</w:t>
            </w:r>
          </w:p>
        </w:tc>
        <w:tc>
          <w:tcPr>
            <w:tcW w:type="dxa" w:w="1800"/>
            <w:vAlign w:val="top"/>
            <w:tcMar>
              <w:top w:w="80" w:type="dxa"/>
              <w:start w:w="100" w:type="dxa"/>
              <w:bottom w:w="80" w:type="dxa"/>
              <w:end w:w="100" w:type="dxa"/>
            </w:tcMar>
          </w:tcPr>
          <w:p>
            <w:r>
              <w:t>Modify</w:t>
            </w:r>
          </w:p>
        </w:tc>
        <w:tc>
          <w:tcPr>
            <w:tcW w:type="dxa" w:w="4824"/>
            <w:vAlign w:val="top"/>
            <w:tcMar>
              <w:top w:w="80" w:type="dxa"/>
              <w:start w:w="100" w:type="dxa"/>
              <w:bottom w:w="80" w:type="dxa"/>
              <w:end w:w="100" w:type="dxa"/>
            </w:tcMar>
          </w:tcPr>
          <w:p>
            <w:r>
              <w:t>Make this executor the mandatory boundary for future multi-record writes.</w:t>
            </w:r>
          </w:p>
        </w:tc>
      </w:tr>
      <w:tr>
        <w:trPr>
          <w:cantSplit w:val="true"/>
        </w:trPr>
        <w:tc>
          <w:tcPr>
            <w:tcW w:type="dxa" w:w="4320"/>
            <w:vAlign w:val="top"/>
            <w:tcMar>
              <w:top w:w="80" w:type="dxa"/>
              <w:start w:w="100" w:type="dxa"/>
              <w:bottom w:w="80" w:type="dxa"/>
              <w:end w:w="100" w:type="dxa"/>
            </w:tcMar>
          </w:tcPr>
          <w:p>
            <w:r>
              <w:t>docs/repository-structure.md</w:t>
            </w:r>
          </w:p>
        </w:tc>
        <w:tc>
          <w:tcPr>
            <w:tcW w:type="dxa" w:w="1800"/>
            <w:vAlign w:val="top"/>
            <w:tcMar>
              <w:top w:w="80" w:type="dxa"/>
              <w:start w:w="100" w:type="dxa"/>
              <w:bottom w:w="80" w:type="dxa"/>
              <w:end w:w="100" w:type="dxa"/>
            </w:tcMar>
          </w:tcPr>
          <w:p>
            <w:r>
              <w:t>Modify</w:t>
            </w:r>
          </w:p>
        </w:tc>
        <w:tc>
          <w:tcPr>
            <w:tcW w:type="dxa" w:w="4824"/>
            <w:vAlign w:val="top"/>
            <w:tcMar>
              <w:top w:w="80" w:type="dxa"/>
              <w:start w:w="100" w:type="dxa"/>
              <w:bottom w:w="80" w:type="dxa"/>
              <w:end w:w="100" w:type="dxa"/>
            </w:tcMar>
          </w:tcPr>
          <w:p>
            <w:r>
              <w:t>Document the foundation and transaction directories.</w:t>
            </w:r>
          </w:p>
        </w:tc>
      </w:tr>
      <w:tr>
        <w:trPr>
          <w:cantSplit w:val="true"/>
        </w:trPr>
        <w:tc>
          <w:tcPr>
            <w:tcW w:type="dxa" w:w="4320"/>
            <w:vAlign w:val="top"/>
            <w:tcMar>
              <w:top w:w="80" w:type="dxa"/>
              <w:start w:w="100" w:type="dxa"/>
              <w:bottom w:w="80" w:type="dxa"/>
              <w:end w:w="100" w:type="dxa"/>
            </w:tcMar>
          </w:tcPr>
          <w:p>
            <w:r>
              <w:t>tests/unit/main/entity-id.test.ts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Verify canonical UUID v4 behavior and invalid-value refusal.</w:t>
            </w:r>
          </w:p>
        </w:tc>
      </w:tr>
      <w:tr>
        <w:trPr>
          <w:cantSplit w:val="true"/>
        </w:trPr>
        <w:tc>
          <w:tcPr>
            <w:tcW w:type="dxa" w:w="4320"/>
            <w:vAlign w:val="top"/>
            <w:tcMar>
              <w:top w:w="80" w:type="dxa"/>
              <w:start w:w="100" w:type="dxa"/>
              <w:bottom w:w="80" w:type="dxa"/>
              <w:end w:w="100" w:type="dxa"/>
            </w:tcMar>
          </w:tcPr>
          <w:p>
            <w:r>
              <w:t>tests/unit/main/utc-clock.test.ts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Verify canonical UTC formatting and invalid clock refusal.</w:t>
            </w:r>
          </w:p>
        </w:tc>
      </w:tr>
      <w:tr>
        <w:trPr>
          <w:cantSplit w:val="true"/>
        </w:trPr>
        <w:tc>
          <w:tcPr>
            <w:tcW w:type="dxa" w:w="4320"/>
            <w:vAlign w:val="top"/>
            <w:tcMar>
              <w:top w:w="80" w:type="dxa"/>
              <w:start w:w="100" w:type="dxa"/>
              <w:bottom w:w="80" w:type="dxa"/>
              <w:end w:w="100" w:type="dxa"/>
            </w:tcMar>
          </w:tcPr>
          <w:p>
            <w:r>
              <w:t>tests/integration/main/transaction-executor.test.ts</w:t>
            </w:r>
          </w:p>
        </w:tc>
        <w:tc>
          <w:tcPr>
            <w:tcW w:type="dxa" w:w="1800"/>
            <w:vAlign w:val="top"/>
            <w:tcMar>
              <w:top w:w="80" w:type="dxa"/>
              <w:start w:w="100" w:type="dxa"/>
              <w:bottom w:w="80" w:type="dxa"/>
              <w:end w:w="100" w:type="dxa"/>
            </w:tcMar>
          </w:tcPr>
          <w:p>
            <w:r>
              <w:t>Create</w:t>
            </w:r>
          </w:p>
        </w:tc>
        <w:tc>
          <w:tcPr>
            <w:tcW w:type="dxa" w:w="4824"/>
            <w:vAlign w:val="top"/>
            <w:tcMar>
              <w:top w:w="80" w:type="dxa"/>
              <w:start w:w="100" w:type="dxa"/>
              <w:bottom w:w="80" w:type="dxa"/>
              <w:end w:w="100" w:type="dxa"/>
            </w:tcMar>
          </w:tcPr>
          <w:p>
            <w:r>
              <w:t>Prove success, rollback, nesting, async refusal, safe errors/logs, and schema-v1 regression on temporary file-backed SQLite.</w:t>
            </w:r>
          </w:p>
        </w:tc>
      </w:tr>
      <w:tr>
        <w:trPr>
          <w:cantSplit w:val="true"/>
        </w:trPr>
        <w:tc>
          <w:tcPr>
            <w:tcW w:type="dxa" w:w="4320"/>
            <w:vAlign w:val="top"/>
            <w:tcMar>
              <w:top w:w="80" w:type="dxa"/>
              <w:start w:w="100" w:type="dxa"/>
              <w:bottom w:w="80" w:type="dxa"/>
              <w:end w:w="100" w:type="dxa"/>
            </w:tcMar>
          </w:tcPr>
          <w:p>
            <w:r>
              <w:t>Existing files</w:t>
            </w:r>
          </w:p>
        </w:tc>
        <w:tc>
          <w:tcPr>
            <w:tcW w:type="dxa" w:w="1800"/>
            <w:vAlign w:val="top"/>
            <w:tcMar>
              <w:top w:w="80" w:type="dxa"/>
              <w:start w:w="100" w:type="dxa"/>
              <w:bottom w:w="80" w:type="dxa"/>
              <w:end w:w="100" w:type="dxa"/>
            </w:tcMar>
          </w:tcPr>
          <w:p>
            <w:r>
              <w:t>Modify only when required</w:t>
            </w:r>
          </w:p>
        </w:tc>
        <w:tc>
          <w:tcPr>
            <w:tcW w:type="dxa" w:w="4824"/>
            <w:vAlign w:val="top"/>
            <w:tcMar>
              <w:top w:w="80" w:type="dxa"/>
              <w:start w:w="100" w:type="dxa"/>
              <w:bottom w:w="80" w:type="dxa"/>
              <w:end w:w="100" w:type="dxa"/>
            </w:tcMar>
          </w:tcPr>
          <w:p>
            <w:r>
              <w:t>Keep changes narrow. Do not refactor migration, IPC, renderer, security, or packaging code without a directly demonstrated need.</w:t>
            </w:r>
          </w:p>
        </w:tc>
      </w:tr>
    </w:tbl>
    <w:p/>
    <w:p>
      <w:pPr>
        <w:pStyle w:val="Heading1"/>
        <w:keepNext/>
      </w:pPr>
      <w:r>
        <w:t>7. Foundation Type Contracts</w:t>
      </w:r>
    </w:p>
    <w:p>
      <w:pPr>
        <w:pStyle w:val="Heading2"/>
        <w:keepNext/>
      </w:pPr>
      <w:r>
        <w:t>7.1 Entity identifiers</w:t>
      </w:r>
    </w:p>
    <w:p>
      <w:r>
        <w:t>Use an opaque or branded string type so raw arbitrary strings are not interchangeable with a validated entity identifier inside trusted main-process TypeScript.</w:t>
      </w:r>
    </w:p>
    <w:p>
      <w:pPr>
        <w:pStyle w:val="CodeBlock"/>
      </w:pPr>
      <w:r>
        <w:t>export type EntityId = string &amp; { readonly __brand: 'EntityId' }</w:t>
        <w:br/>
        <w:br/>
        <w:t>export interface EntityIdGenerator {</w:t>
        <w:br/>
        <w:t xml:space="preserve">  generate(): EntityId</w:t>
        <w:br/>
        <w:t>}</w:t>
      </w:r>
    </w:p>
    <w:p>
      <w:pPr>
        <w:pStyle w:val="ListBullet"/>
      </w:pPr>
      <w:r>
        <w:t>The system implementation calls node:crypto randomUUID().</w:t>
      </w:r>
    </w:p>
    <w:p>
      <w:pPr>
        <w:pStyle w:val="ListBullet"/>
      </w:pPr>
      <w:r>
        <w:t>Accept only canonical lowercase UUID v4 text: 8-4-4-4-12 hexadecimal groups, version nibble 4, and RFC 4122 variant 8, 9, a, or b.</w:t>
      </w:r>
    </w:p>
    <w:p>
      <w:pPr>
        <w:pStyle w:val="ListBullet"/>
      </w:pPr>
      <w:r>
        <w:t>Do not use Math.random, timestamps, counters, machine identifiers, database-generated integer IDs, or a third-party UUID package.</w:t>
      </w:r>
    </w:p>
    <w:p>
      <w:pPr>
        <w:pStyle w:val="ListBullet"/>
      </w:pPr>
      <w:r>
        <w:t>Do not log generated identifiers during success or failure handling.</w:t>
      </w:r>
    </w:p>
    <w:p>
      <w:pPr>
        <w:pStyle w:val="ListBullet"/>
      </w:pPr>
      <w:r>
        <w:t>Expose a validator or parser for trusted main-process tests and future repository boundaries; it must return a controlled EntityIdGenerationError or equivalent without echoing the invalid value.</w:t>
      </w:r>
    </w:p>
    <w:p>
      <w:pPr>
        <w:pStyle w:val="ListBullet"/>
      </w:pPr>
      <w:r>
        <w:t>Generator injection is mandatory so future service tests can use deterministic identifiers.</w:t>
      </w:r>
    </w:p>
    <w:tbl>
      <w:tblPr>
        <w:tblW w:type="auto" w:w="0"/>
        <w:jc w:val="center"/>
        <w:tblLook w:firstColumn="1" w:firstRow="1" w:lastColumn="0" w:lastRow="0" w:noHBand="0" w:noVBand="1" w:val="04A0"/>
      </w:tblPr>
      <w:tblGrid>
        <w:gridCol w:w="10080"/>
      </w:tblGrid>
      <w:tr>
        <w:tc>
          <w:tcPr>
            <w:tcW w:type="dxa" w:w="10080"/>
            <w:shd w:fill="EAF4F5"/>
            <w:tcMar>
              <w:top w:w="150" w:type="dxa"/>
              <w:start w:w="180" w:type="dxa"/>
              <w:bottom w:w="150" w:type="dxa"/>
              <w:end w:w="180" w:type="dxa"/>
            </w:tcMar>
          </w:tcPr>
          <w:p>
            <w:r>
              <w:rPr>
                <w:b/>
                <w:color w:val="173F46"/>
              </w:rPr>
              <w:t>Identifier policy: IDs are generated locally before a write begins so the same stable identifier can later serve local relationships, audit references, outbox event identity, server idempotency, and FHIR identifier mapping. HSD-008 does not create any production entity row.</w:t>
            </w:r>
          </w:p>
        </w:tc>
      </w:tr>
    </w:tbl>
    <w:p/>
    <w:p>
      <w:pPr>
        <w:pStyle w:val="Heading2"/>
        <w:keepNext/>
      </w:pPr>
      <w:r>
        <w:t>7.2 UTC timestamps</w:t>
      </w:r>
    </w:p>
    <w:p>
      <w:r>
        <w:t>Use one canonical timestamp representation for all future writes. The system clock must derive the value from Date and return the exact UTC ISO form produced by toISOString().</w:t>
      </w:r>
    </w:p>
    <w:p>
      <w:pPr>
        <w:pStyle w:val="CodeBlock"/>
      </w:pPr>
      <w:r>
        <w:t>export type UtcTimestamp = string &amp; { readonly __brand: 'UtcTimestamp' }</w:t>
        <w:br/>
        <w:br/>
        <w:t>export interface UtcClock {</w:t>
        <w:br/>
        <w:t xml:space="preserve">  now(): UtcTimestamp</w:t>
        <w:br/>
        <w:t>}</w:t>
      </w:r>
    </w:p>
    <w:p>
      <w:pPr>
        <w:pStyle w:val="ListBullet"/>
      </w:pPr>
      <w:r>
        <w:t>Required form: YYYY-MM-DDTHH:mm:ss.sssZ.</w:t>
      </w:r>
    </w:p>
    <w:p>
      <w:pPr>
        <w:pStyle w:val="ListBullet"/>
      </w:pPr>
      <w:r>
        <w:t>The value must represent a valid instant and must use Z, not a local offset.</w:t>
      </w:r>
    </w:p>
    <w:p>
      <w:pPr>
        <w:pStyle w:val="ListBullet"/>
      </w:pPr>
      <w:r>
        <w:t>Do not use SQLite CURRENT_TIMESTAMP, local time, locale formatting, or renderer-supplied timestamps for authoritative created_at / updated_at values.</w:t>
      </w:r>
    </w:p>
    <w:p>
      <w:pPr>
        <w:pStyle w:val="ListBullet"/>
      </w:pPr>
      <w:r>
        <w:t>Clock injection is mandatory for deterministic repository and application-service tests.</w:t>
      </w:r>
    </w:p>
    <w:p>
      <w:pPr>
        <w:pStyle w:val="ListBullet"/>
      </w:pPr>
      <w:r>
        <w:t>Reject an invalid Date or invalid injected string with a controlled UtcClockError or equivalent that does not include the invalid value.</w:t>
      </w:r>
    </w:p>
    <w:p>
      <w:pPr>
        <w:pStyle w:val="Heading1"/>
        <w:keepNext/>
      </w:pPr>
      <w:r>
        <w:t>8. Database Transaction Executor</w:t>
      </w:r>
    </w:p>
    <w:p>
      <w:pPr>
        <w:pStyle w:val="Heading2"/>
        <w:keepNext/>
      </w:pPr>
      <w:r>
        <w:t>8.1 Public main-process API</w:t>
      </w:r>
    </w:p>
    <w:p>
      <w:pPr>
        <w:pStyle w:val="CodeBlock"/>
      </w:pPr>
      <w:r>
        <w:t>export interface DatabaseTransactionContext {</w:t>
        <w:br/>
        <w:t xml:space="preserve">  readonly connection: Database.Database</w:t>
        <w:br/>
        <w:t xml:space="preserve">  newEntityId(): EntityId</w:t>
        <w:br/>
        <w:t xml:space="preserve">  nowUtc(): UtcTimestamp</w:t>
        <w:br/>
        <w:t>}</w:t>
        <w:br/>
        <w:br/>
        <w:t>export interface DatabaseTransactionExecutor {</w:t>
        <w:br/>
        <w:t xml:space="preserve">  run&lt;T&gt;(work: (context: DatabaseTransactionContext) =&gt; T): T</w:t>
        <w:br/>
        <w:t>}</w:t>
      </w:r>
    </w:p>
    <w:p>
      <w:r>
        <w:t>The connection remains a main-process implementation detail. Future application services may call the executor, and future repositories may use the context connection, but neither the context nor raw SQL capability may cross the IPC/preload boundary.</w:t>
      </w:r>
    </w:p>
    <w:p>
      <w:pPr>
        <w:pStyle w:val="Heading2"/>
        <w:keepNext/>
      </w:pPr>
      <w:r>
        <w:t>8.2 Required execution algorithm</w:t>
      </w:r>
    </w:p>
    <w:p>
      <w:pPr>
        <w:pStyle w:val="CodeBlock"/>
      </w:pPr>
      <w:r>
        <w:t>verify connection is open and not already in a transaction</w:t>
        <w:br/>
        <w:t>phase = begin</w:t>
        <w:br/>
        <w:t>BEGIN IMMEDIATE</w:t>
        <w:br/>
        <w:t>verify connection.inTransaction is true</w:t>
        <w:br/>
        <w:br/>
        <w:t>phase = work</w:t>
        <w:br/>
        <w:t>create immutable transaction context</w:t>
        <w:br/>
        <w:t>result = work(context)</w:t>
        <w:br/>
        <w:t>reject Promise/thenable result</w:t>
        <w:br/>
        <w:br/>
        <w:t>phase = commit</w:t>
        <w:br/>
        <w:t>COMMIT</w:t>
        <w:br/>
        <w:t>verify connection.inTransaction is false</w:t>
        <w:br/>
        <w:t>return result</w:t>
        <w:br/>
        <w:br/>
        <w:t>on any failure after BEGIN succeeds:</w:t>
        <w:br/>
        <w:t xml:space="preserve">  attempt ROLLBACK exactly once</w:t>
        <w:br/>
        <w:t xml:space="preserve">  log rollback failure safely if rollback fails</w:t>
        <w:br/>
        <w:t xml:space="preserve">  log the original transaction failure safely</w:t>
        <w:br/>
        <w:t xml:space="preserve">  throw a controlled transaction error with sanitized errorType only</w:t>
      </w:r>
    </w:p>
    <w:p>
      <w:pPr>
        <w:pStyle w:val="ListBullet"/>
      </w:pPr>
      <w:r>
        <w:t>Use explicit SQL transaction commands. Do not use hidden nested transaction behavior or savepoints in HSD-008.</w:t>
      </w:r>
    </w:p>
    <w:p>
      <w:pPr>
        <w:pStyle w:val="ListBullet"/>
      </w:pPr>
      <w:r>
        <w:t>If BEGIN IMMEDIATE fails, do not attempt rollback because no transaction was acquired.</w:t>
      </w:r>
    </w:p>
    <w:p>
      <w:pPr>
        <w:pStyle w:val="ListBullet"/>
      </w:pPr>
      <w:r>
        <w:t>If the callback throws, roll back and never return its result.</w:t>
      </w:r>
    </w:p>
    <w:p>
      <w:pPr>
        <w:pStyle w:val="ListBullet"/>
      </w:pPr>
      <w:r>
        <w:t>If a Promise or thenable is returned, treat it as a programming error, roll back, and throw DatabaseTransactionAsyncWorkError or an equivalent controlled subtype.</w:t>
      </w:r>
    </w:p>
    <w:p>
      <w:pPr>
        <w:pStyle w:val="ListBullet"/>
      </w:pPr>
      <w:r>
        <w:t>If COMMIT fails while the connection remains in a transaction, attempt rollback once.</w:t>
      </w:r>
    </w:p>
    <w:p>
      <w:pPr>
        <w:pStyle w:val="ListBullet"/>
      </w:pPr>
      <w:r>
        <w:t>If rollback fails, do not replace the original controlled failure.</w:t>
      </w:r>
    </w:p>
    <w:p>
      <w:pPr>
        <w:pStyle w:val="ListBullet"/>
      </w:pPr>
      <w:r>
        <w:t>Do not retry SQLITE_BUSY or any other failure automatically. The existing busy_timeout remains authoritative.</w:t>
      </w:r>
    </w:p>
    <w:p>
      <w:pPr>
        <w:pStyle w:val="ListBullet"/>
      </w:pPr>
      <w:r>
        <w:t>Do not call VACUUM, ATTACH, DETACH, writable_schema, load_extension, or change HSD-006/HSD-007 pragmas.</w:t>
      </w:r>
    </w:p>
    <w:p>
      <w:pPr>
        <w:pStyle w:val="ListBullet"/>
      </w:pPr>
      <w:r>
        <w:t>Do not create a transaction during application startup merely to prove the executor exists.</w:t>
      </w:r>
    </w:p>
    <w:p>
      <w:pPr>
        <w:pStyle w:val="Heading2"/>
        <w:keepNext/>
      </w:pPr>
      <w:r>
        <w:t>8.3 Nested and re-entrant work</w:t>
      </w:r>
    </w:p>
    <w:p>
      <w:r>
        <w:t>Nested transaction semantics are intentionally prohibited at this stage. Before BEGIN, reject when connection.inTransaction is true. This covers both an externally opened transaction and a re-entrant call to the same or another executor bound to the same connection.</w:t>
      </w:r>
    </w:p>
    <w:p>
      <w:pPr>
        <w:pStyle w:val="ListBullet"/>
      </w:pPr>
      <w:r>
        <w:t>The nested callback must not run.</w:t>
      </w:r>
    </w:p>
    <w:p>
      <w:pPr>
        <w:pStyle w:val="ListBullet"/>
      </w:pPr>
      <w:r>
        <w:t>No BEGIN, COMMIT, ROLLBACK, insert, update, or delete may be attempted by the rejected nested call.</w:t>
      </w:r>
    </w:p>
    <w:p>
      <w:pPr>
        <w:pStyle w:val="ListBullet"/>
      </w:pPr>
      <w:r>
        <w:t>The outer transaction remains responsible for its own success or rollback.</w:t>
      </w:r>
    </w:p>
    <w:p>
      <w:pPr>
        <w:pStyle w:val="ListBullet"/>
      </w:pPr>
      <w:r>
        <w:t>Future savepoint support requires a separate reviewed task and must not be improvised here.</w:t>
      </w:r>
    </w:p>
    <w:p>
      <w:pPr>
        <w:pStyle w:val="Heading2"/>
        <w:keepNext/>
      </w:pPr>
      <w:r>
        <w:t>8.4 Transaction context behavior</w:t>
      </w:r>
    </w:p>
    <w:p>
      <w:pPr>
        <w:pStyle w:val="ListBullet"/>
      </w:pPr>
      <w:r>
        <w:t>Freeze the context object so callback code cannot replace the connection, ID generator, or clock functions.</w:t>
      </w:r>
    </w:p>
    <w:p>
      <w:pPr>
        <w:pStyle w:val="ListBullet"/>
      </w:pPr>
      <w:r>
        <w:t>newEntityId() validates every provider result before returning it.</w:t>
      </w:r>
    </w:p>
    <w:p>
      <w:pPr>
        <w:pStyle w:val="ListBullet"/>
      </w:pPr>
      <w:r>
        <w:t>nowUtc() validates every provider result before returning it.</w:t>
      </w:r>
    </w:p>
    <w:p>
      <w:pPr>
        <w:pStyle w:val="ListBullet"/>
      </w:pPr>
      <w:r>
        <w:t>Generating an ID or timestamp does not write to SQLite and may be called more than once inside one transaction.</w:t>
      </w:r>
    </w:p>
    <w:p>
      <w:pPr>
        <w:pStyle w:val="ListBullet"/>
      </w:pPr>
      <w:r>
        <w:t>A generator/clock validation failure is treated as a work-phase failure and rolls back the transaction.</w:t>
      </w:r>
    </w:p>
    <w:p>
      <w:pPr>
        <w:pStyle w:val="ListBullet"/>
      </w:pPr>
      <w:r>
        <w:t>Do not include actor, installation, role, clinical data, or outbox payload fields in this generic context. Those belong to later bounded services.</w:t>
      </w:r>
    </w:p>
    <w:p>
      <w:pPr>
        <w:pStyle w:val="Heading1"/>
        <w:keepNext/>
      </w:pPr>
      <w:r>
        <w:t>9. Controlled Errors and Operational Logging</w:t>
      </w:r>
    </w:p>
    <w:tbl>
      <w:tblPr>
        <w:tblStyle w:val="LightShading-Accent1"/>
        <w:tblW w:type="auto" w:w="0"/>
        <w:jc w:val="center"/>
        <w:tblLook w:firstColumn="1" w:firstRow="1" w:lastColumn="0" w:lastRow="0" w:noHBand="0" w:noVBand="1" w:val="04A0"/>
      </w:tblPr>
      <w:tblGrid>
        <w:gridCol w:w="5040"/>
        <w:gridCol w:w="5040"/>
      </w:tblGrid>
      <w:tr>
        <w:trPr>
          <w:tblHeader w:val="true"/>
          <w:cantSplit w:val="true"/>
        </w:trPr>
        <w:tc>
          <w:tcPr>
            <w:tcW w:type="dxa" w:w="3888"/>
            <w:shd w:fill="1F6F78"/>
            <w:vAlign w:val="center"/>
            <w:tcMar>
              <w:top w:w="80" w:type="dxa"/>
              <w:start w:w="100" w:type="dxa"/>
              <w:bottom w:w="80" w:type="dxa"/>
              <w:end w:w="100" w:type="dxa"/>
            </w:tcMar>
          </w:tcPr>
          <w:p>
            <w:r>
              <w:rPr>
                <w:b/>
                <w:color w:val="FFFFFF"/>
              </w:rPr>
              <w:t>Controlled error</w:t>
            </w:r>
          </w:p>
        </w:tc>
        <w:tc>
          <w:tcPr>
            <w:tcW w:type="dxa" w:w="7056"/>
            <w:shd w:fill="1F6F78"/>
            <w:vAlign w:val="center"/>
            <w:tcMar>
              <w:top w:w="80" w:type="dxa"/>
              <w:start w:w="100" w:type="dxa"/>
              <w:bottom w:w="80" w:type="dxa"/>
              <w:end w:w="100" w:type="dxa"/>
            </w:tcMar>
          </w:tcPr>
          <w:p>
            <w:r>
              <w:rPr>
                <w:b/>
                <w:color w:val="FFFFFF"/>
              </w:rPr>
              <w:t>Use</w:t>
            </w:r>
          </w:p>
        </w:tc>
      </w:tr>
      <w:tr>
        <w:trPr>
          <w:cantSplit w:val="true"/>
        </w:trPr>
        <w:tc>
          <w:tcPr>
            <w:tcW w:type="dxa" w:w="3888"/>
            <w:vAlign w:val="top"/>
            <w:tcMar>
              <w:top w:w="80" w:type="dxa"/>
              <w:start w:w="100" w:type="dxa"/>
              <w:bottom w:w="80" w:type="dxa"/>
              <w:end w:w="100" w:type="dxa"/>
            </w:tcMar>
          </w:tcPr>
          <w:p>
            <w:r>
              <w:t>DatabaseTransactionStateError</w:t>
            </w:r>
          </w:p>
        </w:tc>
        <w:tc>
          <w:tcPr>
            <w:tcW w:type="dxa" w:w="7056"/>
            <w:vAlign w:val="top"/>
            <w:tcMar>
              <w:top w:w="80" w:type="dxa"/>
              <w:start w:w="100" w:type="dxa"/>
              <w:bottom w:w="80" w:type="dxa"/>
              <w:end w:w="100" w:type="dxa"/>
            </w:tcMar>
          </w:tcPr>
          <w:p>
            <w:r>
              <w:t>Connection already in a transaction, transaction did not enter/leave the expected state, or the connection cannot support safe execution.</w:t>
            </w:r>
          </w:p>
        </w:tc>
      </w:tr>
      <w:tr>
        <w:trPr>
          <w:cantSplit w:val="true"/>
        </w:trPr>
        <w:tc>
          <w:tcPr>
            <w:tcW w:type="dxa" w:w="3888"/>
            <w:vAlign w:val="top"/>
            <w:tcMar>
              <w:top w:w="80" w:type="dxa"/>
              <w:start w:w="100" w:type="dxa"/>
              <w:bottom w:w="80" w:type="dxa"/>
              <w:end w:w="100" w:type="dxa"/>
            </w:tcMar>
          </w:tcPr>
          <w:p>
            <w:r>
              <w:t>DatabaseTransactionAsyncWorkError</w:t>
            </w:r>
          </w:p>
        </w:tc>
        <w:tc>
          <w:tcPr>
            <w:tcW w:type="dxa" w:w="7056"/>
            <w:vAlign w:val="top"/>
            <w:tcMar>
              <w:top w:w="80" w:type="dxa"/>
              <w:start w:w="100" w:type="dxa"/>
              <w:bottom w:w="80" w:type="dxa"/>
              <w:end w:w="100" w:type="dxa"/>
            </w:tcMar>
          </w:tcPr>
          <w:p>
            <w:r>
              <w:t>The callback returned a Promise or thenable and was rejected before commit.</w:t>
            </w:r>
          </w:p>
        </w:tc>
      </w:tr>
      <w:tr>
        <w:trPr>
          <w:cantSplit w:val="true"/>
        </w:trPr>
        <w:tc>
          <w:tcPr>
            <w:tcW w:type="dxa" w:w="3888"/>
            <w:vAlign w:val="top"/>
            <w:tcMar>
              <w:top w:w="80" w:type="dxa"/>
              <w:start w:w="100" w:type="dxa"/>
              <w:bottom w:w="80" w:type="dxa"/>
              <w:end w:w="100" w:type="dxa"/>
            </w:tcMar>
          </w:tcPr>
          <w:p>
            <w:r>
              <w:t>DatabaseTransactionExecutionError</w:t>
            </w:r>
          </w:p>
        </w:tc>
        <w:tc>
          <w:tcPr>
            <w:tcW w:type="dxa" w:w="7056"/>
            <w:vAlign w:val="top"/>
            <w:tcMar>
              <w:top w:w="80" w:type="dxa"/>
              <w:start w:w="100" w:type="dxa"/>
              <w:bottom w:w="80" w:type="dxa"/>
              <w:end w:w="100" w:type="dxa"/>
            </w:tcMar>
          </w:tcPr>
          <w:p>
            <w:r>
              <w:t>BEGIN, work, validation, or COMMIT failed and the transaction could not complete.</w:t>
            </w:r>
          </w:p>
        </w:tc>
      </w:tr>
      <w:tr>
        <w:trPr>
          <w:cantSplit w:val="true"/>
        </w:trPr>
        <w:tc>
          <w:tcPr>
            <w:tcW w:type="dxa" w:w="3888"/>
            <w:vAlign w:val="top"/>
            <w:tcMar>
              <w:top w:w="80" w:type="dxa"/>
              <w:start w:w="100" w:type="dxa"/>
              <w:bottom w:w="80" w:type="dxa"/>
              <w:end w:w="100" w:type="dxa"/>
            </w:tcMar>
          </w:tcPr>
          <w:p>
            <w:r>
              <w:t>EntityIdGenerationError</w:t>
            </w:r>
          </w:p>
        </w:tc>
        <w:tc>
          <w:tcPr>
            <w:tcW w:type="dxa" w:w="7056"/>
            <w:vAlign w:val="top"/>
            <w:tcMar>
              <w:top w:w="80" w:type="dxa"/>
              <w:start w:w="100" w:type="dxa"/>
              <w:bottom w:w="80" w:type="dxa"/>
              <w:end w:w="100" w:type="dxa"/>
            </w:tcMar>
          </w:tcPr>
          <w:p>
            <w:r>
              <w:t>The ID provider failed or returned a noncanonical UUID v4.</w:t>
            </w:r>
          </w:p>
        </w:tc>
      </w:tr>
      <w:tr>
        <w:trPr>
          <w:cantSplit w:val="true"/>
        </w:trPr>
        <w:tc>
          <w:tcPr>
            <w:tcW w:type="dxa" w:w="3888"/>
            <w:vAlign w:val="top"/>
            <w:tcMar>
              <w:top w:w="80" w:type="dxa"/>
              <w:start w:w="100" w:type="dxa"/>
              <w:bottom w:w="80" w:type="dxa"/>
              <w:end w:w="100" w:type="dxa"/>
            </w:tcMar>
          </w:tcPr>
          <w:p>
            <w:r>
              <w:t>UtcClockError</w:t>
            </w:r>
          </w:p>
        </w:tc>
        <w:tc>
          <w:tcPr>
            <w:tcW w:type="dxa" w:w="7056"/>
            <w:vAlign w:val="top"/>
            <w:tcMar>
              <w:top w:w="80" w:type="dxa"/>
              <w:start w:w="100" w:type="dxa"/>
              <w:bottom w:w="80" w:type="dxa"/>
              <w:end w:w="100" w:type="dxa"/>
            </w:tcMar>
          </w:tcPr>
          <w:p>
            <w:r>
              <w:t>The clock failed or returned an invalid/noncanonical UTC timestamp.</w:t>
            </w:r>
          </w:p>
        </w:tc>
      </w:tr>
    </w:tbl>
    <w:p/>
    <w:p>
      <w:pPr>
        <w:pStyle w:val="ListBullet"/>
      </w:pPr>
      <w:r>
        <w:t>Controlled errors use fixed safe messages and may retain only errorType such as SqliteError, Error, TypeError, or a controlled subtype name.</w:t>
      </w:r>
    </w:p>
    <w:p>
      <w:pPr>
        <w:pStyle w:val="ListBullet"/>
      </w:pPr>
      <w:r>
        <w:t>Do not attach raw Error.cause.</w:t>
      </w:r>
    </w:p>
    <w:p>
      <w:pPr>
        <w:pStyle w:val="ListBullet"/>
      </w:pPr>
      <w:r>
        <w:t>Clear or omit stack on controlled boundary errors, matching the migration safety pattern.</w:t>
      </w:r>
    </w:p>
    <w:p>
      <w:pPr>
        <w:pStyle w:val="ListBullet"/>
      </w:pPr>
      <w:r>
        <w:t>Do not place SQL, table/column names, database paths, UUIDs, timestamps, callback return values, or row data in error messages or enumerable properties.</w:t>
      </w:r>
    </w:p>
    <w:p>
      <w:pPr>
        <w:pStyle w:val="ListBullet"/>
      </w:pPr>
      <w:r>
        <w:t>Normal successful transactions need no operational log entry.</w:t>
      </w:r>
    </w:p>
    <w:p>
      <w:pPr>
        <w:pStyle w:val="ListBullet"/>
      </w:pPr>
      <w:r>
        <w:t>Failure log format: Database transaction failed; phase=&lt;begin|work|commit|state&gt;; errorType=&lt;safe type&gt;.</w:t>
      </w:r>
    </w:p>
    <w:p>
      <w:pPr>
        <w:pStyle w:val="ListBullet"/>
      </w:pPr>
      <w:r>
        <w:t>Rollback failure log format: Database transaction rollback failed; phase=rollback; errorType=&lt;safe type&gt;.</w:t>
      </w:r>
    </w:p>
    <w:p>
      <w:pPr>
        <w:pStyle w:val="ListBullet"/>
      </w:pPr>
      <w:r>
        <w:t>The logger is injectable. Tests must prove secrets in raw callback/native messages are absent from logs and serialized controlled errors.</w:t>
      </w:r>
    </w:p>
    <w:p>
      <w:pPr>
        <w:pStyle w:val="Heading1"/>
        <w:keepNext/>
      </w:pPr>
      <w:r>
        <w:t>10. Runtime and Architecture Integration</w:t>
      </w:r>
    </w:p>
    <w:p>
      <w:pPr>
        <w:pStyle w:val="ListNumber"/>
      </w:pPr>
      <w:r>
        <w:t>HSD-007 continues to open, configure, migrate, validate, and mark the SQLite connection ready exactly as approved.</w:t>
      </w:r>
    </w:p>
    <w:p>
      <w:pPr>
        <w:pStyle w:val="ListNumber"/>
      </w:pPr>
      <w:r>
        <w:t>HSD-008 exports a factory that can bind a transaction executor to runtime.getConnection() after successful initialization.</w:t>
      </w:r>
    </w:p>
    <w:p>
      <w:pPr>
        <w:pStyle w:val="ListNumber"/>
      </w:pPr>
      <w:r>
        <w:t>Do not create or run a transaction executor before migration and schema-contract validation succeed.</w:t>
      </w:r>
    </w:p>
    <w:p>
      <w:pPr>
        <w:pStyle w:val="ListNumber"/>
      </w:pPr>
      <w:r>
        <w:t>Do not change the current app.getHealth response, renderer status display, startup order, shutdown order, or database close behavior.</w:t>
      </w:r>
    </w:p>
    <w:p>
      <w:pPr>
        <w:pStyle w:val="ListNumber"/>
      </w:pPr>
      <w:r>
        <w:t>HSD-009 and later tasks will compose repositories and application services over this executor. HSD-008 must not anticipate their business operations.</w:t>
      </w:r>
    </w:p>
    <w:p>
      <w:pPr>
        <w:pStyle w:val="CodeBlock"/>
      </w:pPr>
      <w:r>
        <w:t>const transactionExecutor = createDatabaseTransactionExecutor({</w:t>
        <w:br/>
        <w:t xml:space="preserve">  connection: databaseRuntime.getConnection(),</w:t>
        <w:br/>
        <w:t xml:space="preserve">  idGenerator: createSystemEntityIdGenerator(),</w:t>
        <w:br/>
        <w:t xml:space="preserve">  clock: createSystemUtcClock(),</w:t>
        <w:br/>
        <w:t xml:space="preserve">  logger: console</w:t>
        <w:br/>
        <w:t>})</w:t>
      </w:r>
    </w:p>
    <w:p>
      <w:r>
        <w:t>The example is architectural guidance, not a requirement to create an unused long-lived executor in the current lifecycle. Export a production-ready factory; wire it when the first real service consumes it.</w:t>
      </w:r>
    </w:p>
    <w:p>
      <w:pPr>
        <w:pStyle w:val="Heading1"/>
        <w:keepNext/>
      </w:pPr>
      <w:r>
        <w:t>11. Testing Requirements</w:t>
      </w:r>
    </w:p>
    <w:tbl>
      <w:tblPr>
        <w:tblStyle w:val="LightShading-Accent1"/>
        <w:tblW w:type="auto" w:w="0"/>
        <w:jc w:val="center"/>
        <w:tblLook w:firstColumn="1" w:firstRow="1" w:lastColumn="0" w:lastRow="0" w:noHBand="0" w:noVBand="1" w:val="04A0"/>
      </w:tblPr>
      <w:tblGrid>
        <w:gridCol w:w="5040"/>
        <w:gridCol w:w="5040"/>
      </w:tblGrid>
      <w:tr>
        <w:trPr>
          <w:tblHeader w:val="true"/>
          <w:cantSplit w:val="true"/>
        </w:trPr>
        <w:tc>
          <w:tcPr>
            <w:tcW w:type="dxa" w:w="3168"/>
            <w:shd w:fill="1F6F78"/>
            <w:vAlign w:val="center"/>
            <w:tcMar>
              <w:top w:w="80" w:type="dxa"/>
              <w:start w:w="100" w:type="dxa"/>
              <w:bottom w:w="80" w:type="dxa"/>
              <w:end w:w="100" w:type="dxa"/>
            </w:tcMar>
          </w:tcPr>
          <w:p>
            <w:r>
              <w:rPr>
                <w:b/>
                <w:color w:val="FFFFFF"/>
              </w:rPr>
              <w:t>Test group</w:t>
            </w:r>
          </w:p>
        </w:tc>
        <w:tc>
          <w:tcPr>
            <w:tcW w:type="dxa" w:w="7776"/>
            <w:shd w:fill="1F6F78"/>
            <w:vAlign w:val="center"/>
            <w:tcMar>
              <w:top w:w="80" w:type="dxa"/>
              <w:start w:w="100" w:type="dxa"/>
              <w:bottom w:w="80" w:type="dxa"/>
              <w:end w:w="100" w:type="dxa"/>
            </w:tcMar>
          </w:tcPr>
          <w:p>
            <w:r>
              <w:rPr>
                <w:b/>
                <w:color w:val="FFFFFF"/>
              </w:rPr>
              <w:t>Minimum required cases</w:t>
            </w:r>
          </w:p>
        </w:tc>
      </w:tr>
      <w:tr>
        <w:trPr>
          <w:cantSplit w:val="true"/>
        </w:trPr>
        <w:tc>
          <w:tcPr>
            <w:tcW w:type="dxa" w:w="3168"/>
            <w:vAlign w:val="top"/>
            <w:tcMar>
              <w:top w:w="80" w:type="dxa"/>
              <w:start w:w="100" w:type="dxa"/>
              <w:bottom w:w="80" w:type="dxa"/>
              <w:end w:w="100" w:type="dxa"/>
            </w:tcMar>
          </w:tcPr>
          <w:p>
            <w:r>
              <w:t>UUID format</w:t>
            </w:r>
          </w:p>
        </w:tc>
        <w:tc>
          <w:tcPr>
            <w:tcW w:type="dxa" w:w="7776"/>
            <w:vAlign w:val="top"/>
            <w:tcMar>
              <w:top w:w="80" w:type="dxa"/>
              <w:start w:w="100" w:type="dxa"/>
              <w:bottom w:w="80" w:type="dxa"/>
              <w:end w:w="100" w:type="dxa"/>
            </w:tcMar>
          </w:tcPr>
          <w:p>
            <w:r>
              <w:t>Generate many IDs and verify lowercase canonical UUID v4 version/variant bits and uniqueness within the deterministic test sample.</w:t>
            </w:r>
          </w:p>
        </w:tc>
      </w:tr>
      <w:tr>
        <w:trPr>
          <w:cantSplit w:val="true"/>
        </w:trPr>
        <w:tc>
          <w:tcPr>
            <w:tcW w:type="dxa" w:w="3168"/>
            <w:vAlign w:val="top"/>
            <w:tcMar>
              <w:top w:w="80" w:type="dxa"/>
              <w:start w:w="100" w:type="dxa"/>
              <w:bottom w:w="80" w:type="dxa"/>
              <w:end w:w="100" w:type="dxa"/>
            </w:tcMar>
          </w:tcPr>
          <w:p>
            <w:r>
              <w:t>UUID invalid provider</w:t>
            </w:r>
          </w:p>
        </w:tc>
        <w:tc>
          <w:tcPr>
            <w:tcW w:type="dxa" w:w="7776"/>
            <w:vAlign w:val="top"/>
            <w:tcMar>
              <w:top w:w="80" w:type="dxa"/>
              <w:start w:w="100" w:type="dxa"/>
              <w:bottom w:w="80" w:type="dxa"/>
              <w:end w:w="100" w:type="dxa"/>
            </w:tcMar>
          </w:tcPr>
          <w:p>
            <w:r>
              <w:t>Injected provider returns uppercase, wrong version, malformed, blank, or secret-containing text; controlled error exposes none of it.</w:t>
            </w:r>
          </w:p>
        </w:tc>
      </w:tr>
      <w:tr>
        <w:trPr>
          <w:cantSplit w:val="true"/>
        </w:trPr>
        <w:tc>
          <w:tcPr>
            <w:tcW w:type="dxa" w:w="3168"/>
            <w:vAlign w:val="top"/>
            <w:tcMar>
              <w:top w:w="80" w:type="dxa"/>
              <w:start w:w="100" w:type="dxa"/>
              <w:bottom w:w="80" w:type="dxa"/>
              <w:end w:w="100" w:type="dxa"/>
            </w:tcMar>
          </w:tcPr>
          <w:p>
            <w:r>
              <w:t>UTC format</w:t>
            </w:r>
          </w:p>
        </w:tc>
        <w:tc>
          <w:tcPr>
            <w:tcW w:type="dxa" w:w="7776"/>
            <w:vAlign w:val="top"/>
            <w:tcMar>
              <w:top w:w="80" w:type="dxa"/>
              <w:start w:w="100" w:type="dxa"/>
              <w:bottom w:w="80" w:type="dxa"/>
              <w:end w:w="100" w:type="dxa"/>
            </w:tcMar>
          </w:tcPr>
          <w:p>
            <w:r>
              <w:t>Fixed Date produces exact millisecond UTC text ending in Z.</w:t>
            </w:r>
          </w:p>
        </w:tc>
      </w:tr>
      <w:tr>
        <w:trPr>
          <w:cantSplit w:val="true"/>
        </w:trPr>
        <w:tc>
          <w:tcPr>
            <w:tcW w:type="dxa" w:w="3168"/>
            <w:vAlign w:val="top"/>
            <w:tcMar>
              <w:top w:w="80" w:type="dxa"/>
              <w:start w:w="100" w:type="dxa"/>
              <w:bottom w:w="80" w:type="dxa"/>
              <w:end w:w="100" w:type="dxa"/>
            </w:tcMar>
          </w:tcPr>
          <w:p>
            <w:r>
              <w:t>UTC invalid provider</w:t>
            </w:r>
          </w:p>
        </w:tc>
        <w:tc>
          <w:tcPr>
            <w:tcW w:type="dxa" w:w="7776"/>
            <w:vAlign w:val="top"/>
            <w:tcMar>
              <w:top w:w="80" w:type="dxa"/>
              <w:start w:w="100" w:type="dxa"/>
              <w:bottom w:w="80" w:type="dxa"/>
              <w:end w:w="100" w:type="dxa"/>
            </w:tcMar>
          </w:tcPr>
          <w:p>
            <w:r>
              <w:t>Invalid Date, local-offset string, missing milliseconds, blank, or secret-containing value is refused without leakage.</w:t>
            </w:r>
          </w:p>
        </w:tc>
      </w:tr>
      <w:tr>
        <w:trPr>
          <w:cantSplit w:val="true"/>
        </w:trPr>
        <w:tc>
          <w:tcPr>
            <w:tcW w:type="dxa" w:w="3168"/>
            <w:vAlign w:val="top"/>
            <w:tcMar>
              <w:top w:w="80" w:type="dxa"/>
              <w:start w:w="100" w:type="dxa"/>
              <w:bottom w:w="80" w:type="dxa"/>
              <w:end w:w="100" w:type="dxa"/>
            </w:tcMar>
          </w:tcPr>
          <w:p>
            <w:r>
              <w:t>Successful transaction</w:t>
            </w:r>
          </w:p>
        </w:tc>
        <w:tc>
          <w:tcPr>
            <w:tcW w:type="dxa" w:w="7776"/>
            <w:vAlign w:val="top"/>
            <w:tcMar>
              <w:top w:w="80" w:type="dxa"/>
              <w:start w:w="100" w:type="dxa"/>
              <w:bottom w:w="80" w:type="dxa"/>
              <w:end w:w="100" w:type="dxa"/>
            </w:tcMar>
          </w:tcPr>
          <w:p>
            <w:r>
              <w:t>Insert at least two related/nonrelated temporary schema-v1 rows in one run; commit once; callback result is returned only after commit.</w:t>
            </w:r>
          </w:p>
        </w:tc>
      </w:tr>
      <w:tr>
        <w:trPr>
          <w:cantSplit w:val="true"/>
        </w:trPr>
        <w:tc>
          <w:tcPr>
            <w:tcW w:type="dxa" w:w="3168"/>
            <w:vAlign w:val="top"/>
            <w:tcMar>
              <w:top w:w="80" w:type="dxa"/>
              <w:start w:w="100" w:type="dxa"/>
              <w:bottom w:w="80" w:type="dxa"/>
              <w:end w:w="100" w:type="dxa"/>
            </w:tcMar>
          </w:tcPr>
          <w:p>
            <w:r>
              <w:t>Callback failure rollback</w:t>
            </w:r>
          </w:p>
        </w:tc>
        <w:tc>
          <w:tcPr>
            <w:tcW w:type="dxa" w:w="7776"/>
            <w:vAlign w:val="top"/>
            <w:tcMar>
              <w:top w:w="80" w:type="dxa"/>
              <w:start w:w="100" w:type="dxa"/>
              <w:bottom w:w="80" w:type="dxa"/>
              <w:end w:w="100" w:type="dxa"/>
            </w:tcMar>
          </w:tcPr>
          <w:p>
            <w:r>
              <w:t>First write succeeds, callback then throws a secret-bearing error; all writes roll back, controlled error/logs contain no secret.</w:t>
            </w:r>
          </w:p>
        </w:tc>
      </w:tr>
      <w:tr>
        <w:trPr>
          <w:cantSplit w:val="true"/>
        </w:trPr>
        <w:tc>
          <w:tcPr>
            <w:tcW w:type="dxa" w:w="3168"/>
            <w:vAlign w:val="top"/>
            <w:tcMar>
              <w:top w:w="80" w:type="dxa"/>
              <w:start w:w="100" w:type="dxa"/>
              <w:bottom w:w="80" w:type="dxa"/>
              <w:end w:w="100" w:type="dxa"/>
            </w:tcMar>
          </w:tcPr>
          <w:p>
            <w:r>
              <w:t>Constraint failure rollback</w:t>
            </w:r>
          </w:p>
        </w:tc>
        <w:tc>
          <w:tcPr>
            <w:tcW w:type="dxa" w:w="7776"/>
            <w:vAlign w:val="top"/>
            <w:tcMar>
              <w:top w:w="80" w:type="dxa"/>
              <w:start w:w="100" w:type="dxa"/>
              <w:bottom w:w="80" w:type="dxa"/>
              <w:end w:w="100" w:type="dxa"/>
            </w:tcMar>
          </w:tcPr>
          <w:p>
            <w:r>
              <w:t>A schema-v1 CHECK/UNIQUE/foreign-key failure after an earlier insert leaves no partial rows.</w:t>
            </w:r>
          </w:p>
        </w:tc>
      </w:tr>
      <w:tr>
        <w:trPr>
          <w:cantSplit w:val="true"/>
        </w:trPr>
        <w:tc>
          <w:tcPr>
            <w:tcW w:type="dxa" w:w="3168"/>
            <w:vAlign w:val="top"/>
            <w:tcMar>
              <w:top w:w="80" w:type="dxa"/>
              <w:start w:w="100" w:type="dxa"/>
              <w:bottom w:w="80" w:type="dxa"/>
              <w:end w:w="100" w:type="dxa"/>
            </w:tcMar>
          </w:tcPr>
          <w:p>
            <w:r>
              <w:t>BEGIN failure</w:t>
            </w:r>
          </w:p>
        </w:tc>
        <w:tc>
          <w:tcPr>
            <w:tcW w:type="dxa" w:w="7776"/>
            <w:vAlign w:val="top"/>
            <w:tcMar>
              <w:top w:w="80" w:type="dxa"/>
              <w:start w:w="100" w:type="dxa"/>
              <w:bottom w:w="80" w:type="dxa"/>
              <w:end w:w="100" w:type="dxa"/>
            </w:tcMar>
          </w:tcPr>
          <w:p>
            <w:r>
              <w:t>Injected/fake connection fails BEGIN; callback is never called and rollback is not attempted.</w:t>
            </w:r>
          </w:p>
        </w:tc>
      </w:tr>
      <w:tr>
        <w:trPr>
          <w:cantSplit w:val="true"/>
        </w:trPr>
        <w:tc>
          <w:tcPr>
            <w:tcW w:type="dxa" w:w="3168"/>
            <w:vAlign w:val="top"/>
            <w:tcMar>
              <w:top w:w="80" w:type="dxa"/>
              <w:start w:w="100" w:type="dxa"/>
              <w:bottom w:w="80" w:type="dxa"/>
              <w:end w:w="100" w:type="dxa"/>
            </w:tcMar>
          </w:tcPr>
          <w:p>
            <w:r>
              <w:t>COMMIT failure</w:t>
            </w:r>
          </w:p>
        </w:tc>
        <w:tc>
          <w:tcPr>
            <w:tcW w:type="dxa" w:w="7776"/>
            <w:vAlign w:val="top"/>
            <w:tcMar>
              <w:top w:w="80" w:type="dxa"/>
              <w:start w:w="100" w:type="dxa"/>
              <w:bottom w:w="80" w:type="dxa"/>
              <w:end w:w="100" w:type="dxa"/>
            </w:tcMar>
          </w:tcPr>
          <w:p>
            <w:r>
              <w:t>Fake connection reaches work, COMMIT fails, rollback is attempted once, no callback result is returned.</w:t>
            </w:r>
          </w:p>
        </w:tc>
      </w:tr>
      <w:tr>
        <w:trPr>
          <w:cantSplit w:val="true"/>
        </w:trPr>
        <w:tc>
          <w:tcPr>
            <w:tcW w:type="dxa" w:w="3168"/>
            <w:vAlign w:val="top"/>
            <w:tcMar>
              <w:top w:w="80" w:type="dxa"/>
              <w:start w:w="100" w:type="dxa"/>
              <w:bottom w:w="80" w:type="dxa"/>
              <w:end w:w="100" w:type="dxa"/>
            </w:tcMar>
          </w:tcPr>
          <w:p>
            <w:r>
              <w:t>Rollback failure</w:t>
            </w:r>
          </w:p>
        </w:tc>
        <w:tc>
          <w:tcPr>
            <w:tcW w:type="dxa" w:w="7776"/>
            <w:vAlign w:val="top"/>
            <w:tcMar>
              <w:top w:w="80" w:type="dxa"/>
              <w:start w:w="100" w:type="dxa"/>
              <w:bottom w:w="80" w:type="dxa"/>
              <w:end w:w="100" w:type="dxa"/>
            </w:tcMar>
          </w:tcPr>
          <w:p>
            <w:r>
              <w:t>Rollback throws a path/SQL/PHI-like message; original controlled transaction failure remains authoritative and logs remain safe.</w:t>
            </w:r>
          </w:p>
        </w:tc>
      </w:tr>
      <w:tr>
        <w:trPr>
          <w:cantSplit w:val="true"/>
        </w:trPr>
        <w:tc>
          <w:tcPr>
            <w:tcW w:type="dxa" w:w="3168"/>
            <w:vAlign w:val="top"/>
            <w:tcMar>
              <w:top w:w="80" w:type="dxa"/>
              <w:start w:w="100" w:type="dxa"/>
              <w:bottom w:w="80" w:type="dxa"/>
              <w:end w:w="100" w:type="dxa"/>
            </w:tcMar>
          </w:tcPr>
          <w:p>
            <w:r>
              <w:t>Pre-existing transaction</w:t>
            </w:r>
          </w:p>
        </w:tc>
        <w:tc>
          <w:tcPr>
            <w:tcW w:type="dxa" w:w="7776"/>
            <w:vAlign w:val="top"/>
            <w:tcMar>
              <w:top w:w="80" w:type="dxa"/>
              <w:start w:w="100" w:type="dxa"/>
              <w:bottom w:w="80" w:type="dxa"/>
              <w:end w:w="100" w:type="dxa"/>
            </w:tcMar>
          </w:tcPr>
          <w:p>
            <w:r>
              <w:t>Open BEGIN before executor.run; reject before callback or executor SQL and leave the caller-owned transaction intact for test cleanup.</w:t>
            </w:r>
          </w:p>
        </w:tc>
      </w:tr>
      <w:tr>
        <w:trPr>
          <w:cantSplit w:val="true"/>
        </w:trPr>
        <w:tc>
          <w:tcPr>
            <w:tcW w:type="dxa" w:w="3168"/>
            <w:vAlign w:val="top"/>
            <w:tcMar>
              <w:top w:w="80" w:type="dxa"/>
              <w:start w:w="100" w:type="dxa"/>
              <w:bottom w:w="80" w:type="dxa"/>
              <w:end w:w="100" w:type="dxa"/>
            </w:tcMar>
          </w:tcPr>
          <w:p>
            <w:r>
              <w:t>Re-entrant transaction</w:t>
            </w:r>
          </w:p>
        </w:tc>
        <w:tc>
          <w:tcPr>
            <w:tcW w:type="dxa" w:w="7776"/>
            <w:vAlign w:val="top"/>
            <w:tcMar>
              <w:top w:w="80" w:type="dxa"/>
              <w:start w:w="100" w:type="dxa"/>
              <w:bottom w:w="80" w:type="dxa"/>
              <w:end w:w="100" w:type="dxa"/>
            </w:tcMar>
          </w:tcPr>
          <w:p>
            <w:r>
              <w:t>Outer executor callback calls executor.run again; nested callback is not executed; outer transaction can choose to catch or fail deterministically.</w:t>
            </w:r>
          </w:p>
        </w:tc>
      </w:tr>
      <w:tr>
        <w:trPr>
          <w:cantSplit w:val="true"/>
        </w:trPr>
        <w:tc>
          <w:tcPr>
            <w:tcW w:type="dxa" w:w="3168"/>
            <w:vAlign w:val="top"/>
            <w:tcMar>
              <w:top w:w="80" w:type="dxa"/>
              <w:start w:w="100" w:type="dxa"/>
              <w:bottom w:w="80" w:type="dxa"/>
              <w:end w:w="100" w:type="dxa"/>
            </w:tcMar>
          </w:tcPr>
          <w:p>
            <w:r>
              <w:t>Async callback</w:t>
            </w:r>
          </w:p>
        </w:tc>
        <w:tc>
          <w:tcPr>
            <w:tcW w:type="dxa" w:w="7776"/>
            <w:vAlign w:val="top"/>
            <w:tcMar>
              <w:top w:w="80" w:type="dxa"/>
              <w:start w:w="100" w:type="dxa"/>
              <w:bottom w:w="80" w:type="dxa"/>
              <w:end w:w="100" w:type="dxa"/>
            </w:tcMar>
          </w:tcPr>
          <w:p>
            <w:r>
              <w:t>Callback returns Promise.resolve or a custom thenable; executor rolls back and throws controlled async-work error.</w:t>
            </w:r>
          </w:p>
        </w:tc>
      </w:tr>
      <w:tr>
        <w:trPr>
          <w:cantSplit w:val="true"/>
        </w:trPr>
        <w:tc>
          <w:tcPr>
            <w:tcW w:type="dxa" w:w="3168"/>
            <w:vAlign w:val="top"/>
            <w:tcMar>
              <w:top w:w="80" w:type="dxa"/>
              <w:start w:w="100" w:type="dxa"/>
              <w:bottom w:w="80" w:type="dxa"/>
              <w:end w:w="100" w:type="dxa"/>
            </w:tcMar>
          </w:tcPr>
          <w:p>
            <w:r>
              <w:t>Context immutability</w:t>
            </w:r>
          </w:p>
        </w:tc>
        <w:tc>
          <w:tcPr>
            <w:tcW w:type="dxa" w:w="7776"/>
            <w:vAlign w:val="top"/>
            <w:tcMar>
              <w:top w:w="80" w:type="dxa"/>
              <w:start w:w="100" w:type="dxa"/>
              <w:bottom w:w="80" w:type="dxa"/>
              <w:end w:w="100" w:type="dxa"/>
            </w:tcMar>
          </w:tcPr>
          <w:p>
            <w:r>
              <w:t>Object.isFrozen(context) is true and generator/clock dependencies cannot be replaced.</w:t>
            </w:r>
          </w:p>
        </w:tc>
      </w:tr>
      <w:tr>
        <w:trPr>
          <w:cantSplit w:val="true"/>
        </w:trPr>
        <w:tc>
          <w:tcPr>
            <w:tcW w:type="dxa" w:w="3168"/>
            <w:vAlign w:val="top"/>
            <w:tcMar>
              <w:top w:w="80" w:type="dxa"/>
              <w:start w:w="100" w:type="dxa"/>
              <w:bottom w:w="80" w:type="dxa"/>
              <w:end w:w="100" w:type="dxa"/>
            </w:tcMar>
          </w:tcPr>
          <w:p>
            <w:r>
              <w:t>Context validation rollback</w:t>
            </w:r>
          </w:p>
        </w:tc>
        <w:tc>
          <w:tcPr>
            <w:tcW w:type="dxa" w:w="7776"/>
            <w:vAlign w:val="top"/>
            <w:tcMar>
              <w:top w:w="80" w:type="dxa"/>
              <w:start w:w="100" w:type="dxa"/>
              <w:bottom w:w="80" w:type="dxa"/>
              <w:end w:w="100" w:type="dxa"/>
            </w:tcMar>
          </w:tcPr>
          <w:p>
            <w:r>
              <w:t>Invalid injected ID or clock output inside work causes rollback with no partial row.</w:t>
            </w:r>
          </w:p>
        </w:tc>
      </w:tr>
      <w:tr>
        <w:trPr>
          <w:cantSplit w:val="true"/>
        </w:trPr>
        <w:tc>
          <w:tcPr>
            <w:tcW w:type="dxa" w:w="3168"/>
            <w:vAlign w:val="top"/>
            <w:tcMar>
              <w:top w:w="80" w:type="dxa"/>
              <w:start w:w="100" w:type="dxa"/>
              <w:bottom w:w="80" w:type="dxa"/>
              <w:end w:w="100" w:type="dxa"/>
            </w:tcMar>
          </w:tcPr>
          <w:p>
            <w:r>
              <w:t>Physical database</w:t>
            </w:r>
          </w:p>
        </w:tc>
        <w:tc>
          <w:tcPr>
            <w:tcW w:type="dxa" w:w="7776"/>
            <w:vAlign w:val="top"/>
            <w:tcMar>
              <w:top w:w="80" w:type="dxa"/>
              <w:start w:w="100" w:type="dxa"/>
              <w:bottom w:w="80" w:type="dxa"/>
              <w:end w:w="100" w:type="dxa"/>
            </w:tcMar>
          </w:tcPr>
          <w:p>
            <w:r>
              <w:t>Use a temporary file-backed migrated schema-v1 database. Do not use the real Electron userData database or create repository artifacts.</w:t>
            </w:r>
          </w:p>
        </w:tc>
      </w:tr>
      <w:tr>
        <w:trPr>
          <w:cantSplit w:val="true"/>
        </w:trPr>
        <w:tc>
          <w:tcPr>
            <w:tcW w:type="dxa" w:w="3168"/>
            <w:vAlign w:val="top"/>
            <w:tcMar>
              <w:top w:w="80" w:type="dxa"/>
              <w:start w:w="100" w:type="dxa"/>
              <w:bottom w:w="80" w:type="dxa"/>
              <w:end w:w="100" w:type="dxa"/>
            </w:tcMar>
          </w:tcPr>
          <w:p>
            <w:r>
              <w:t>Regression</w:t>
            </w:r>
          </w:p>
        </w:tc>
        <w:tc>
          <w:tcPr>
            <w:tcW w:type="dxa" w:w="7776"/>
            <w:vAlign w:val="top"/>
            <w:tcMar>
              <w:top w:w="80" w:type="dxa"/>
              <w:start w:w="100" w:type="dxa"/>
              <w:bottom w:w="80" w:type="dxa"/>
              <w:end w:w="100" w:type="dxa"/>
            </w:tcMar>
          </w:tcPr>
          <w:p>
            <w:r>
              <w:t>All HSD-001 through HSD-007 tests continue to pass; database remains Ready in development, preview, and unpacked Windows execution.</w:t>
            </w:r>
          </w:p>
        </w:tc>
      </w:tr>
    </w:tbl>
    <w:p/>
    <w:tbl>
      <w:tblPr>
        <w:tblW w:type="auto" w:w="0"/>
        <w:jc w:val="center"/>
        <w:tblLook w:firstColumn="1" w:firstRow="1" w:lastColumn="0" w:lastRow="0" w:noHBand="0" w:noVBand="1" w:val="04A0"/>
      </w:tblPr>
      <w:tblGrid>
        <w:gridCol w:w="10080"/>
      </w:tblGrid>
      <w:tr>
        <w:tc>
          <w:tcPr>
            <w:tcW w:type="dxa" w:w="10080"/>
            <w:shd w:fill="FFF4CE"/>
            <w:tcMar>
              <w:top w:w="150" w:type="dxa"/>
              <w:start w:w="180" w:type="dxa"/>
              <w:bottom w:w="150" w:type="dxa"/>
              <w:end w:w="180" w:type="dxa"/>
            </w:tcMar>
          </w:tcPr>
          <w:p>
            <w:r>
              <w:rPr>
                <w:b/>
                <w:color w:val="173F46"/>
              </w:rPr>
              <w:t>Data safety: Integration tests may insert clearly synthetic values only in temporary directories and must remove the database, WAL, and SHM files in finally blocks. Never delete or mutate the user’s real local database for HSD-008 testing.</w:t>
            </w:r>
          </w:p>
        </w:tc>
      </w:tr>
    </w:tbl>
    <w:p/>
    <w:p>
      <w:pPr>
        <w:pStyle w:val="Heading1"/>
        <w:keepNext/>
      </w:pPr>
      <w:r>
        <w:t>12. Test Design Constraints</w:t>
      </w:r>
    </w:p>
    <w:p>
      <w:pPr>
        <w:pStyle w:val="ListBullet"/>
      </w:pPr>
      <w:r>
        <w:t>Use real better-sqlite3 and the production HSD-007 migration runner for core atomicity tests.</w:t>
      </w:r>
    </w:p>
    <w:p>
      <w:pPr>
        <w:pStyle w:val="ListBullet"/>
      </w:pPr>
      <w:r>
        <w:t>Use narrow fake connections only for failure modes that SQLite cannot reliably induce, such as COMMIT or ROLLBACK failure.</w:t>
      </w:r>
    </w:p>
    <w:p>
      <w:pPr>
        <w:pStyle w:val="ListBullet"/>
      </w:pPr>
      <w:r>
        <w:t>Do not mock away connection.inTransaction behavior in the successful and rollback integration paths.</w:t>
      </w:r>
    </w:p>
    <w:p>
      <w:pPr>
        <w:pStyle w:val="ListBullet"/>
      </w:pPr>
      <w:r>
        <w:t>Assert row counts and values after close/reopen where durability matters.</w:t>
      </w:r>
    </w:p>
    <w:p>
      <w:pPr>
        <w:pStyle w:val="ListBullet"/>
      </w:pPr>
      <w:r>
        <w:t>Assert the transaction is not left open after successful commit or handled failure.</w:t>
      </w:r>
    </w:p>
    <w:p>
      <w:pPr>
        <w:pStyle w:val="ListBullet"/>
      </w:pPr>
      <w:r>
        <w:t>Assert no second production migration exists and PRAGMA user_version remains 1.</w:t>
      </w:r>
    </w:p>
    <w:p>
      <w:pPr>
        <w:pStyle w:val="ListBullet"/>
      </w:pPr>
      <w:r>
        <w:t>Do not introduce timing-dependent sleep tests.</w:t>
      </w:r>
    </w:p>
    <w:p>
      <w:pPr>
        <w:pStyle w:val="ListBullet"/>
      </w:pPr>
      <w:r>
        <w:t>Do not use renderer, IPC, or browser automation to test main-process transaction internals.</w:t>
      </w:r>
    </w:p>
    <w:p>
      <w:pPr>
        <w:pStyle w:val="Heading1"/>
        <w:keepNext/>
      </w:pPr>
      <w:r>
        <w:t>13. Documentation Requirements</w:t>
      </w:r>
    </w:p>
    <w:p>
      <w:pPr>
        <w:pStyle w:val="Heading2"/>
        <w:keepNext/>
      </w:pPr>
      <w:r>
        <w:t>13.1 ADR-006 - Client-generated UUID strategy</w:t>
      </w:r>
    </w:p>
    <w:p>
      <w:r>
        <w:t>Document the decision to generate random UUID v4 identifiers in trusted main-process application code before local persistence. Explain why this supports offline creation, stable foreign keys, future sync idempotency, and interoperability while avoiding database-sequence dependence.</w:t>
      </w:r>
    </w:p>
    <w:p>
      <w:pPr>
        <w:pStyle w:val="ListBullet"/>
      </w:pPr>
      <w:r>
        <w:t>Record crypto.randomUUID as the selected implementation.</w:t>
      </w:r>
    </w:p>
    <w:p>
      <w:pPr>
        <w:pStyle w:val="ListBullet"/>
      </w:pPr>
      <w:r>
        <w:t>Reject integer autoincrement IDs, timestamp IDs, MAC/device-derived identifiers, renderer-generated IDs, and third-party UUID dependencies for this phase.</w:t>
      </w:r>
    </w:p>
    <w:p>
      <w:pPr>
        <w:pStyle w:val="ListBullet"/>
      </w:pPr>
      <w:r>
        <w:t>State that UUIDs are identifiers, not secrets, but are still excluded from routine transaction logs.</w:t>
      </w:r>
    </w:p>
    <w:p>
      <w:pPr>
        <w:pStyle w:val="ListBullet"/>
      </w:pPr>
      <w:r>
        <w:t>State that human-readable patient codes are a separate future domain identifier and do not replace entity UUIDs.</w:t>
      </w:r>
    </w:p>
    <w:p>
      <w:pPr>
        <w:pStyle w:val="Heading2"/>
        <w:keepNext/>
      </w:pPr>
      <w:r>
        <w:t>13.2 Transaction boundary documentation</w:t>
      </w:r>
    </w:p>
    <w:p>
      <w:pPr>
        <w:pStyle w:val="ListBullet"/>
      </w:pPr>
      <w:r>
        <w:t>Explain synchronous better-sqlite3 transaction requirements and why callbacks must not return Promise/thenable values.</w:t>
      </w:r>
    </w:p>
    <w:p>
      <w:pPr>
        <w:pStyle w:val="ListBullet"/>
      </w:pPr>
      <w:r>
        <w:t>Document BEGIN IMMEDIATE, no nesting, no savepoints, no automatic retry, and rollback-on-failure rules.</w:t>
      </w:r>
    </w:p>
    <w:p>
      <w:pPr>
        <w:pStyle w:val="ListBullet"/>
      </w:pPr>
      <w:r>
        <w:t>Define safe log phases and controlled error behavior.</w:t>
      </w:r>
    </w:p>
    <w:p>
      <w:pPr>
        <w:pStyle w:val="ListBullet"/>
      </w:pPr>
      <w:r>
        <w:t>Provide a future repository usage example that creates synthetic records without defining a production use case.</w:t>
      </w:r>
    </w:p>
    <w:p>
      <w:pPr>
        <w:pStyle w:val="ListBullet"/>
      </w:pPr>
      <w:r>
        <w:t>State that all future multi-record writes, including audit and outbox writes, must use this boundary unless a later ADR explicitly supersedes it.</w:t>
      </w:r>
    </w:p>
    <w:p>
      <w:pPr>
        <w:pStyle w:val="Heading1"/>
        <w:keepNext/>
      </w:pPr>
      <w:r>
        <w:t>14. Explicit Prohibitions</w:t>
      </w:r>
    </w:p>
    <w:p>
      <w:pPr>
        <w:pStyle w:val="ListBullet"/>
      </w:pPr>
      <w:r>
        <w:t>Do not add migration 0002 or modify 0001-initial-schema.sql.</w:t>
      </w:r>
    </w:p>
    <w:p>
      <w:pPr>
        <w:pStyle w:val="ListBullet"/>
      </w:pPr>
      <w:r>
        <w:t>Do not edit schemaVersion1 contracts, ledger logic, migration checksums, or HSD-007 history unless a failing regression proves a defect directly caused by HSD-008.</w:t>
      </w:r>
    </w:p>
    <w:p>
      <w:pPr>
        <w:pStyle w:val="ListBullet"/>
      </w:pPr>
      <w:r>
        <w:t>Do not create installation, user, location, protocol, patient, consent, encounter, BP, referral, follow-up, audit, outbox, sync-attempt, or settings records in production startup.</w:t>
      </w:r>
    </w:p>
    <w:p>
      <w:pPr>
        <w:pStyle w:val="ListBullet"/>
      </w:pPr>
      <w:r>
        <w:t>Do not create repositories or application services for those tables.</w:t>
      </w:r>
    </w:p>
    <w:p>
      <w:pPr>
        <w:pStyle w:val="ListBullet"/>
      </w:pPr>
      <w:r>
        <w:t>Do not add IPC operations or expose raw transaction, connection, generator, clock, SQL, or repository primitives to preload or renderer code.</w:t>
      </w:r>
    </w:p>
    <w:p>
      <w:pPr>
        <w:pStyle w:val="ListBullet"/>
      </w:pPr>
      <w:r>
        <w:t>Do not accept IDs or authoritative timestamps from the renderer.</w:t>
      </w:r>
    </w:p>
    <w:p>
      <w:pPr>
        <w:pStyle w:val="ListBullet"/>
      </w:pPr>
      <w:r>
        <w:t>Do not use async/await inside transaction work.</w:t>
      </w:r>
    </w:p>
    <w:p>
      <w:pPr>
        <w:pStyle w:val="ListBullet"/>
      </w:pPr>
      <w:r>
        <w:t>Do not add savepoints, nested transaction support, automatic retry, or busy-loop logic.</w:t>
      </w:r>
    </w:p>
    <w:p>
      <w:pPr>
        <w:pStyle w:val="ListBullet"/>
      </w:pPr>
      <w:r>
        <w:t>Do not add ORM, UUID, date, logging, or transaction libraries.</w:t>
      </w:r>
    </w:p>
    <w:p>
      <w:pPr>
        <w:pStyle w:val="ListBullet"/>
      </w:pPr>
      <w:r>
        <w:t>Do not add authentication, clinical classification, protocol behavior, synchronization, FHIR, web, portal, AI, backup, restore, printing, or UI redesign.</w:t>
      </w:r>
    </w:p>
    <w:p>
      <w:pPr>
        <w:pStyle w:val="Heading1"/>
        <w:keepNext/>
      </w:pPr>
      <w:r>
        <w:t>15. Required Commands and Evidence</w:t>
      </w:r>
    </w:p>
    <w:p>
      <w:pPr>
        <w:pStyle w:val="CodeBlock"/>
      </w:pPr>
      <w:r>
        <w:t>pnpm install</w:t>
        <w:br/>
        <w:t>pnpm format:check</w:t>
        <w:br/>
        <w:t>pnpm lint</w:t>
        <w:br/>
        <w:t>pnpm typecheck</w:t>
        <w:br/>
        <w:t>pnpm test</w:t>
        <w:br/>
        <w:t>pnpm verify</w:t>
        <w:br/>
        <w:t>pnpm build</w:t>
      </w:r>
    </w:p>
    <w:p>
      <w:r>
        <w:t>After automated gates pass, run all existing runtime modes:</w:t>
      </w:r>
    </w:p>
    <w:p>
      <w:pPr>
        <w:pStyle w:val="CodeBlock"/>
      </w:pPr>
      <w:r>
        <w:t>pnpm dev</w:t>
        <w:br/>
        <w:t>pnpm start</w:t>
        <w:br/>
        <w:t>pnpm build:unpack</w:t>
        <w:br/>
        <w:t>find dist/win-unpacked -type f -iname "*.node"</w:t>
        <w:br/>
        <w:t>./dist/win-unpacked/health-screening-desktop.exe</w:t>
      </w:r>
    </w:p>
    <w:p>
      <w:pPr>
        <w:pStyle w:val="ListBullet"/>
      </w:pPr>
      <w:r>
        <w:t>Development, preview, and unpacked execution must still display Database: Ready and Desktop IPC: Available.</w:t>
      </w:r>
    </w:p>
    <w:p>
      <w:pPr>
        <w:pStyle w:val="ListBullet"/>
      </w:pPr>
      <w:r>
        <w:t>The packaged application must not display a new transaction or foundation UI.</w:t>
      </w:r>
    </w:p>
    <w:p>
      <w:pPr>
        <w:pStyle w:val="ListBullet"/>
      </w:pPr>
      <w:r>
        <w:t>Startup must not insert rows or produce transaction-success logs.</w:t>
      </w:r>
    </w:p>
    <w:p>
      <w:pPr>
        <w:pStyle w:val="ListBullet"/>
      </w:pPr>
      <w:r>
        <w:t>better_sqlite3.node must remain present in unpacked output.</w:t>
      </w:r>
    </w:p>
    <w:p>
      <w:pPr>
        <w:pStyle w:val="ListBullet"/>
      </w:pPr>
      <w:r>
        <w:t>Run git status and git diff --stat after all verification. The working tree must be clean after the commit.</w:t>
      </w:r>
    </w:p>
    <w:p>
      <w:pPr>
        <w:pStyle w:val="Heading1"/>
        <w:keepNext/>
      </w:pPr>
      <w:r>
        <w:t>16. Commit and Push Requirements</w:t>
      </w:r>
    </w:p>
    <w:p>
      <w:r>
        <w:t>Create one primary implementation commit after all required files and tests pass:</w:t>
      </w:r>
    </w:p>
    <w:p>
      <w:pPr>
        <w:pStyle w:val="CodeBlock"/>
      </w:pPr>
      <w:r>
        <w:t>git add .</w:t>
        <w:br/>
        <w:t>git commit -m "feat: establish transactional data foundation"</w:t>
        <w:br/>
        <w:t>git push -u origin feature/hsd-008-transaction-foundation</w:t>
      </w:r>
    </w:p>
    <w:p>
      <w:pPr>
        <w:pStyle w:val="ListBullet"/>
      </w:pPr>
      <w:r>
        <w:t>Do not include generated out/, dist/, SQLite, WAL, SHM, log, or temporary test artifacts.</w:t>
      </w:r>
    </w:p>
    <w:p>
      <w:pPr>
        <w:pStyle w:val="ListBullet"/>
      </w:pPr>
      <w:r>
        <w:t>Do not amend or rewrite the primary commit after review begins. Corrections must use a separate descriptive fix commit.</w:t>
      </w:r>
    </w:p>
    <w:p>
      <w:pPr>
        <w:pStyle w:val="ListBullet"/>
      </w:pPr>
      <w:r>
        <w:t>Provide the commit SHA, changed-file summary, test counts, runtime evidence, and git status to the reviewer.</w:t>
      </w:r>
    </w:p>
    <w:p>
      <w:pPr>
        <w:pStyle w:val="ListBullet"/>
      </w:pPr>
      <w:r>
        <w:t>Do not merge the branch until the implementation and local native/package evidence are approved.</w:t>
      </w:r>
    </w:p>
    <w:p>
      <w:pPr>
        <w:pStyle w:val="Heading1"/>
        <w:keepNext/>
      </w:pPr>
      <w:r>
        <w:t>17. Reviewer Checklist</w:t>
      </w:r>
    </w:p>
    <w:tbl>
      <w:tblPr>
        <w:tblStyle w:val="LightShading-Accent1"/>
        <w:tblW w:type="auto" w:w="0"/>
        <w:jc w:val="center"/>
        <w:tblLook w:firstColumn="1" w:firstRow="1" w:lastColumn="0" w:lastRow="0" w:noHBand="0" w:noVBand="1" w:val="04A0"/>
      </w:tblPr>
      <w:tblGrid>
        <w:gridCol w:w="5040"/>
        <w:gridCol w:w="5040"/>
      </w:tblGrid>
      <w:tr>
        <w:trPr>
          <w:tblHeader w:val="true"/>
          <w:cantSplit w:val="true"/>
        </w:trPr>
        <w:tc>
          <w:tcPr>
            <w:tcW w:type="dxa" w:w="3168"/>
            <w:shd w:fill="1F6F78"/>
            <w:vAlign w:val="center"/>
            <w:tcMar>
              <w:top w:w="80" w:type="dxa"/>
              <w:start w:w="100" w:type="dxa"/>
              <w:bottom w:w="80" w:type="dxa"/>
              <w:end w:w="100" w:type="dxa"/>
            </w:tcMar>
          </w:tcPr>
          <w:p>
            <w:r>
              <w:rPr>
                <w:b/>
                <w:color w:val="FFFFFF"/>
              </w:rPr>
              <w:t>Reviewer check</w:t>
            </w:r>
          </w:p>
        </w:tc>
        <w:tc>
          <w:tcPr>
            <w:tcW w:type="dxa" w:w="7776"/>
            <w:shd w:fill="1F6F78"/>
            <w:vAlign w:val="center"/>
            <w:tcMar>
              <w:top w:w="80" w:type="dxa"/>
              <w:start w:w="100" w:type="dxa"/>
              <w:bottom w:w="80" w:type="dxa"/>
              <w:end w:w="100" w:type="dxa"/>
            </w:tcMar>
          </w:tcPr>
          <w:p>
            <w:r>
              <w:rPr>
                <w:b/>
                <w:color w:val="FFFFFF"/>
              </w:rPr>
              <w:t>Pass condition</w:t>
            </w:r>
          </w:p>
        </w:tc>
      </w:tr>
      <w:tr>
        <w:trPr>
          <w:cantSplit w:val="true"/>
        </w:trPr>
        <w:tc>
          <w:tcPr>
            <w:tcW w:type="dxa" w:w="3168"/>
            <w:vAlign w:val="top"/>
            <w:tcMar>
              <w:top w:w="80" w:type="dxa"/>
              <w:start w:w="100" w:type="dxa"/>
              <w:bottom w:w="80" w:type="dxa"/>
              <w:end w:w="100" w:type="dxa"/>
            </w:tcMar>
          </w:tcPr>
          <w:p>
            <w:r>
              <w:t>Branch ancestry</w:t>
            </w:r>
          </w:p>
        </w:tc>
        <w:tc>
          <w:tcPr>
            <w:tcW w:type="dxa" w:w="7776"/>
            <w:vAlign w:val="top"/>
            <w:tcMar>
              <w:top w:w="80" w:type="dxa"/>
              <w:start w:w="100" w:type="dxa"/>
              <w:bottom w:w="80" w:type="dxa"/>
              <w:end w:w="100" w:type="dxa"/>
            </w:tcMar>
          </w:tcPr>
          <w:p>
            <w:r>
              <w:t>Based exactly on merged HSD-007 main at a94aa54.</w:t>
            </w:r>
          </w:p>
        </w:tc>
      </w:tr>
      <w:tr>
        <w:trPr>
          <w:cantSplit w:val="true"/>
        </w:trPr>
        <w:tc>
          <w:tcPr>
            <w:tcW w:type="dxa" w:w="3168"/>
            <w:vAlign w:val="top"/>
            <w:tcMar>
              <w:top w:w="80" w:type="dxa"/>
              <w:start w:w="100" w:type="dxa"/>
              <w:bottom w:w="80" w:type="dxa"/>
              <w:end w:w="100" w:type="dxa"/>
            </w:tcMar>
          </w:tcPr>
          <w:p>
            <w:r>
              <w:t>Dependencies</w:t>
            </w:r>
          </w:p>
        </w:tc>
        <w:tc>
          <w:tcPr>
            <w:tcW w:type="dxa" w:w="7776"/>
            <w:vAlign w:val="top"/>
            <w:tcMar>
              <w:top w:w="80" w:type="dxa"/>
              <w:start w:w="100" w:type="dxa"/>
              <w:bottom w:w="80" w:type="dxa"/>
              <w:end w:w="100" w:type="dxa"/>
            </w:tcMar>
          </w:tcPr>
          <w:p>
            <w:r>
              <w:t>package.json and pnpm-lock.yaml unchanged.</w:t>
            </w:r>
          </w:p>
        </w:tc>
      </w:tr>
      <w:tr>
        <w:trPr>
          <w:cantSplit w:val="true"/>
        </w:trPr>
        <w:tc>
          <w:tcPr>
            <w:tcW w:type="dxa" w:w="3168"/>
            <w:vAlign w:val="top"/>
            <w:tcMar>
              <w:top w:w="80" w:type="dxa"/>
              <w:start w:w="100" w:type="dxa"/>
              <w:bottom w:w="80" w:type="dxa"/>
              <w:end w:w="100" w:type="dxa"/>
            </w:tcMar>
          </w:tcPr>
          <w:p>
            <w:r>
              <w:t>Schema</w:t>
            </w:r>
          </w:p>
        </w:tc>
        <w:tc>
          <w:tcPr>
            <w:tcW w:type="dxa" w:w="7776"/>
            <w:vAlign w:val="top"/>
            <w:tcMar>
              <w:top w:w="80" w:type="dxa"/>
              <w:start w:w="100" w:type="dxa"/>
              <w:bottom w:w="80" w:type="dxa"/>
              <w:end w:w="100" w:type="dxa"/>
            </w:tcMar>
          </w:tcPr>
          <w:p>
            <w:r>
              <w:t>No migration or schema-v1 SQL/contract change; user_version remains 1.</w:t>
            </w:r>
          </w:p>
        </w:tc>
      </w:tr>
      <w:tr>
        <w:trPr>
          <w:cantSplit w:val="true"/>
        </w:trPr>
        <w:tc>
          <w:tcPr>
            <w:tcW w:type="dxa" w:w="3168"/>
            <w:vAlign w:val="top"/>
            <w:tcMar>
              <w:top w:w="80" w:type="dxa"/>
              <w:start w:w="100" w:type="dxa"/>
              <w:bottom w:w="80" w:type="dxa"/>
              <w:end w:w="100" w:type="dxa"/>
            </w:tcMar>
          </w:tcPr>
          <w:p>
            <w:r>
              <w:t>Identity</w:t>
            </w:r>
          </w:p>
        </w:tc>
        <w:tc>
          <w:tcPr>
            <w:tcW w:type="dxa" w:w="7776"/>
            <w:vAlign w:val="top"/>
            <w:tcMar>
              <w:top w:w="80" w:type="dxa"/>
              <w:start w:w="100" w:type="dxa"/>
              <w:bottom w:w="80" w:type="dxa"/>
              <w:end w:w="100" w:type="dxa"/>
            </w:tcMar>
          </w:tcPr>
          <w:p>
            <w:r>
              <w:t>System IDs are canonical lowercase UUID v4 from crypto.randomUUID and provider output is validated.</w:t>
            </w:r>
          </w:p>
        </w:tc>
      </w:tr>
      <w:tr>
        <w:trPr>
          <w:cantSplit w:val="true"/>
        </w:trPr>
        <w:tc>
          <w:tcPr>
            <w:tcW w:type="dxa" w:w="3168"/>
            <w:vAlign w:val="top"/>
            <w:tcMar>
              <w:top w:w="80" w:type="dxa"/>
              <w:start w:w="100" w:type="dxa"/>
              <w:bottom w:w="80" w:type="dxa"/>
              <w:end w:w="100" w:type="dxa"/>
            </w:tcMar>
          </w:tcPr>
          <w:p>
            <w:r>
              <w:t>Time</w:t>
            </w:r>
          </w:p>
        </w:tc>
        <w:tc>
          <w:tcPr>
            <w:tcW w:type="dxa" w:w="7776"/>
            <w:vAlign w:val="top"/>
            <w:tcMar>
              <w:top w:w="80" w:type="dxa"/>
              <w:start w:w="100" w:type="dxa"/>
              <w:bottom w:w="80" w:type="dxa"/>
              <w:end w:w="100" w:type="dxa"/>
            </w:tcMar>
          </w:tcPr>
          <w:p>
            <w:r>
              <w:t>System timestamps are canonical UTC RFC 3339 with milliseconds and injected output is validated.</w:t>
            </w:r>
          </w:p>
        </w:tc>
      </w:tr>
      <w:tr>
        <w:trPr>
          <w:cantSplit w:val="true"/>
        </w:trPr>
        <w:tc>
          <w:tcPr>
            <w:tcW w:type="dxa" w:w="3168"/>
            <w:vAlign w:val="top"/>
            <w:tcMar>
              <w:top w:w="80" w:type="dxa"/>
              <w:start w:w="100" w:type="dxa"/>
              <w:bottom w:w="80" w:type="dxa"/>
              <w:end w:w="100" w:type="dxa"/>
            </w:tcMar>
          </w:tcPr>
          <w:p>
            <w:r>
              <w:t>Transaction begin</w:t>
            </w:r>
          </w:p>
        </w:tc>
        <w:tc>
          <w:tcPr>
            <w:tcW w:type="dxa" w:w="7776"/>
            <w:vAlign w:val="top"/>
            <w:tcMar>
              <w:top w:w="80" w:type="dxa"/>
              <w:start w:w="100" w:type="dxa"/>
              <w:bottom w:w="80" w:type="dxa"/>
              <w:end w:w="100" w:type="dxa"/>
            </w:tcMar>
          </w:tcPr>
          <w:p>
            <w:r>
              <w:t>BEGIN IMMEDIATE is used and pre-existing transactions are rejected before work.</w:t>
            </w:r>
          </w:p>
        </w:tc>
      </w:tr>
      <w:tr>
        <w:trPr>
          <w:cantSplit w:val="true"/>
        </w:trPr>
        <w:tc>
          <w:tcPr>
            <w:tcW w:type="dxa" w:w="3168"/>
            <w:vAlign w:val="top"/>
            <w:tcMar>
              <w:top w:w="80" w:type="dxa"/>
              <w:start w:w="100" w:type="dxa"/>
              <w:bottom w:w="80" w:type="dxa"/>
              <w:end w:w="100" w:type="dxa"/>
            </w:tcMar>
          </w:tcPr>
          <w:p>
            <w:r>
              <w:t>Synchronous only</w:t>
            </w:r>
          </w:p>
        </w:tc>
        <w:tc>
          <w:tcPr>
            <w:tcW w:type="dxa" w:w="7776"/>
            <w:vAlign w:val="top"/>
            <w:tcMar>
              <w:top w:w="80" w:type="dxa"/>
              <w:start w:w="100" w:type="dxa"/>
              <w:bottom w:w="80" w:type="dxa"/>
              <w:end w:w="100" w:type="dxa"/>
            </w:tcMar>
          </w:tcPr>
          <w:p>
            <w:r>
              <w:t>Promise and thenable results are rejected and rolled back.</w:t>
            </w:r>
          </w:p>
        </w:tc>
      </w:tr>
      <w:tr>
        <w:trPr>
          <w:cantSplit w:val="true"/>
        </w:trPr>
        <w:tc>
          <w:tcPr>
            <w:tcW w:type="dxa" w:w="3168"/>
            <w:vAlign w:val="top"/>
            <w:tcMar>
              <w:top w:w="80" w:type="dxa"/>
              <w:start w:w="100" w:type="dxa"/>
              <w:bottom w:w="80" w:type="dxa"/>
              <w:end w:w="100" w:type="dxa"/>
            </w:tcMar>
          </w:tcPr>
          <w:p>
            <w:r>
              <w:t>Atomicity</w:t>
            </w:r>
          </w:p>
        </w:tc>
        <w:tc>
          <w:tcPr>
            <w:tcW w:type="dxa" w:w="7776"/>
            <w:vAlign w:val="top"/>
            <w:tcMar>
              <w:top w:w="80" w:type="dxa"/>
              <w:start w:w="100" w:type="dxa"/>
              <w:bottom w:w="80" w:type="dxa"/>
              <w:end w:w="100" w:type="dxa"/>
            </w:tcMar>
          </w:tcPr>
          <w:p>
            <w:r>
              <w:t>Success commits all writes; work/constraint/commit failures expose no partial rows.</w:t>
            </w:r>
          </w:p>
        </w:tc>
      </w:tr>
      <w:tr>
        <w:trPr>
          <w:cantSplit w:val="true"/>
        </w:trPr>
        <w:tc>
          <w:tcPr>
            <w:tcW w:type="dxa" w:w="3168"/>
            <w:vAlign w:val="top"/>
            <w:tcMar>
              <w:top w:w="80" w:type="dxa"/>
              <w:start w:w="100" w:type="dxa"/>
              <w:bottom w:w="80" w:type="dxa"/>
              <w:end w:w="100" w:type="dxa"/>
            </w:tcMar>
          </w:tcPr>
          <w:p>
            <w:r>
              <w:t>Rollback</w:t>
            </w:r>
          </w:p>
        </w:tc>
        <w:tc>
          <w:tcPr>
            <w:tcW w:type="dxa" w:w="7776"/>
            <w:vAlign w:val="top"/>
            <w:tcMar>
              <w:top w:w="80" w:type="dxa"/>
              <w:start w:w="100" w:type="dxa"/>
              <w:bottom w:w="80" w:type="dxa"/>
              <w:end w:w="100" w:type="dxa"/>
            </w:tcMar>
          </w:tcPr>
          <w:p>
            <w:r>
              <w:t>Attempted at most once after a begun transaction; rollback failure does not replace the original controlled failure.</w:t>
            </w:r>
          </w:p>
        </w:tc>
      </w:tr>
      <w:tr>
        <w:trPr>
          <w:cantSplit w:val="true"/>
        </w:trPr>
        <w:tc>
          <w:tcPr>
            <w:tcW w:type="dxa" w:w="3168"/>
            <w:vAlign w:val="top"/>
            <w:tcMar>
              <w:top w:w="80" w:type="dxa"/>
              <w:start w:w="100" w:type="dxa"/>
              <w:bottom w:w="80" w:type="dxa"/>
              <w:end w:w="100" w:type="dxa"/>
            </w:tcMar>
          </w:tcPr>
          <w:p>
            <w:r>
              <w:t>Nesting</w:t>
            </w:r>
          </w:p>
        </w:tc>
        <w:tc>
          <w:tcPr>
            <w:tcW w:type="dxa" w:w="7776"/>
            <w:vAlign w:val="top"/>
            <w:tcMar>
              <w:top w:w="80" w:type="dxa"/>
              <w:start w:w="100" w:type="dxa"/>
              <w:bottom w:w="80" w:type="dxa"/>
              <w:end w:w="100" w:type="dxa"/>
            </w:tcMar>
          </w:tcPr>
          <w:p>
            <w:r>
              <w:t>Re-entrant/nested work is refused; no savepoint behavior added.</w:t>
            </w:r>
          </w:p>
        </w:tc>
      </w:tr>
      <w:tr>
        <w:trPr>
          <w:cantSplit w:val="true"/>
        </w:trPr>
        <w:tc>
          <w:tcPr>
            <w:tcW w:type="dxa" w:w="3168"/>
            <w:vAlign w:val="top"/>
            <w:tcMar>
              <w:top w:w="80" w:type="dxa"/>
              <w:start w:w="100" w:type="dxa"/>
              <w:bottom w:w="80" w:type="dxa"/>
              <w:end w:w="100" w:type="dxa"/>
            </w:tcMar>
          </w:tcPr>
          <w:p>
            <w:r>
              <w:t>Errors</w:t>
            </w:r>
          </w:p>
        </w:tc>
        <w:tc>
          <w:tcPr>
            <w:tcW w:type="dxa" w:w="7776"/>
            <w:vAlign w:val="top"/>
            <w:tcMar>
              <w:top w:w="80" w:type="dxa"/>
              <w:start w:w="100" w:type="dxa"/>
              <w:bottom w:w="80" w:type="dxa"/>
              <w:end w:w="100" w:type="dxa"/>
            </w:tcMar>
          </w:tcPr>
          <w:p>
            <w:r>
              <w:t>No raw cause or stack; only fixed message and optional sanitized errorType.</w:t>
            </w:r>
          </w:p>
        </w:tc>
      </w:tr>
      <w:tr>
        <w:trPr>
          <w:cantSplit w:val="true"/>
        </w:trPr>
        <w:tc>
          <w:tcPr>
            <w:tcW w:type="dxa" w:w="3168"/>
            <w:vAlign w:val="top"/>
            <w:tcMar>
              <w:top w:w="80" w:type="dxa"/>
              <w:start w:w="100" w:type="dxa"/>
              <w:bottom w:w="80" w:type="dxa"/>
              <w:end w:w="100" w:type="dxa"/>
            </w:tcMar>
          </w:tcPr>
          <w:p>
            <w:r>
              <w:t>Logs</w:t>
            </w:r>
          </w:p>
        </w:tc>
        <w:tc>
          <w:tcPr>
            <w:tcW w:type="dxa" w:w="7776"/>
            <w:vAlign w:val="top"/>
            <w:tcMar>
              <w:top w:w="80" w:type="dxa"/>
              <w:start w:w="100" w:type="dxa"/>
              <w:bottom w:w="80" w:type="dxa"/>
              <w:end w:w="100" w:type="dxa"/>
            </w:tcMar>
          </w:tcPr>
          <w:p>
            <w:r>
              <w:t>Only fixed event/phase/errorType; no SQL, path, IDs, timestamps, values, or clinical-like secrets.</w:t>
            </w:r>
          </w:p>
        </w:tc>
      </w:tr>
      <w:tr>
        <w:trPr>
          <w:cantSplit w:val="true"/>
        </w:trPr>
        <w:tc>
          <w:tcPr>
            <w:tcW w:type="dxa" w:w="3168"/>
            <w:vAlign w:val="top"/>
            <w:tcMar>
              <w:top w:w="80" w:type="dxa"/>
              <w:start w:w="100" w:type="dxa"/>
              <w:bottom w:w="80" w:type="dxa"/>
              <w:end w:w="100" w:type="dxa"/>
            </w:tcMar>
          </w:tcPr>
          <w:p>
            <w:r>
              <w:t>Context</w:t>
            </w:r>
          </w:p>
        </w:tc>
        <w:tc>
          <w:tcPr>
            <w:tcW w:type="dxa" w:w="7776"/>
            <w:vAlign w:val="top"/>
            <w:tcMar>
              <w:top w:w="80" w:type="dxa"/>
              <w:start w:w="100" w:type="dxa"/>
              <w:bottom w:w="80" w:type="dxa"/>
              <w:end w:w="100" w:type="dxa"/>
            </w:tcMar>
          </w:tcPr>
          <w:p>
            <w:r>
              <w:t>Frozen, main-only, and contains only connection/newEntityId/nowUtc.</w:t>
            </w:r>
          </w:p>
        </w:tc>
      </w:tr>
      <w:tr>
        <w:trPr>
          <w:cantSplit w:val="true"/>
        </w:trPr>
        <w:tc>
          <w:tcPr>
            <w:tcW w:type="dxa" w:w="3168"/>
            <w:vAlign w:val="top"/>
            <w:tcMar>
              <w:top w:w="80" w:type="dxa"/>
              <w:start w:w="100" w:type="dxa"/>
              <w:bottom w:w="80" w:type="dxa"/>
              <w:end w:w="100" w:type="dxa"/>
            </w:tcMar>
          </w:tcPr>
          <w:p>
            <w:r>
              <w:t>IPC boundary</w:t>
            </w:r>
          </w:p>
        </w:tc>
        <w:tc>
          <w:tcPr>
            <w:tcW w:type="dxa" w:w="7776"/>
            <w:vAlign w:val="top"/>
            <w:tcMar>
              <w:top w:w="80" w:type="dxa"/>
              <w:start w:w="100" w:type="dxa"/>
              <w:bottom w:w="80" w:type="dxa"/>
              <w:end w:w="100" w:type="dxa"/>
            </w:tcMar>
          </w:tcPr>
          <w:p>
            <w:r>
              <w:t>No new channel, preload method, renderer import, or generic database capability.</w:t>
            </w:r>
          </w:p>
        </w:tc>
      </w:tr>
      <w:tr>
        <w:trPr>
          <w:cantSplit w:val="true"/>
        </w:trPr>
        <w:tc>
          <w:tcPr>
            <w:tcW w:type="dxa" w:w="3168"/>
            <w:vAlign w:val="top"/>
            <w:tcMar>
              <w:top w:w="80" w:type="dxa"/>
              <w:start w:w="100" w:type="dxa"/>
              <w:bottom w:w="80" w:type="dxa"/>
              <w:end w:w="100" w:type="dxa"/>
            </w:tcMar>
          </w:tcPr>
          <w:p>
            <w:r>
              <w:t>Production behavior</w:t>
            </w:r>
          </w:p>
        </w:tc>
        <w:tc>
          <w:tcPr>
            <w:tcW w:type="dxa" w:w="7776"/>
            <w:vAlign w:val="top"/>
            <w:tcMar>
              <w:top w:w="80" w:type="dxa"/>
              <w:start w:w="100" w:type="dxa"/>
              <w:bottom w:w="80" w:type="dxa"/>
              <w:end w:w="100" w:type="dxa"/>
            </w:tcMar>
          </w:tcPr>
          <w:p>
            <w:r>
              <w:t>No production row written and no visible UI change.</w:t>
            </w:r>
          </w:p>
        </w:tc>
      </w:tr>
      <w:tr>
        <w:trPr>
          <w:cantSplit w:val="true"/>
        </w:trPr>
        <w:tc>
          <w:tcPr>
            <w:tcW w:type="dxa" w:w="3168"/>
            <w:vAlign w:val="top"/>
            <w:tcMar>
              <w:top w:w="80" w:type="dxa"/>
              <w:start w:w="100" w:type="dxa"/>
              <w:bottom w:w="80" w:type="dxa"/>
              <w:end w:w="100" w:type="dxa"/>
            </w:tcMar>
          </w:tcPr>
          <w:p>
            <w:r>
              <w:t>Testing</w:t>
            </w:r>
          </w:p>
        </w:tc>
        <w:tc>
          <w:tcPr>
            <w:tcW w:type="dxa" w:w="7776"/>
            <w:vAlign w:val="top"/>
            <w:tcMar>
              <w:top w:w="80" w:type="dxa"/>
              <w:start w:w="100" w:type="dxa"/>
              <w:bottom w:w="80" w:type="dxa"/>
              <w:end w:w="100" w:type="dxa"/>
            </w:tcMar>
          </w:tcPr>
          <w:p>
            <w:r>
              <w:t>Real temporary file-backed SQLite tests plus narrow deterministic failure fakes.</w:t>
            </w:r>
          </w:p>
        </w:tc>
      </w:tr>
      <w:tr>
        <w:trPr>
          <w:cantSplit w:val="true"/>
        </w:trPr>
        <w:tc>
          <w:tcPr>
            <w:tcW w:type="dxa" w:w="3168"/>
            <w:vAlign w:val="top"/>
            <w:tcMar>
              <w:top w:w="80" w:type="dxa"/>
              <w:start w:w="100" w:type="dxa"/>
              <w:bottom w:w="80" w:type="dxa"/>
              <w:end w:w="100" w:type="dxa"/>
            </w:tcMar>
          </w:tcPr>
          <w:p>
            <w:r>
              <w:t>Regression</w:t>
            </w:r>
          </w:p>
        </w:tc>
        <w:tc>
          <w:tcPr>
            <w:tcW w:type="dxa" w:w="7776"/>
            <w:vAlign w:val="top"/>
            <w:tcMar>
              <w:top w:w="80" w:type="dxa"/>
              <w:start w:w="100" w:type="dxa"/>
              <w:bottom w:w="80" w:type="dxa"/>
              <w:end w:w="100" w:type="dxa"/>
            </w:tcMar>
          </w:tcPr>
          <w:p>
            <w:r>
              <w:t>All prior tests, migrations, health, CSP, IPC, lifecycle, and packaging pass.</w:t>
            </w:r>
          </w:p>
        </w:tc>
      </w:tr>
      <w:tr>
        <w:trPr>
          <w:cantSplit w:val="true"/>
        </w:trPr>
        <w:tc>
          <w:tcPr>
            <w:tcW w:type="dxa" w:w="3168"/>
            <w:vAlign w:val="top"/>
            <w:tcMar>
              <w:top w:w="80" w:type="dxa"/>
              <w:start w:w="100" w:type="dxa"/>
              <w:bottom w:w="80" w:type="dxa"/>
              <w:end w:w="100" w:type="dxa"/>
            </w:tcMar>
          </w:tcPr>
          <w:p>
            <w:r>
              <w:t>Documentation</w:t>
            </w:r>
          </w:p>
        </w:tc>
        <w:tc>
          <w:tcPr>
            <w:tcW w:type="dxa" w:w="7776"/>
            <w:vAlign w:val="top"/>
            <w:tcMar>
              <w:top w:w="80" w:type="dxa"/>
              <w:start w:w="100" w:type="dxa"/>
              <w:bottom w:w="80" w:type="dxa"/>
              <w:end w:w="100" w:type="dxa"/>
            </w:tcMar>
          </w:tcPr>
          <w:p>
            <w:r>
              <w:t>ADR-006 and transaction boundary accurately match implementation.</w:t>
            </w:r>
          </w:p>
        </w:tc>
      </w:tr>
      <w:tr>
        <w:trPr>
          <w:cantSplit w:val="true"/>
        </w:trPr>
        <w:tc>
          <w:tcPr>
            <w:tcW w:type="dxa" w:w="3168"/>
            <w:vAlign w:val="top"/>
            <w:tcMar>
              <w:top w:w="80" w:type="dxa"/>
              <w:start w:w="100" w:type="dxa"/>
              <w:bottom w:w="80" w:type="dxa"/>
              <w:end w:w="100" w:type="dxa"/>
            </w:tcMar>
          </w:tcPr>
          <w:p>
            <w:r>
              <w:t>Repository hygiene</w:t>
            </w:r>
          </w:p>
        </w:tc>
        <w:tc>
          <w:tcPr>
            <w:tcW w:type="dxa" w:w="7776"/>
            <w:vAlign w:val="top"/>
            <w:tcMar>
              <w:top w:w="80" w:type="dxa"/>
              <w:start w:w="100" w:type="dxa"/>
              <w:bottom w:w="80" w:type="dxa"/>
              <w:end w:w="100" w:type="dxa"/>
            </w:tcMar>
          </w:tcPr>
          <w:p>
            <w:r>
              <w:t>No generated database/build artifacts; working tree clean.</w:t>
            </w:r>
          </w:p>
        </w:tc>
      </w:tr>
    </w:tbl>
    <w:p/>
    <w:p>
      <w:pPr>
        <w:pStyle w:val="Heading1"/>
        <w:keepNext/>
      </w:pPr>
      <w:r>
        <w:t>18. Codex Execution Prompt</w:t>
      </w:r>
    </w:p>
    <w:p>
      <w:pPr>
        <w:pStyle w:val="CodeBlock"/>
      </w:pPr>
      <w:r>
        <w:t>Implement HSD-008 exactly as specified in</w:t>
        <w:br/>
        <w:t>HSD-008_Transactional_Data_Foundation_Codex_Task.docx.</w:t>
        <w:br/>
        <w:br/>
        <w:t>Start from merged main commit a94aa54 on branch:</w:t>
        <w:br/>
        <w:t>feature/hsd-008-transaction-foundation</w:t>
        <w:br/>
        <w:br/>
        <w:t>Create a main-process-only foundation for:</w:t>
        <w:br/>
        <w:t>- canonical client-generated UUID v4 entity identifiers using crypto.randomUUID;</w:t>
        <w:br/>
        <w:t>- canonical UTC RFC 3339 millisecond timestamps through an injectable clock;</w:t>
        <w:br/>
        <w:t>- one synchronous SQLite transaction executor using BEGIN IMMEDIATE;</w:t>
        <w:br/>
        <w:t>- an immutable context exposing connection, newEntityId(), and nowUtc();</w:t>
        <w:br/>
        <w:t>- controlled safe errors and phase/type-only logs.</w:t>
        <w:br/>
        <w:br/>
        <w:t>Reject:</w:t>
        <w:br/>
        <w:t>- pre-existing or nested transactions;</w:t>
        <w:br/>
        <w:t>- Promise/thenable callback results;</w:t>
        <w:br/>
        <w:t>- malformed provider IDs or timestamps;</w:t>
        <w:br/>
        <w:t>- raw Error causes, stack traces, SQL/path/value leakage;</w:t>
        <w:br/>
        <w:t>- partial writes after callback, constraint, commit, or validation failure.</w:t>
        <w:br/>
        <w:br/>
        <w:t>Do not add dependencies, migration 0002, schema changes, repositories, production rows,</w:t>
        <w:br/>
        <w:t>first-run setup, authentication, audit/outbox business writes, IPC, UI, sync, FHIR,</w:t>
        <w:br/>
        <w:t>portal, AI, backup, restore, or printing.</w:t>
        <w:br/>
        <w:br/>
        <w:t>Run all required quality, integration, development, preview, and unpacked Windows</w:t>
        <w:br/>
        <w:t>checks. Commit and push with:</w:t>
        <w:br/>
        <w:t>feat: establish transactional data foundation</w:t>
        <w:br/>
        <w:br/>
        <w:t>Do not begin HSD-009.</w:t>
      </w:r>
    </w:p>
    <w:p>
      <w:pPr>
        <w:pStyle w:val="Heading1"/>
        <w:keepNext/>
      </w:pPr>
      <w:r>
        <w:t>19. Definition of Done</w:t>
      </w:r>
    </w:p>
    <w:tbl>
      <w:tblPr>
        <w:tblW w:type="auto" w:w="0"/>
        <w:jc w:val="center"/>
        <w:tblLook w:firstColumn="1" w:firstRow="1" w:lastColumn="0" w:lastRow="0" w:noHBand="0" w:noVBand="1" w:val="04A0"/>
      </w:tblPr>
      <w:tblGrid>
        <w:gridCol w:w="10080"/>
      </w:tblGrid>
      <w:tr>
        <w:tc>
          <w:tcPr>
            <w:tcW w:type="dxa" w:w="10080"/>
            <w:shd w:fill="EAF4F5"/>
            <w:tcMar>
              <w:top w:w="150" w:type="dxa"/>
              <w:start w:w="180" w:type="dxa"/>
              <w:bottom w:w="150" w:type="dxa"/>
              <w:end w:w="180" w:type="dxa"/>
            </w:tcMar>
          </w:tcPr>
          <w:p>
            <w:r>
              <w:rPr>
                <w:b/>
                <w:color w:val="173F46"/>
              </w:rPr>
              <w:t>Result: The remote feature branch contains one reviewable HSD-008 implementation that standardizes offline entity identity, authoritative UTC time, and safe synchronous SQLite transactions; proves atomic commit/rollback behavior and error non-disclosure; preserves schema version 1 and every HSD-001 through HSD-007 security boundary; introduces no business workflow or production data; passes all quality gates and Windows runtime/package checks; and is ready for HSD-009 repository and first-run work only after merge.</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6"/>
      </w:rPr>
      <w:t>HEALTH SCREENING OFFLINE DESKTOP APPLICATION  |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b/>
      <w:i/>
      <w:iCs/>
      <w:color w:val="4472C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ascadia Mono" w:hAnsi="Cascadia Mono"/>
      <w:color w:val="1E1E1E"/>
      <w:sz w:val="16"/>
    </w:rPr>
  </w:style>
  <w:style w:type="paragraph" w:customStyle="1" w:styleId="SmallNote">
    <w:name w:val="Small Note"/>
    <w:basedOn w:val="Normal"/>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HSD-008 Transactional Data Foundation Codex Task</dc:title>
  <dc:subject>Health Screening Offline Desktop Application</dc:subject>
  <dc:creator>OpenAI</dc:creator>
  <cp:keywords>HSD-008, Electron, SQLite, transaction, UUID, UTC, offline-first</cp:keywords>
  <dc:description>Implementation task generated from the approved project design baseline.</dc:description>
  <cp:lastModifiedBy/>
  <cp:revision>1</cp:revision>
  <dcterms:created xsi:type="dcterms:W3CDTF">2013-12-23T23:15:00Z</dcterms:created>
  <dcterms:modified xsi:type="dcterms:W3CDTF">2013-12-23T23:15:00Z</dcterms:modified>
  <cp:category/>
</cp:coreProperties>
</file>