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CISCO CCNP ENCOR 350-401  </w:t>
            </w:r>
            <w:r>
              <w:rPr>
                <w:rFonts w:ascii="Arial" w:cs="Arial" w:eastAsia="Arial" w:hAnsi="Arial"/>
                <w:b/>
                <w:bCs/>
                <w:color w:val="AED6F1"/>
                <w:sz w:val="24"/>
                <w:szCs w:val="24"/>
              </w:rPr>
              <w:t xml:space="preserve">v1.2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Programma Aggiornato  </w:t>
            </w:r>
            <w:r>
              <w:rPr>
                <w:rFonts w:ascii="Arial" w:cs="Arial" w:eastAsia="Arial" w:hAnsi="Arial"/>
                <w:b w:val="false"/>
                <w:bCs w:val="false"/>
                <w:color w:val="8DB4D6"/>
                <w:sz w:val="18"/>
                <w:szCs w:val="18"/>
              </w:rPr>
              <w:t xml:space="preserve">13 Marzo – 12 Maggio 2026  ·  11 Sessioni  ·  43 ore  ·  Ambiente: GNS3 IOU L2/L3</w:t>
            </w:r>
          </w:p>
        </w:tc>
      </w:tr>
    </w:tbl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● </w:t>
            </w:r>
            <w:r>
              <w:rPr>
                <w:rFonts w:ascii="Arial" w:cs="Arial" w:eastAsia="Arial" w:hAnsi="Arial"/>
                <w:b w:val="false"/>
                <w:bCs w:val="false"/>
                <w:color w:val="1A7040"/>
                <w:sz w:val="16"/>
                <w:szCs w:val="16"/>
              </w:rPr>
              <w:t xml:space="preserve">Sessione svolta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○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Da svolgere  ·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Lab attivo in grassetto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  ·  Teoria in chiaro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400"/>
        <w:gridCol w:w="3200"/>
        <w:gridCol w:w="1500"/>
        <w:gridCol w:w="2900"/>
      </w:tblGrid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Sessione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Codici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Laboratorio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Ven 13 Mar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OSPF – Configurazione e Fondamenta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3.2.a · 3.2.b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LAB 01 – OSPFv2 multi-area, DR/BDR, stub, summarization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Ven 20 Mar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OSPF – Troubleshooting Avanzato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1.10.a–d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Troubleshooting neighbor, virtual-link, path preference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Mer 1 Apr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BGP – Configurazione e Troubleshooting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3.2.c · 1.11.a–e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eBGP peering, route-map, path manipulation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Ven 10 Apr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Route Manipulation, PBR &amp; Redistribuzione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1.2–1.6 · 3.2.d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Redistribuzione OSPF/EIGRP, tagging anti-loop, PBR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Mer 15 Apr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MPLS – Fondamenta, L3VPN &amp; L2VPN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Extra (2.1/2.2 desc.)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Backbone MPLS + LDP, MP-BGP per L3VPN, L2VPN pseudowire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Mar 16 Apr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Virtualizzazione &amp; Overlay (VRF, GRE, IPSec)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2.1 · 2.2 · 2.3 desc.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VRF extension + GRE tunnel + protezione IPSec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LISP/VXLAN: teoria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Mar 21 Apr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040"/>
                <w:sz w:val="16"/>
                <w:szCs w:val="16"/>
              </w:rPr>
              <w:t xml:space="preserve">Virtualizzazione &amp; Overlay – Completamento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2.1 · 2.2 · 2.3 desc.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Completamento lab VRF/GRE/IPSec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○ </w:t>
            </w: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Lun 27 Apr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QoS &amp; Layer 2, FHRP, IP SLA &amp; SPAN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1.4 · 3.1.a/b/c · 3.3.c · 4.3 · 4.4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QoS MQC: DSCP, LLQ, policing/shaping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EtherChannel + HSRP tracking + IP SLA + SPAN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○ </w:t>
            </w: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Mer 6 Mag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IP Services &amp; Network Assurance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3.3.a/b/d · 4.1–4.6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PIM-SM + Auto-RP + NetFlow/ntopng (container virbr)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Catalyst Center: teoria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○ </w:t>
            </w: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Ven 8 Mag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5.1 · 5.2 · 5.3 · 5.4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CoPP + AAA/FreeRADIUS (container virbr)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NGFW/TrustSec/MACsec: teoria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○ </w:t>
            </w: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Mar 12 Mag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Automation, AI &amp; Review Finale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6.1–6.7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Python + Netmiko + Nornir + Ansible su IOU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RESTCONF: teoria (richiede IOS-XE)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To-Do – Sviluppo Materiale &amp; Lab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S8  –  Lab QoS MQC + Layer 2/FHRP/IP SLA/SPAN  +  Materiale didattico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S9  –  Lab PIM-SM/Auto-RP + NetFlow/ntopng (container virbr)  +  Materiale didattico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S10 –  Lab CoPP + AAA/FreeRADIUS (container virbr)  +  Materiale didattico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S11 –  Lab Python/Netmiko/Nornir/Ansible su IOU  +  Materiale didattico + struttura Review/Exam Prep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SD-WAN/SD-Access –  Verificare dCloud  (studio autonomo come fallback)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2026-04-27T20:57:57.211Z</dcterms:created>
  <dcterms:modified xsi:type="dcterms:W3CDTF">2026-04-27T20:57:57.212Z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