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60703">
      <w:pPr>
        <w:pStyle w:val="3"/>
        <w:jc w:val="center"/>
        <w:rPr>
          <w:rFonts w:hint="eastAsia" w:ascii="微软雅黑" w:hAnsi="微软雅黑" w:eastAsia="微软雅黑" w:cs="微软雅黑"/>
          <w:b w:val="0"/>
          <w:color w:val="111827"/>
          <w:sz w:val="21"/>
          <w:szCs w:val="21"/>
          <w:lang w:eastAsia="zh-CN"/>
        </w:rPr>
      </w:pPr>
      <w:r>
        <w:rPr>
          <w:rFonts w:hint="eastAsia" w:ascii="微软雅黑" w:hAnsi="微软雅黑" w:eastAsia="微软雅黑" w:cs="微软雅黑"/>
          <w:b w:val="0"/>
          <w:color w:val="111827"/>
          <w:sz w:val="36"/>
          <w:lang w:val="en-US" w:eastAsia="zh-CN"/>
        </w:rPr>
        <w:t>恒达</w:t>
      </w:r>
      <w:r>
        <w:rPr>
          <w:rFonts w:hint="eastAsia" w:ascii="微软雅黑" w:hAnsi="微软雅黑" w:eastAsia="微软雅黑" w:cs="微软雅黑"/>
          <w:b w:val="0"/>
          <w:color w:val="111827"/>
          <w:sz w:val="36"/>
          <w:lang w:eastAsia="zh-CN"/>
        </w:rPr>
        <w:t>官网改版</w:t>
      </w:r>
      <w:r>
        <w:rPr>
          <w:rFonts w:hint="eastAsia" w:ascii="微软雅黑" w:hAnsi="微软雅黑" w:eastAsia="微软雅黑" w:cs="微软雅黑"/>
          <w:b w:val="0"/>
          <w:color w:val="111827"/>
          <w:sz w:val="36"/>
          <w:lang w:val="en-US" w:eastAsia="zh-CN"/>
        </w:rPr>
        <w:t>升级需求</w:t>
      </w:r>
      <w:r>
        <w:rPr>
          <w:rFonts w:hint="eastAsia" w:ascii="微软雅黑" w:hAnsi="微软雅黑" w:eastAsia="微软雅黑" w:cs="微软雅黑"/>
          <w:b w:val="0"/>
          <w:color w:val="111827"/>
          <w:sz w:val="36"/>
          <w:lang w:eastAsia="zh-CN"/>
        </w:rPr>
        <w:t>讨论</w:t>
      </w:r>
      <w:r>
        <w:rPr>
          <w:rFonts w:hint="eastAsia" w:ascii="微软雅黑" w:hAnsi="微软雅黑" w:eastAsia="微软雅黑" w:cs="微软雅黑"/>
          <w:b w:val="0"/>
          <w:color w:val="111827"/>
          <w:sz w:val="36"/>
          <w:lang w:eastAsia="zh-CN"/>
        </w:rPr>
        <w:br w:type="textWrapping"/>
      </w:r>
      <w:r>
        <w:rPr>
          <w:rFonts w:hint="eastAsia" w:ascii="微软雅黑" w:hAnsi="微软雅黑" w:eastAsia="微软雅黑" w:cs="微软雅黑"/>
          <w:b w:val="0"/>
          <w:color w:val="111827"/>
          <w:sz w:val="21"/>
          <w:szCs w:val="21"/>
          <w:lang w:eastAsia="zh-CN"/>
        </w:rPr>
        <w:t>会议纪要汇总</w:t>
      </w:r>
    </w:p>
    <w:p w14:paraId="355367C4">
      <w:pPr>
        <w:bidi w:val="0"/>
        <w:jc w:val="center"/>
      </w:pPr>
      <w:r>
        <w:rPr>
          <w:rFonts w:hint="eastAsia"/>
          <w:lang w:eastAsia="zh-CN"/>
        </w:rPr>
        <w:t>20260907</w:t>
      </w:r>
    </w:p>
    <w:p w14:paraId="22F680D7">
      <w:pPr>
        <w:pStyle w:val="4"/>
      </w:pPr>
      <w:bookmarkStart w:id="0" w:name="section-1"/>
      <w:bookmarkEnd w:id="0"/>
      <w:r>
        <w:rPr>
          <w:rFonts w:hint="eastAsia" w:ascii="微软雅黑" w:hAnsi="微软雅黑" w:eastAsia="微软雅黑" w:cs="微软雅黑"/>
          <w:b w:val="0"/>
          <w:color w:val="111827"/>
          <w:sz w:val="30"/>
          <w:lang w:eastAsia="zh-CN"/>
        </w:rPr>
        <w:t>一、会议基本信息</w:t>
      </w:r>
    </w:p>
    <w:tbl>
      <w:tblPr>
        <w:tblStyle w:val="32"/>
        <w:tblW w:w="5000" w:type="pct"/>
        <w:tblInd w:w="0" w:type="dxa"/>
        <w:tblLayout w:type="autofit"/>
        <w:tblCellMar>
          <w:top w:w="0" w:type="dxa"/>
          <w:left w:w="108" w:type="dxa"/>
          <w:bottom w:w="0" w:type="dxa"/>
          <w:right w:w="108" w:type="dxa"/>
        </w:tblCellMar>
      </w:tblPr>
      <w:tblGrid>
        <w:gridCol w:w="1598"/>
        <w:gridCol w:w="7194"/>
      </w:tblGrid>
      <w:tr w14:paraId="1C084787">
        <w:tblPrEx>
          <w:tblCellMar>
            <w:top w:w="0" w:type="dxa"/>
            <w:left w:w="108" w:type="dxa"/>
            <w:bottom w:w="0" w:type="dxa"/>
            <w:right w:w="108" w:type="dxa"/>
          </w:tblCellMar>
        </w:tblPrEx>
        <w:tc>
          <w:tcPr>
            <w:tcW w:w="1598"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307B377D">
            <w:pPr>
              <w:spacing w:before="60" w:after="60" w:line="240" w:lineRule="auto"/>
              <w:jc w:val="left"/>
            </w:pPr>
            <w:r>
              <w:rPr>
                <w:b/>
              </w:rPr>
              <w:t>项目</w:t>
            </w:r>
          </w:p>
        </w:tc>
        <w:tc>
          <w:tcPr>
            <w:tcW w:w="7194"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524359DC">
            <w:pPr>
              <w:spacing w:before="60" w:after="60" w:line="240" w:lineRule="auto"/>
              <w:jc w:val="left"/>
            </w:pPr>
            <w:r>
              <w:rPr>
                <w:b/>
              </w:rPr>
              <w:t>内容</w:t>
            </w:r>
          </w:p>
        </w:tc>
      </w:tr>
      <w:tr w14:paraId="6E3EE915">
        <w:tblPrEx>
          <w:tblCellMar>
            <w:top w:w="0" w:type="dxa"/>
            <w:left w:w="108" w:type="dxa"/>
            <w:bottom w:w="0" w:type="dxa"/>
            <w:right w:w="108" w:type="dxa"/>
          </w:tblCellMar>
        </w:tblPrEx>
        <w:tc>
          <w:tcPr>
            <w:tcW w:w="1598"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6B0983FC">
            <w:pPr>
              <w:spacing w:before="60" w:after="60" w:line="240" w:lineRule="auto"/>
              <w:jc w:val="left"/>
            </w:pPr>
            <w:r>
              <w:rPr>
                <w:b/>
              </w:rPr>
              <w:t>会议主题</w:t>
            </w:r>
          </w:p>
        </w:tc>
        <w:tc>
          <w:tcPr>
            <w:tcW w:w="7194"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49E5D7CB">
            <w:pPr>
              <w:spacing w:before="60" w:after="60" w:line="240" w:lineRule="auto"/>
              <w:jc w:val="left"/>
            </w:pPr>
            <w:r>
              <w:rPr>
                <w:rFonts w:hint="eastAsia" w:eastAsia="宋体"/>
                <w:lang w:val="en-US" w:eastAsia="zh-CN"/>
              </w:rPr>
              <w:t>恒达</w:t>
            </w:r>
            <w:r>
              <w:t>官网改版升级</w:t>
            </w:r>
            <w:r>
              <w:rPr>
                <w:rFonts w:hint="eastAsia" w:eastAsia="宋体"/>
                <w:lang w:val="en-US" w:eastAsia="zh-CN"/>
              </w:rPr>
              <w:t>需求</w:t>
            </w:r>
            <w:r>
              <w:t>讨论</w:t>
            </w:r>
          </w:p>
        </w:tc>
      </w:tr>
      <w:tr w14:paraId="73B5C3A0">
        <w:tblPrEx>
          <w:tblCellMar>
            <w:top w:w="0" w:type="dxa"/>
            <w:left w:w="108" w:type="dxa"/>
            <w:bottom w:w="0" w:type="dxa"/>
            <w:right w:w="108" w:type="dxa"/>
          </w:tblCellMar>
        </w:tblPrEx>
        <w:tc>
          <w:tcPr>
            <w:tcW w:w="1598"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278FB4A2">
            <w:pPr>
              <w:spacing w:before="60" w:after="60" w:line="240" w:lineRule="auto"/>
              <w:jc w:val="left"/>
            </w:pPr>
            <w:r>
              <w:rPr>
                <w:b/>
              </w:rPr>
              <w:t>会议时间</w:t>
            </w:r>
          </w:p>
        </w:tc>
        <w:tc>
          <w:tcPr>
            <w:tcW w:w="7194"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64D86F18">
            <w:pPr>
              <w:spacing w:before="60" w:after="60" w:line="240" w:lineRule="auto"/>
              <w:jc w:val="left"/>
            </w:pPr>
            <w:r>
              <w:t>2026 年 9 月 7 日</w:t>
            </w:r>
            <w:r>
              <w:rPr>
                <w:rFonts w:hint="eastAsia" w:eastAsia="宋体"/>
                <w:lang w:val="en-US" w:eastAsia="zh-CN"/>
              </w:rPr>
              <w:t xml:space="preserve"> 13:40-15:00</w:t>
            </w:r>
            <w:r>
              <w:t>（约 1 小时 20 分钟）</w:t>
            </w:r>
          </w:p>
        </w:tc>
      </w:tr>
      <w:tr w14:paraId="23DF7059">
        <w:tblPrEx>
          <w:tblCellMar>
            <w:top w:w="0" w:type="dxa"/>
            <w:left w:w="108" w:type="dxa"/>
            <w:bottom w:w="0" w:type="dxa"/>
            <w:right w:w="108" w:type="dxa"/>
          </w:tblCellMar>
        </w:tblPrEx>
        <w:tc>
          <w:tcPr>
            <w:tcW w:w="1598"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6CD9D005">
            <w:pPr>
              <w:spacing w:before="60" w:after="60" w:line="240" w:lineRule="auto"/>
              <w:jc w:val="left"/>
              <w:rPr>
                <w:rFonts w:hint="eastAsia" w:eastAsia="宋体"/>
                <w:lang w:val="en-US" w:eastAsia="zh-CN"/>
              </w:rPr>
            </w:pPr>
            <w:r>
              <w:rPr>
                <w:b/>
              </w:rPr>
              <w:t>参会</w:t>
            </w:r>
            <w:r>
              <w:rPr>
                <w:rFonts w:hint="eastAsia" w:eastAsia="宋体"/>
                <w:b/>
                <w:lang w:val="en-US" w:eastAsia="zh-CN"/>
              </w:rPr>
              <w:t>人员</w:t>
            </w:r>
          </w:p>
        </w:tc>
        <w:tc>
          <w:tcPr>
            <w:tcW w:w="7194"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7734D03F">
            <w:pPr>
              <w:spacing w:before="60" w:after="60" w:line="240" w:lineRule="auto"/>
              <w:jc w:val="left"/>
              <w:rPr>
                <w:rFonts w:hint="default" w:eastAsia="宋体"/>
                <w:lang w:val="en-US" w:eastAsia="zh-CN"/>
              </w:rPr>
            </w:pPr>
            <w:r>
              <w:rPr>
                <w:rFonts w:hint="eastAsia" w:eastAsia="宋体"/>
                <w:lang w:val="en-US" w:eastAsia="zh-CN"/>
              </w:rPr>
              <w:t>崔锋、李娜、安钰琪、陈小花、陈建立、高宁</w:t>
            </w:r>
          </w:p>
        </w:tc>
      </w:tr>
      <w:tr w14:paraId="21B8D664">
        <w:tblPrEx>
          <w:tblCellMar>
            <w:top w:w="0" w:type="dxa"/>
            <w:left w:w="108" w:type="dxa"/>
            <w:bottom w:w="0" w:type="dxa"/>
            <w:right w:w="108" w:type="dxa"/>
          </w:tblCellMar>
        </w:tblPrEx>
        <w:tc>
          <w:tcPr>
            <w:tcW w:w="1598" w:type="dxa"/>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60B18FCC">
            <w:pPr>
              <w:spacing w:before="60" w:after="60" w:line="240" w:lineRule="auto"/>
              <w:jc w:val="left"/>
              <w:rPr>
                <w:rFonts w:hint="eastAsia" w:eastAsia="宋体"/>
                <w:b/>
                <w:lang w:val="en-US" w:eastAsia="zh-CN"/>
              </w:rPr>
            </w:pPr>
            <w:r>
              <w:rPr>
                <w:rFonts w:hint="eastAsia" w:eastAsia="宋体"/>
                <w:b/>
                <w:lang w:val="en-US" w:eastAsia="zh-CN"/>
              </w:rPr>
              <w:t>记  录  人</w:t>
            </w:r>
          </w:p>
        </w:tc>
        <w:tc>
          <w:tcPr>
            <w:tcW w:w="7194" w:type="dxa"/>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569C9D66">
            <w:pPr>
              <w:spacing w:before="60" w:after="60" w:line="240" w:lineRule="auto"/>
              <w:jc w:val="left"/>
              <w:rPr>
                <w:rFonts w:hint="default" w:eastAsia="宋体"/>
                <w:lang w:val="en-US" w:eastAsia="zh-CN"/>
              </w:rPr>
            </w:pPr>
            <w:r>
              <w:rPr>
                <w:rFonts w:hint="eastAsia" w:eastAsia="宋体"/>
                <w:lang w:val="en-US" w:eastAsia="zh-CN"/>
              </w:rPr>
              <w:t>陈建立</w:t>
            </w:r>
          </w:p>
        </w:tc>
      </w:tr>
    </w:tbl>
    <w:p w14:paraId="40A38127">
      <w:pPr>
        <w:pStyle w:val="4"/>
      </w:pPr>
      <w:bookmarkStart w:id="1" w:name="section-2"/>
      <w:bookmarkEnd w:id="1"/>
      <w:bookmarkStart w:id="2" w:name="section-3"/>
      <w:bookmarkEnd w:id="2"/>
      <w:r>
        <w:rPr>
          <w:rFonts w:hint="eastAsia" w:ascii="微软雅黑" w:hAnsi="微软雅黑" w:eastAsia="微软雅黑" w:cs="微软雅黑"/>
          <w:b w:val="0"/>
          <w:color w:val="111827"/>
          <w:sz w:val="30"/>
          <w:lang w:val="en-US" w:eastAsia="zh-CN"/>
        </w:rPr>
        <w:t>二</w:t>
      </w:r>
      <w:r>
        <w:rPr>
          <w:rFonts w:hint="eastAsia" w:ascii="微软雅黑" w:hAnsi="微软雅黑" w:eastAsia="微软雅黑" w:cs="微软雅黑"/>
          <w:b w:val="0"/>
          <w:color w:val="111827"/>
          <w:sz w:val="30"/>
          <w:lang w:eastAsia="zh-CN"/>
        </w:rPr>
        <w:t>、议题讨</w:t>
      </w:r>
      <w:bookmarkStart w:id="7" w:name="_GoBack"/>
      <w:bookmarkEnd w:id="7"/>
      <w:r>
        <w:rPr>
          <w:rFonts w:hint="eastAsia" w:ascii="微软雅黑" w:hAnsi="微软雅黑" w:eastAsia="微软雅黑" w:cs="微软雅黑"/>
          <w:b w:val="0"/>
          <w:color w:val="111827"/>
          <w:sz w:val="30"/>
          <w:lang w:eastAsia="zh-CN"/>
        </w:rPr>
        <w:t>论与沟通结论</w:t>
      </w:r>
    </w:p>
    <w:p w14:paraId="75E48A0E">
      <w:r>
        <w:rPr>
          <w:rFonts w:hint="eastAsia" w:ascii="微软雅黑" w:hAnsi="微软雅黑" w:eastAsia="微软雅黑" w:cs="微软雅黑"/>
          <w:lang w:eastAsia="zh-CN"/>
        </w:rPr>
        <w:t>本次会议围绕官网改版升级，确认风格定位、产品层级、展示规则、数据迁移、</w:t>
      </w:r>
      <w:r>
        <w:rPr>
          <w:rFonts w:hint="eastAsia" w:ascii="微软雅黑" w:hAnsi="微软雅黑" w:eastAsia="微软雅黑" w:cs="微软雅黑"/>
          <w:lang w:val="en-US" w:eastAsia="zh-CN"/>
        </w:rPr>
        <w:t>解决方案设计和定位、网站安全</w:t>
      </w:r>
      <w:r>
        <w:rPr>
          <w:rFonts w:hint="eastAsia" w:ascii="微软雅黑" w:hAnsi="微软雅黑" w:eastAsia="微软雅黑" w:cs="微软雅黑"/>
          <w:lang w:eastAsia="zh-CN"/>
        </w:rPr>
        <w:t>等核心事项，形成如下六个方面的结论。</w:t>
      </w:r>
    </w:p>
    <w:p w14:paraId="2E914722">
      <w:pPr>
        <w:pStyle w:val="5"/>
        <w:spacing w:after="130"/>
      </w:pPr>
      <w:r>
        <w:rPr>
          <w:rFonts w:hint="eastAsia" w:ascii="微软雅黑" w:hAnsi="微软雅黑" w:eastAsia="微软雅黑" w:cs="微软雅黑"/>
          <w:b w:val="0"/>
          <w:color w:val="111827"/>
          <w:sz w:val="26"/>
          <w:lang w:eastAsia="zh-CN"/>
        </w:rPr>
        <w:t>议题1：整体风格与框架</w:t>
      </w:r>
    </w:p>
    <w:p w14:paraId="382A2BD7">
      <w:pPr>
        <w:pStyle w:val="23"/>
        <w:spacing w:after="120"/>
      </w:pPr>
      <w:r>
        <w:rPr>
          <w:rFonts w:hint="eastAsia" w:ascii="微软雅黑" w:hAnsi="微软雅黑" w:eastAsia="微软雅黑" w:cs="微软雅黑"/>
          <w:lang w:eastAsia="zh-CN"/>
        </w:rPr>
        <w:t>新官网采用当前主流的现代</w:t>
      </w:r>
      <w:r>
        <w:rPr>
          <w:rFonts w:hint="eastAsia" w:ascii="微软雅黑" w:hAnsi="微软雅黑" w:eastAsia="微软雅黑" w:cs="微软雅黑"/>
          <w:lang w:val="en-US" w:eastAsia="zh-CN"/>
        </w:rPr>
        <w:t>化网站</w:t>
      </w:r>
      <w:r>
        <w:rPr>
          <w:rFonts w:hint="eastAsia" w:ascii="微软雅黑" w:hAnsi="微软雅黑" w:eastAsia="微软雅黑" w:cs="微软雅黑"/>
          <w:lang w:eastAsia="zh-CN"/>
        </w:rPr>
        <w:t>风格，</w:t>
      </w:r>
      <w:r>
        <w:rPr>
          <w:rFonts w:hint="eastAsia" w:ascii="微软雅黑" w:hAnsi="微软雅黑" w:eastAsia="微软雅黑" w:cs="微软雅黑"/>
          <w:lang w:val="en-US" w:eastAsia="zh-CN"/>
        </w:rPr>
        <w:t>整体可</w:t>
      </w:r>
      <w:r>
        <w:rPr>
          <w:rFonts w:hint="eastAsia" w:ascii="微软雅黑" w:hAnsi="微软雅黑" w:eastAsia="微软雅黑" w:cs="微软雅黑"/>
          <w:lang w:eastAsia="zh-CN"/>
        </w:rPr>
        <w:t>参考中航光电、</w:t>
      </w:r>
      <w:r>
        <w:rPr>
          <w:rFonts w:hint="eastAsia" w:ascii="微软雅黑" w:hAnsi="微软雅黑" w:eastAsia="微软雅黑" w:cs="微软雅黑"/>
          <w:lang w:val="en-US" w:eastAsia="zh-CN"/>
        </w:rPr>
        <w:t>雷科</w:t>
      </w:r>
      <w:r>
        <w:rPr>
          <w:rFonts w:hint="eastAsia" w:ascii="微软雅黑" w:hAnsi="微软雅黑" w:eastAsia="微软雅黑" w:cs="微软雅黑"/>
          <w:lang w:eastAsia="zh-CN"/>
        </w:rPr>
        <w:t>防务、</w:t>
      </w:r>
      <w:r>
        <w:rPr>
          <w:rFonts w:hint="eastAsia" w:ascii="微软雅黑" w:hAnsi="微软雅黑" w:eastAsia="微软雅黑" w:cs="微软雅黑"/>
          <w:lang w:val="en-US" w:eastAsia="zh-CN"/>
        </w:rPr>
        <w:t>ERAVANT等</w:t>
      </w:r>
      <w:r>
        <w:rPr>
          <w:rFonts w:hint="eastAsia" w:ascii="微软雅黑" w:hAnsi="微软雅黑" w:eastAsia="微软雅黑" w:cs="微软雅黑"/>
          <w:lang w:eastAsia="zh-CN"/>
        </w:rPr>
        <w:t>国内企业官网</w:t>
      </w:r>
      <w:r>
        <w:rPr>
          <w:rFonts w:hint="eastAsia" w:ascii="微软雅黑" w:hAnsi="微软雅黑" w:eastAsia="微软雅黑" w:cs="微软雅黑"/>
          <w:lang w:val="en-US" w:eastAsia="zh-CN"/>
        </w:rPr>
        <w:t>的网站设计</w:t>
      </w:r>
      <w:r>
        <w:rPr>
          <w:rFonts w:hint="eastAsia" w:ascii="微软雅黑" w:hAnsi="微软雅黑" w:eastAsia="微软雅黑" w:cs="微软雅黑"/>
          <w:lang w:eastAsia="zh-CN"/>
        </w:rPr>
        <w:t>。</w:t>
      </w:r>
    </w:p>
    <w:p w14:paraId="2FA47E24">
      <w:pPr>
        <w:pStyle w:val="23"/>
        <w:spacing w:after="120"/>
      </w:pPr>
      <w:r>
        <w:rPr>
          <w:rFonts w:hint="eastAsia" w:ascii="微软雅黑" w:hAnsi="微软雅黑" w:eastAsia="微软雅黑" w:cs="微软雅黑"/>
          <w:lang w:val="en-US" w:eastAsia="zh-CN"/>
        </w:rPr>
        <w:t>产品展示板块、解决方案板块、新闻中心板块的内容需支持通过后台</w:t>
      </w:r>
      <w:r>
        <w:rPr>
          <w:rFonts w:hint="eastAsia" w:ascii="微软雅黑" w:hAnsi="微软雅黑" w:eastAsia="微软雅黑" w:cs="微软雅黑"/>
          <w:lang w:eastAsia="zh-CN"/>
        </w:rPr>
        <w:t>动态发布，其余常规展示板块（</w:t>
      </w:r>
      <w:r>
        <w:rPr>
          <w:rFonts w:hint="eastAsia" w:ascii="微软雅黑" w:hAnsi="微软雅黑" w:eastAsia="微软雅黑" w:cs="微软雅黑"/>
          <w:lang w:val="en-US" w:eastAsia="zh-CN"/>
        </w:rPr>
        <w:t>如关于我们）可先按照</w:t>
      </w:r>
      <w:r>
        <w:rPr>
          <w:rFonts w:hint="eastAsia" w:ascii="微软雅黑" w:hAnsi="微软雅黑" w:eastAsia="微软雅黑" w:cs="微软雅黑"/>
          <w:lang w:eastAsia="zh-CN"/>
        </w:rPr>
        <w:t>静态</w:t>
      </w:r>
      <w:r>
        <w:rPr>
          <w:rFonts w:hint="eastAsia" w:ascii="微软雅黑" w:hAnsi="微软雅黑" w:eastAsia="微软雅黑" w:cs="微软雅黑"/>
          <w:lang w:val="en-US" w:eastAsia="zh-CN"/>
        </w:rPr>
        <w:t>网页来</w:t>
      </w:r>
      <w:r>
        <w:rPr>
          <w:rFonts w:hint="eastAsia" w:ascii="微软雅黑" w:hAnsi="微软雅黑" w:eastAsia="微软雅黑" w:cs="微软雅黑"/>
          <w:lang w:eastAsia="zh-CN"/>
        </w:rPr>
        <w:t>处理。</w:t>
      </w:r>
    </w:p>
    <w:p w14:paraId="36D45525">
      <w:pPr>
        <w:pStyle w:val="23"/>
        <w:spacing w:after="120"/>
      </w:pPr>
      <w:r>
        <w:rPr>
          <w:rFonts w:hint="eastAsia" w:ascii="微软雅黑" w:hAnsi="微软雅黑" w:eastAsia="微软雅黑" w:cs="微软雅黑"/>
          <w:lang w:eastAsia="zh-CN"/>
        </w:rPr>
        <w:t>页面右下角</w:t>
      </w:r>
      <w:r>
        <w:rPr>
          <w:rFonts w:hint="eastAsia" w:ascii="微软雅黑" w:hAnsi="微软雅黑" w:eastAsia="微软雅黑" w:cs="微软雅黑"/>
          <w:lang w:val="en-US" w:eastAsia="zh-CN"/>
        </w:rPr>
        <w:t>继续保留</w:t>
      </w:r>
      <w:r>
        <w:t xml:space="preserve"> AI </w:t>
      </w:r>
      <w:r>
        <w:rPr>
          <w:rFonts w:hint="eastAsia" w:ascii="微软雅黑" w:hAnsi="微软雅黑" w:eastAsia="微软雅黑" w:cs="微软雅黑"/>
          <w:lang w:eastAsia="zh-CN"/>
        </w:rPr>
        <w:t>助手</w:t>
      </w:r>
      <w:r>
        <w:t>“</w:t>
      </w:r>
      <w:r>
        <w:rPr>
          <w:rFonts w:hint="eastAsia" w:ascii="微软雅黑" w:hAnsi="微软雅黑" w:eastAsia="微软雅黑" w:cs="微软雅黑"/>
          <w:lang w:eastAsia="zh-CN"/>
        </w:rPr>
        <w:t>小达</w:t>
      </w:r>
      <w:r>
        <w:t>”</w:t>
      </w:r>
      <w:r>
        <w:rPr>
          <w:rFonts w:hint="eastAsia" w:ascii="微软雅黑" w:hAnsi="微软雅黑" w:eastAsia="微软雅黑" w:cs="微软雅黑"/>
          <w:lang w:eastAsia="zh-CN"/>
        </w:rPr>
        <w:t>浮球入口。</w:t>
      </w:r>
    </w:p>
    <w:p w14:paraId="322F779B">
      <w:pPr>
        <w:pStyle w:val="5"/>
        <w:spacing w:after="130"/>
      </w:pPr>
      <w:r>
        <w:rPr>
          <w:rFonts w:hint="eastAsia" w:ascii="微软雅黑" w:hAnsi="微软雅黑" w:eastAsia="微软雅黑" w:cs="微软雅黑"/>
          <w:b w:val="0"/>
          <w:color w:val="111827"/>
          <w:sz w:val="26"/>
          <w:lang w:eastAsia="zh-CN"/>
        </w:rPr>
        <w:t>议题2：产品中心层级与展示规则</w:t>
      </w:r>
    </w:p>
    <w:p w14:paraId="1F4C162B">
      <w:pPr>
        <w:pStyle w:val="23"/>
        <w:spacing w:after="120"/>
      </w:pPr>
      <w:r>
        <w:rPr>
          <w:rFonts w:hint="eastAsia" w:ascii="微软雅黑" w:hAnsi="微软雅黑" w:eastAsia="微软雅黑" w:cs="微软雅黑"/>
          <w:lang w:eastAsia="zh-CN"/>
        </w:rPr>
        <w:t>产品中心严格按官方产品手册规则划分层级，最深</w:t>
      </w:r>
      <w:r>
        <w:t xml:space="preserve"> 5 </w:t>
      </w:r>
      <w:r>
        <w:rPr>
          <w:rFonts w:hint="eastAsia" w:ascii="微软雅黑" w:hAnsi="微软雅黑" w:eastAsia="微软雅黑" w:cs="微软雅黑"/>
          <w:lang w:eastAsia="zh-CN"/>
        </w:rPr>
        <w:t>级，覆盖天线、馈线、伺服等全品类。</w:t>
      </w:r>
    </w:p>
    <w:p w14:paraId="5C815F4B">
      <w:pPr>
        <w:pStyle w:val="23"/>
        <w:spacing w:after="120"/>
      </w:pPr>
      <w:r>
        <w:rPr>
          <w:rFonts w:hint="eastAsia" w:ascii="微软雅黑" w:hAnsi="微软雅黑" w:eastAsia="微软雅黑" w:cs="微软雅黑"/>
          <w:lang w:eastAsia="zh-CN"/>
        </w:rPr>
        <w:t>天线、馈线、标准伺服转台等常规品类：以数据库＋表格形式完整展示全部指标。</w:t>
      </w:r>
    </w:p>
    <w:p w14:paraId="1943DB69">
      <w:pPr>
        <w:pStyle w:val="23"/>
        <w:spacing w:after="120"/>
      </w:pPr>
      <w:r>
        <w:rPr>
          <w:rFonts w:hint="eastAsia" w:ascii="微软雅黑" w:hAnsi="微软雅黑" w:eastAsia="微软雅黑" w:cs="微软雅黑"/>
          <w:lang w:eastAsia="zh-CN"/>
        </w:rPr>
        <w:t>分系统类产品：指标差异大，采用富文本编辑器自定义编辑展示</w:t>
      </w:r>
      <w:r>
        <w:rPr>
          <w:rFonts w:hint="eastAsia" w:ascii="微软雅黑" w:hAnsi="微软雅黑" w:eastAsia="微软雅黑" w:cs="微软雅黑"/>
          <w:lang w:val="en-US" w:eastAsia="zh-CN"/>
        </w:rPr>
        <w:t>内容</w:t>
      </w:r>
      <w:r>
        <w:rPr>
          <w:rFonts w:hint="eastAsia" w:ascii="微软雅黑" w:hAnsi="微软雅黑" w:eastAsia="微软雅黑" w:cs="微软雅黑"/>
          <w:lang w:eastAsia="zh-CN"/>
        </w:rPr>
        <w:t>。</w:t>
      </w:r>
    </w:p>
    <w:p w14:paraId="66C3D740">
      <w:pPr>
        <w:pStyle w:val="23"/>
        <w:spacing w:after="120"/>
      </w:pPr>
      <w:r>
        <w:rPr>
          <w:rFonts w:hint="eastAsia" w:ascii="微软雅黑" w:hAnsi="微软雅黑" w:eastAsia="微软雅黑" w:cs="微软雅黑"/>
          <w:lang w:eastAsia="zh-CN"/>
        </w:rPr>
        <w:t>新品发布：新增独立板块，采用与分系统一致的富文本展示形式。</w:t>
      </w:r>
    </w:p>
    <w:p w14:paraId="716661CF">
      <w:pPr>
        <w:pStyle w:val="23"/>
        <w:spacing w:after="120"/>
      </w:pPr>
      <w:r>
        <w:rPr>
          <w:rFonts w:hint="eastAsia" w:ascii="微软雅黑" w:hAnsi="微软雅黑" w:eastAsia="微软雅黑" w:cs="微软雅黑"/>
          <w:lang w:val="en-US" w:eastAsia="zh-CN"/>
        </w:rPr>
        <w:t>第九版产品手册中的明星产品</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不考虑</w:t>
      </w:r>
      <w:r>
        <w:rPr>
          <w:rFonts w:hint="eastAsia" w:ascii="微软雅黑" w:hAnsi="微软雅黑" w:eastAsia="微软雅黑" w:cs="微软雅黑"/>
          <w:lang w:eastAsia="zh-CN"/>
        </w:rPr>
        <w:t>。</w:t>
      </w:r>
    </w:p>
    <w:p w14:paraId="2F7D5626">
      <w:pPr>
        <w:pStyle w:val="5"/>
        <w:spacing w:after="130"/>
      </w:pPr>
      <w:r>
        <w:rPr>
          <w:rFonts w:hint="eastAsia" w:ascii="微软雅黑" w:hAnsi="微软雅黑" w:eastAsia="微软雅黑" w:cs="微软雅黑"/>
          <w:b w:val="0"/>
          <w:color w:val="111827"/>
          <w:sz w:val="26"/>
          <w:lang w:eastAsia="zh-CN"/>
        </w:rPr>
        <w:t>议题3：新增板块与功能</w:t>
      </w:r>
    </w:p>
    <w:p w14:paraId="2068AD27">
      <w:pPr>
        <w:pStyle w:val="23"/>
        <w:spacing w:after="120"/>
      </w:pPr>
      <w:r>
        <w:rPr>
          <w:rFonts w:hint="eastAsia" w:ascii="微软雅黑" w:hAnsi="微软雅黑" w:eastAsia="微软雅黑" w:cs="微软雅黑"/>
          <w:lang w:eastAsia="zh-CN"/>
        </w:rPr>
        <w:t>新增</w:t>
      </w:r>
      <w:r>
        <w:t>“</w:t>
      </w:r>
      <w:r>
        <w:rPr>
          <w:rFonts w:hint="eastAsia" w:ascii="微软雅黑" w:hAnsi="微软雅黑" w:eastAsia="微软雅黑" w:cs="微软雅黑"/>
          <w:lang w:eastAsia="zh-CN"/>
        </w:rPr>
        <w:t>解决方案</w:t>
      </w:r>
      <w:r>
        <w:t>”</w:t>
      </w:r>
      <w:r>
        <w:rPr>
          <w:rFonts w:hint="eastAsia" w:ascii="微软雅黑" w:hAnsi="微软雅黑" w:eastAsia="微软雅黑" w:cs="微软雅黑"/>
          <w:lang w:eastAsia="zh-CN"/>
        </w:rPr>
        <w:t>板块：按气象雷达、卫星通信等应用领域划分，聚合对应领域下的关联产品，为行业用户提供选型便利；板块内产品链接直接跳转原产品体系页面，不重复建设内容。</w:t>
      </w:r>
    </w:p>
    <w:p w14:paraId="2A8A9A69">
      <w:pPr>
        <w:pStyle w:val="23"/>
        <w:spacing w:after="120"/>
      </w:pPr>
      <w:r>
        <w:rPr>
          <w:rFonts w:hint="eastAsia" w:ascii="微软雅黑" w:hAnsi="微软雅黑" w:eastAsia="微软雅黑" w:cs="微软雅黑"/>
          <w:lang w:eastAsia="zh-CN"/>
        </w:rPr>
        <w:t>搜索筛选：设置频率、</w:t>
      </w:r>
      <w:r>
        <w:rPr>
          <w:rFonts w:hint="eastAsia" w:ascii="微软雅黑" w:hAnsi="微软雅黑" w:eastAsia="微软雅黑" w:cs="微软雅黑"/>
          <w:lang w:val="en-US" w:eastAsia="zh-CN"/>
        </w:rPr>
        <w:t>增益</w:t>
      </w:r>
      <w:r>
        <w:rPr>
          <w:rFonts w:hint="eastAsia" w:ascii="微软雅黑" w:hAnsi="微软雅黑" w:eastAsia="微软雅黑" w:cs="微软雅黑"/>
          <w:lang w:eastAsia="zh-CN"/>
        </w:rPr>
        <w:t>等精细化筛选条件，支持按频段范围快速检索；新品、分系统产品虽不在标准列表展示，但需</w:t>
      </w:r>
      <w:r>
        <w:rPr>
          <w:rFonts w:hint="eastAsia" w:ascii="微软雅黑" w:hAnsi="微软雅黑" w:eastAsia="微软雅黑" w:cs="微软雅黑"/>
          <w:lang w:val="en-US" w:eastAsia="zh-CN"/>
        </w:rPr>
        <w:t>支持可在产品库</w:t>
      </w:r>
      <w:r>
        <w:rPr>
          <w:rFonts w:hint="eastAsia" w:ascii="微软雅黑" w:hAnsi="微软雅黑" w:eastAsia="微软雅黑" w:cs="微软雅黑"/>
          <w:lang w:eastAsia="zh-CN"/>
        </w:rPr>
        <w:t>录入</w:t>
      </w:r>
      <w:r>
        <w:rPr>
          <w:rFonts w:hint="eastAsia" w:ascii="微软雅黑" w:hAnsi="微软雅黑" w:eastAsia="微软雅黑" w:cs="微软雅黑"/>
          <w:lang w:val="en-US" w:eastAsia="zh-CN"/>
        </w:rPr>
        <w:t>对应产品类别的标准产品指标</w:t>
      </w:r>
      <w:r>
        <w:rPr>
          <w:rFonts w:hint="eastAsia" w:ascii="微软雅黑" w:hAnsi="微软雅黑" w:eastAsia="微软雅黑" w:cs="微软雅黑"/>
          <w:lang w:eastAsia="zh-CN"/>
        </w:rPr>
        <w:t>（有指标填指标、没有留空），保障全量产品可被搜索到。</w:t>
      </w:r>
    </w:p>
    <w:p w14:paraId="1245BAFE">
      <w:pPr>
        <w:pStyle w:val="23"/>
        <w:spacing w:after="120"/>
      </w:pPr>
      <w:r>
        <w:rPr>
          <w:rFonts w:hint="eastAsia" w:ascii="微软雅黑" w:hAnsi="微软雅黑" w:eastAsia="微软雅黑" w:cs="微软雅黑"/>
          <w:lang w:eastAsia="zh-CN"/>
        </w:rPr>
        <w:t>规格书下载：</w:t>
      </w:r>
      <w:r>
        <w:rPr>
          <w:rFonts w:hint="eastAsia" w:ascii="微软雅黑" w:hAnsi="微软雅黑" w:eastAsia="微软雅黑" w:cs="微软雅黑"/>
          <w:lang w:val="en-US" w:eastAsia="zh-CN"/>
        </w:rPr>
        <w:t>设置下载按钮，但是点击下载时触发类似现有的“询单”功能引导流程</w:t>
      </w:r>
      <w:r>
        <w:rPr>
          <w:rFonts w:hint="eastAsia" w:ascii="微软雅黑" w:hAnsi="微软雅黑" w:eastAsia="微软雅黑" w:cs="微软雅黑"/>
          <w:lang w:eastAsia="zh-CN"/>
        </w:rPr>
        <w:t>，用户提交</w:t>
      </w:r>
      <w:r>
        <w:rPr>
          <w:rFonts w:hint="eastAsia" w:ascii="微软雅黑" w:hAnsi="微软雅黑" w:eastAsia="微软雅黑" w:cs="微软雅黑"/>
          <w:lang w:val="en-US" w:eastAsia="zh-CN"/>
        </w:rPr>
        <w:t>有效的</w:t>
      </w:r>
      <w:r>
        <w:rPr>
          <w:rFonts w:hint="eastAsia" w:ascii="微软雅黑" w:hAnsi="微软雅黑" w:eastAsia="微软雅黑" w:cs="微软雅黑"/>
          <w:lang w:eastAsia="zh-CN"/>
        </w:rPr>
        <w:t>个人信息后</w:t>
      </w:r>
      <w:r>
        <w:rPr>
          <w:rFonts w:hint="eastAsia" w:ascii="微软雅黑" w:hAnsi="微软雅黑" w:eastAsia="微软雅黑" w:cs="微软雅黑"/>
          <w:lang w:val="en-US" w:eastAsia="zh-CN"/>
        </w:rPr>
        <w:t>录入</w:t>
      </w:r>
      <w:r>
        <w:rPr>
          <w:rFonts w:hint="eastAsia" w:ascii="微软雅黑" w:hAnsi="微软雅黑" w:eastAsia="微软雅黑" w:cs="微软雅黑"/>
          <w:lang w:eastAsia="zh-CN"/>
        </w:rPr>
        <w:t>后台，</w:t>
      </w:r>
      <w:r>
        <w:rPr>
          <w:rFonts w:hint="eastAsia" w:ascii="微软雅黑" w:hAnsi="微软雅黑" w:eastAsia="微软雅黑" w:cs="微软雅黑"/>
          <w:lang w:val="en-US" w:eastAsia="zh-CN"/>
        </w:rPr>
        <w:t>通过</w:t>
      </w:r>
      <w:r>
        <w:rPr>
          <w:rFonts w:hint="eastAsia" w:ascii="微软雅黑" w:hAnsi="微软雅黑" w:eastAsia="微软雅黑" w:cs="微软雅黑"/>
          <w:lang w:eastAsia="zh-CN"/>
        </w:rPr>
        <w:t>邮件</w:t>
      </w:r>
      <w:r>
        <w:rPr>
          <w:rFonts w:hint="eastAsia" w:ascii="微软雅黑" w:hAnsi="微软雅黑" w:eastAsia="微软雅黑" w:cs="微软雅黑"/>
          <w:lang w:val="en-US" w:eastAsia="zh-CN"/>
        </w:rPr>
        <w:t>等形式通知市场部</w:t>
      </w:r>
      <w:r>
        <w:rPr>
          <w:rFonts w:hint="eastAsia" w:ascii="微软雅黑" w:hAnsi="微软雅黑" w:eastAsia="微软雅黑" w:cs="微软雅黑"/>
          <w:lang w:eastAsia="zh-CN"/>
        </w:rPr>
        <w:t>，与现有官网询单系统统一归集用户需求。</w:t>
      </w:r>
    </w:p>
    <w:p w14:paraId="6396E714">
      <w:pPr>
        <w:pStyle w:val="23"/>
        <w:spacing w:after="120"/>
      </w:pPr>
      <w:r>
        <w:rPr>
          <w:rFonts w:hint="eastAsia" w:ascii="微软雅黑" w:hAnsi="微软雅黑" w:eastAsia="微软雅黑" w:cs="微软雅黑"/>
          <w:lang w:eastAsia="zh-CN"/>
        </w:rPr>
        <w:t>浏览量统计：不单独开发，接入第三方统计</w:t>
      </w:r>
      <w:r>
        <w:t xml:space="preserve"> SDK </w:t>
      </w:r>
      <w:r>
        <w:rPr>
          <w:rFonts w:hint="eastAsia" w:ascii="微软雅黑" w:hAnsi="微软雅黑" w:eastAsia="微软雅黑" w:cs="微软雅黑"/>
          <w:lang w:eastAsia="zh-CN"/>
        </w:rPr>
        <w:t>即可。</w:t>
      </w:r>
    </w:p>
    <w:p w14:paraId="5F23EA77">
      <w:pPr>
        <w:pStyle w:val="5"/>
        <w:spacing w:after="130"/>
      </w:pPr>
      <w:r>
        <w:rPr>
          <w:rFonts w:hint="eastAsia" w:ascii="微软雅黑" w:hAnsi="微软雅黑" w:eastAsia="微软雅黑" w:cs="微软雅黑"/>
          <w:b w:val="0"/>
          <w:color w:val="111827"/>
          <w:sz w:val="26"/>
          <w:lang w:eastAsia="zh-CN"/>
        </w:rPr>
        <w:t>议题4：数据迁移与搜索引擎适配</w:t>
      </w:r>
    </w:p>
    <w:p w14:paraId="43B7F70F">
      <w:pPr>
        <w:pStyle w:val="23"/>
        <w:spacing w:after="120"/>
      </w:pPr>
      <w:r>
        <w:rPr>
          <w:rFonts w:hint="eastAsia" w:ascii="微软雅黑" w:hAnsi="微软雅黑" w:eastAsia="微软雅黑" w:cs="微软雅黑"/>
          <w:lang w:eastAsia="zh-CN"/>
        </w:rPr>
        <w:t>旧网站存量数据批量导入新系统，无需人工逐条录入；</w:t>
      </w:r>
      <w:r>
        <w:rPr>
          <w:rFonts w:hint="eastAsia" w:ascii="微软雅黑" w:hAnsi="微软雅黑" w:eastAsia="微软雅黑" w:cs="微软雅黑"/>
          <w:lang w:val="en-US" w:eastAsia="zh-CN"/>
        </w:rPr>
        <w:t>旧网站的产品数据IT建议采用现有小程序的数据源作为新网站的数据来源，可导入或者直接复用，确保数据源统一。</w:t>
      </w:r>
      <w:r>
        <w:rPr>
          <w:rFonts w:hint="eastAsia" w:ascii="微软雅黑" w:hAnsi="微软雅黑" w:eastAsia="微软雅黑" w:cs="微软雅黑"/>
          <w:b/>
          <w:bCs/>
          <w:lang w:val="en-US" w:eastAsia="zh-CN"/>
        </w:rPr>
        <w:t>同时要考虑新的产品信息管理平台作为小程序和新官网的唯一数据管理平台，一处改动，多处同步，实现数据源的统一管理和一致性</w:t>
      </w:r>
      <w:r>
        <w:rPr>
          <w:rFonts w:hint="eastAsia" w:ascii="微软雅黑" w:hAnsi="微软雅黑" w:eastAsia="微软雅黑" w:cs="微软雅黑"/>
          <w:b/>
          <w:bCs/>
          <w:lang w:eastAsia="zh-CN"/>
        </w:rPr>
        <w:t>。</w:t>
      </w:r>
    </w:p>
    <w:p w14:paraId="796B949D">
      <w:pPr>
        <w:pStyle w:val="23"/>
        <w:spacing w:after="120"/>
      </w:pPr>
      <w:r>
        <w:rPr>
          <w:rFonts w:hint="eastAsia" w:ascii="微软雅黑" w:hAnsi="微软雅黑" w:eastAsia="微软雅黑" w:cs="微软雅黑"/>
          <w:lang w:eastAsia="zh-CN"/>
        </w:rPr>
        <w:t>旧站</w:t>
      </w:r>
      <w:r>
        <w:t xml:space="preserve"> PHP </w:t>
      </w:r>
      <w:r>
        <w:rPr>
          <w:rFonts w:hint="eastAsia" w:ascii="微软雅黑" w:hAnsi="微软雅黑" w:eastAsia="微软雅黑" w:cs="微软雅黑"/>
          <w:lang w:eastAsia="zh-CN"/>
        </w:rPr>
        <w:t>链接全部废弃，改版完成后主动向搜索引擎提交新站点链接，重新完成收录。</w:t>
      </w:r>
    </w:p>
    <w:p w14:paraId="0CCCA39B">
      <w:pPr>
        <w:pStyle w:val="5"/>
        <w:spacing w:after="130"/>
      </w:pPr>
      <w:r>
        <w:rPr>
          <w:rFonts w:hint="eastAsia" w:ascii="微软雅黑" w:hAnsi="微软雅黑" w:eastAsia="微软雅黑" w:cs="微软雅黑"/>
          <w:b w:val="0"/>
          <w:color w:val="111827"/>
          <w:sz w:val="26"/>
          <w:lang w:eastAsia="zh-CN"/>
        </w:rPr>
        <w:t>议题5：合规与保密要求</w:t>
      </w:r>
    </w:p>
    <w:p w14:paraId="275DA126">
      <w:pPr>
        <w:pStyle w:val="23"/>
        <w:spacing w:after="120"/>
      </w:pPr>
      <w:r>
        <w:rPr>
          <w:rFonts w:hint="eastAsia" w:ascii="微软雅黑" w:hAnsi="微软雅黑" w:eastAsia="微软雅黑" w:cs="微软雅黑"/>
          <w:lang w:eastAsia="zh-CN"/>
        </w:rPr>
        <w:t>宣传用语不得使用</w:t>
      </w:r>
      <w:r>
        <w:t>“</w:t>
      </w:r>
      <w:r>
        <w:rPr>
          <w:rFonts w:hint="eastAsia" w:ascii="微软雅黑" w:hAnsi="微软雅黑" w:eastAsia="微软雅黑" w:cs="微软雅黑"/>
          <w:lang w:eastAsia="zh-CN"/>
        </w:rPr>
        <w:t>第一</w:t>
      </w:r>
      <w:r>
        <w:t>”</w:t>
      </w:r>
      <w:r>
        <w:rPr>
          <w:rFonts w:hint="eastAsia" w:ascii="微软雅黑" w:hAnsi="微软雅黑" w:eastAsia="微软雅黑" w:cs="微软雅黑"/>
          <w:lang w:eastAsia="zh-CN"/>
        </w:rPr>
        <w:t>等违反广告法的极限表述（</w:t>
      </w:r>
      <w:r>
        <w:rPr>
          <w:rFonts w:hint="eastAsia" w:ascii="微软雅黑" w:hAnsi="微软雅黑" w:eastAsia="微软雅黑" w:cs="微软雅黑"/>
          <w:lang w:val="en-US" w:eastAsia="zh-CN"/>
        </w:rPr>
        <w:t>可能面临</w:t>
      </w:r>
      <w:r>
        <w:rPr>
          <w:rFonts w:hint="eastAsia" w:ascii="微软雅黑" w:hAnsi="微软雅黑" w:eastAsia="微软雅黑" w:cs="微软雅黑"/>
          <w:lang w:eastAsia="zh-CN"/>
        </w:rPr>
        <w:t>被职业打假人投诉、市场监管部门认定虚假宣传，面临最高</w:t>
      </w:r>
      <w:r>
        <w:t xml:space="preserve"> 20 </w:t>
      </w:r>
      <w:r>
        <w:rPr>
          <w:rFonts w:hint="eastAsia" w:ascii="微软雅黑" w:hAnsi="微软雅黑" w:eastAsia="微软雅黑" w:cs="微软雅黑"/>
          <w:lang w:eastAsia="zh-CN"/>
        </w:rPr>
        <w:t>万元处罚风险）；所有宣传内容须有资质证明支撑。</w:t>
      </w:r>
    </w:p>
    <w:p w14:paraId="42B75554">
      <w:pPr>
        <w:pStyle w:val="23"/>
        <w:spacing w:after="120"/>
      </w:pPr>
      <w:r>
        <w:rPr>
          <w:rFonts w:hint="eastAsia" w:ascii="微软雅黑" w:hAnsi="微软雅黑" w:eastAsia="微软雅黑" w:cs="微软雅黑"/>
          <w:lang w:eastAsia="zh-CN"/>
        </w:rPr>
        <w:t>网站所用字体、引用的第三方资料须提前核查版权，规避侵权风险。</w:t>
      </w:r>
    </w:p>
    <w:p w14:paraId="224461B4">
      <w:pPr>
        <w:pStyle w:val="23"/>
        <w:spacing w:after="120"/>
        <w:rPr>
          <w:b/>
          <w:bCs/>
        </w:rPr>
      </w:pPr>
      <w:r>
        <w:rPr>
          <w:rFonts w:hint="eastAsia" w:ascii="微软雅黑" w:hAnsi="微软雅黑" w:eastAsia="微软雅黑" w:cs="微软雅黑"/>
          <w:b/>
          <w:bCs/>
          <w:lang w:val="en-US" w:eastAsia="zh-CN"/>
        </w:rPr>
        <w:t>注意网站应只展示</w:t>
      </w:r>
      <w:r>
        <w:rPr>
          <w:rFonts w:hint="eastAsia" w:ascii="微软雅黑" w:hAnsi="微软雅黑" w:eastAsia="微软雅黑" w:cs="微软雅黑"/>
          <w:b/>
          <w:bCs/>
          <w:lang w:eastAsia="zh-CN"/>
        </w:rPr>
        <w:t>非涉密内容。</w:t>
      </w:r>
    </w:p>
    <w:p w14:paraId="0284427D">
      <w:pPr>
        <w:pStyle w:val="5"/>
        <w:spacing w:after="130"/>
      </w:pPr>
      <w:r>
        <w:rPr>
          <w:rFonts w:hint="eastAsia" w:ascii="微软雅黑" w:hAnsi="微软雅黑" w:eastAsia="微软雅黑" w:cs="微软雅黑"/>
          <w:b w:val="0"/>
          <w:color w:val="111827"/>
          <w:sz w:val="26"/>
          <w:lang w:eastAsia="zh-CN"/>
        </w:rPr>
        <w:t>议题6：字段标准化</w:t>
      </w:r>
    </w:p>
    <w:p w14:paraId="0A2C4D16">
      <w:pPr>
        <w:pStyle w:val="23"/>
        <w:spacing w:after="120"/>
      </w:pPr>
      <w:r>
        <w:rPr>
          <w:rFonts w:hint="eastAsia" w:ascii="微软雅黑" w:hAnsi="微软雅黑" w:eastAsia="微软雅黑" w:cs="微软雅黑"/>
          <w:lang w:eastAsia="zh-CN"/>
        </w:rPr>
        <w:t>统一产品指标字段命名与单位写法，修正</w:t>
      </w:r>
      <w:r>
        <w:t>“</w:t>
      </w:r>
      <w:r>
        <w:rPr>
          <w:rFonts w:hint="eastAsia" w:ascii="微软雅黑" w:hAnsi="微软雅黑" w:eastAsia="微软雅黑" w:cs="微软雅黑"/>
          <w:lang w:eastAsia="zh-CN"/>
        </w:rPr>
        <w:t>圆波导内径／圆波导内直径</w:t>
      </w:r>
      <w:r>
        <w:t>”</w:t>
      </w:r>
      <w:r>
        <w:rPr>
          <w:rFonts w:hint="eastAsia" w:ascii="微软雅黑" w:hAnsi="微软雅黑" w:eastAsia="微软雅黑" w:cs="微软雅黑"/>
          <w:lang w:eastAsia="zh-CN"/>
        </w:rPr>
        <w:t>等表述不一致问题；单位写法按国标执行（如</w:t>
      </w:r>
      <w:r>
        <w:t xml:space="preserve"> kW</w:t>
      </w:r>
      <w:r>
        <w:rPr>
          <w:rFonts w:hint="eastAsia" w:ascii="微软雅黑" w:hAnsi="微软雅黑" w:eastAsia="微软雅黑" w:cs="微软雅黑"/>
          <w:lang w:eastAsia="zh-CN"/>
        </w:rPr>
        <w:t>、</w:t>
      </w:r>
      <w:r>
        <w:t>kg</w:t>
      </w:r>
      <w:r>
        <w:rPr>
          <w:rFonts w:hint="eastAsia" w:ascii="微软雅黑" w:hAnsi="微软雅黑" w:eastAsia="微软雅黑" w:cs="微软雅黑"/>
          <w:lang w:eastAsia="zh-CN"/>
        </w:rPr>
        <w:t>）。</w:t>
      </w:r>
    </w:p>
    <w:p w14:paraId="64EC613F">
      <w:pPr>
        <w:pStyle w:val="4"/>
      </w:pPr>
      <w:bookmarkStart w:id="3" w:name="section-4"/>
      <w:bookmarkEnd w:id="3"/>
      <w:r>
        <w:rPr>
          <w:rFonts w:hint="eastAsia" w:ascii="微软雅黑" w:hAnsi="微软雅黑" w:eastAsia="微软雅黑" w:cs="微软雅黑"/>
          <w:b w:val="0"/>
          <w:color w:val="111827"/>
          <w:sz w:val="30"/>
          <w:lang w:val="en-US" w:eastAsia="zh-CN"/>
        </w:rPr>
        <w:t>三</w:t>
      </w:r>
      <w:r>
        <w:rPr>
          <w:rFonts w:hint="eastAsia" w:ascii="微软雅黑" w:hAnsi="微软雅黑" w:eastAsia="微软雅黑" w:cs="微软雅黑"/>
          <w:b w:val="0"/>
          <w:color w:val="111827"/>
          <w:sz w:val="30"/>
          <w:lang w:eastAsia="zh-CN"/>
        </w:rPr>
        <w:t>、决议事项</w:t>
      </w:r>
    </w:p>
    <w:p w14:paraId="26D51077">
      <w:pPr>
        <w:pStyle w:val="16"/>
        <w:pBdr>
          <w:bottom w:val="single" w:color="E5E7EB" w:sz="6" w:space="0"/>
        </w:pBdr>
        <w:spacing w:after="120"/>
      </w:pPr>
      <w:r>
        <w:rPr>
          <w:rFonts w:hint="eastAsia" w:ascii="微软雅黑" w:hAnsi="微软雅黑" w:eastAsia="微软雅黑" w:cs="微软雅黑"/>
          <w:lang w:eastAsia="zh-CN"/>
        </w:rPr>
        <w:t>官网改版采用现代</w:t>
      </w:r>
      <w:r>
        <w:rPr>
          <w:rFonts w:hint="eastAsia" w:ascii="微软雅黑" w:hAnsi="微软雅黑" w:eastAsia="微软雅黑" w:cs="微软雅黑"/>
          <w:lang w:val="en-US" w:eastAsia="zh-CN"/>
        </w:rPr>
        <w:t>化</w:t>
      </w:r>
      <w:r>
        <w:rPr>
          <w:rFonts w:hint="eastAsia" w:ascii="微软雅黑" w:hAnsi="微软雅黑" w:eastAsia="微软雅黑" w:cs="微软雅黑"/>
          <w:lang w:eastAsia="zh-CN"/>
        </w:rPr>
        <w:t>风格，产品中心按官方手册规则划分层级，最深 5 级。</w:t>
      </w:r>
    </w:p>
    <w:p w14:paraId="30E9AF23">
      <w:pPr>
        <w:pStyle w:val="16"/>
        <w:pBdr>
          <w:bottom w:val="single" w:color="E5E7EB" w:sz="6" w:space="0"/>
        </w:pBdr>
        <w:spacing w:after="120"/>
      </w:pPr>
      <w:r>
        <w:rPr>
          <w:rFonts w:hint="eastAsia" w:ascii="微软雅黑" w:hAnsi="微软雅黑" w:eastAsia="微软雅黑" w:cs="微软雅黑"/>
          <w:lang w:val="en-US" w:eastAsia="zh-CN"/>
        </w:rPr>
        <w:t>在当前已经高层审批通过的首页的基础之上，</w:t>
      </w:r>
      <w:r>
        <w:rPr>
          <w:rFonts w:hint="eastAsia" w:ascii="微软雅黑" w:hAnsi="微软雅黑" w:eastAsia="微软雅黑" w:cs="微软雅黑"/>
          <w:lang w:eastAsia="zh-CN"/>
        </w:rPr>
        <w:t>先制作产品展示板块、</w:t>
      </w:r>
      <w:r>
        <w:rPr>
          <w:rFonts w:hint="eastAsia" w:ascii="微软雅黑" w:hAnsi="微软雅黑" w:eastAsia="微软雅黑" w:cs="微软雅黑"/>
          <w:lang w:val="en-US" w:eastAsia="zh-CN"/>
        </w:rPr>
        <w:t>解决方案板块的可交互</w:t>
      </w:r>
      <w:r>
        <w:rPr>
          <w:rFonts w:hint="eastAsia" w:ascii="微软雅黑" w:hAnsi="微软雅黑" w:eastAsia="微软雅黑" w:cs="微软雅黑"/>
          <w:lang w:eastAsia="zh-CN"/>
        </w:rPr>
        <w:t xml:space="preserve"> demo，</w:t>
      </w:r>
      <w:r>
        <w:rPr>
          <w:rFonts w:hint="eastAsia" w:ascii="微软雅黑" w:hAnsi="微软雅黑" w:eastAsia="微软雅黑" w:cs="微软雅黑"/>
          <w:lang w:val="en-US" w:eastAsia="zh-CN"/>
        </w:rPr>
        <w:t>双方先详细沟通需求，再至少制定出1</w:t>
      </w:r>
      <w:r>
        <w:rPr>
          <w:rFonts w:hint="eastAsia" w:ascii="微软雅黑" w:hAnsi="微软雅黑" w:eastAsia="微软雅黑" w:cs="微软雅黑"/>
          <w:lang w:eastAsia="zh-CN"/>
        </w:rPr>
        <w:t xml:space="preserve"> 套方案供高层（</w:t>
      </w:r>
      <w:r>
        <w:rPr>
          <w:rFonts w:hint="eastAsia" w:ascii="微软雅黑" w:hAnsi="微软雅黑" w:eastAsia="微软雅黑" w:cs="微软雅黑"/>
          <w:lang w:val="en-US" w:eastAsia="zh-CN"/>
        </w:rPr>
        <w:t>马总）</w:t>
      </w:r>
      <w:r>
        <w:rPr>
          <w:rFonts w:hint="eastAsia" w:ascii="微软雅黑" w:hAnsi="微软雅黑" w:eastAsia="微软雅黑" w:cs="微软雅黑"/>
          <w:lang w:eastAsia="zh-CN"/>
        </w:rPr>
        <w:t>选择</w:t>
      </w:r>
      <w:r>
        <w:rPr>
          <w:rFonts w:hint="eastAsia" w:ascii="微软雅黑" w:hAnsi="微软雅黑" w:eastAsia="微软雅黑" w:cs="微软雅黑"/>
          <w:lang w:val="en-US" w:eastAsia="zh-CN"/>
        </w:rPr>
        <w:t>决策</w:t>
      </w:r>
      <w:r>
        <w:rPr>
          <w:rFonts w:hint="eastAsia" w:ascii="微软雅黑" w:hAnsi="微软雅黑" w:eastAsia="微软雅黑" w:cs="微软雅黑"/>
          <w:lang w:eastAsia="zh-CN"/>
        </w:rPr>
        <w:t>，确认后再推进全量页面开发。</w:t>
      </w:r>
    </w:p>
    <w:p w14:paraId="079F3E0F">
      <w:pPr>
        <w:pStyle w:val="16"/>
        <w:pBdr>
          <w:bottom w:val="single" w:color="E5E7EB" w:sz="6" w:space="0"/>
        </w:pBdr>
        <w:spacing w:after="120"/>
      </w:pPr>
      <w:r>
        <w:rPr>
          <w:rFonts w:hint="eastAsia" w:ascii="微软雅黑" w:hAnsi="微软雅黑" w:eastAsia="微软雅黑" w:cs="微软雅黑"/>
          <w:lang w:eastAsia="zh-CN"/>
        </w:rPr>
        <w:t>官网改版全流程</w:t>
      </w:r>
      <w:r>
        <w:rPr>
          <w:rFonts w:hint="eastAsia" w:ascii="微软雅黑" w:hAnsi="微软雅黑" w:eastAsia="微软雅黑" w:cs="微软雅黑"/>
          <w:lang w:val="en-US" w:eastAsia="zh-CN"/>
        </w:rPr>
        <w:t>最晚</w:t>
      </w:r>
      <w:r>
        <w:rPr>
          <w:rFonts w:hint="eastAsia" w:ascii="微软雅黑" w:hAnsi="微软雅黑" w:eastAsia="微软雅黑" w:cs="微软雅黑"/>
          <w:lang w:eastAsia="zh-CN"/>
        </w:rPr>
        <w:t>于 2026 年底前上线，预留 1 个月备案周期，整体工期规划至 11 月。</w:t>
      </w:r>
    </w:p>
    <w:p w14:paraId="0AE07E59">
      <w:pPr>
        <w:pStyle w:val="16"/>
        <w:pBdr>
          <w:bottom w:val="single" w:color="E5E7EB" w:sz="6" w:space="0"/>
        </w:pBdr>
        <w:spacing w:after="120"/>
      </w:pPr>
      <w:r>
        <w:rPr>
          <w:rFonts w:hint="eastAsia" w:ascii="微软雅黑" w:hAnsi="微软雅黑" w:eastAsia="微软雅黑" w:cs="微软雅黑"/>
          <w:lang w:eastAsia="zh-CN"/>
        </w:rPr>
        <w:t>解决方案板块分类由崔总定义并提供内容，先从气象雷达这一典型领域做起，</w:t>
      </w:r>
      <w:r>
        <w:rPr>
          <w:rFonts w:hint="eastAsia" w:ascii="微软雅黑" w:hAnsi="微软雅黑" w:eastAsia="微软雅黑" w:cs="微软雅黑"/>
          <w:lang w:val="en-US" w:eastAsia="zh-CN"/>
        </w:rPr>
        <w:t>管理后台应支持动态添加类别</w:t>
      </w:r>
      <w:r>
        <w:rPr>
          <w:rFonts w:hint="eastAsia" w:ascii="微软雅黑" w:hAnsi="微软雅黑" w:eastAsia="微软雅黑" w:cs="微软雅黑"/>
          <w:lang w:eastAsia="zh-CN"/>
        </w:rPr>
        <w:t>。</w:t>
      </w:r>
    </w:p>
    <w:p w14:paraId="65926CA4">
      <w:pPr>
        <w:pStyle w:val="4"/>
      </w:pPr>
      <w:bookmarkStart w:id="4" w:name="section-5"/>
      <w:bookmarkEnd w:id="4"/>
      <w:r>
        <w:rPr>
          <w:rFonts w:hint="eastAsia" w:ascii="微软雅黑" w:hAnsi="微软雅黑" w:eastAsia="微软雅黑" w:cs="微软雅黑"/>
          <w:b w:val="0"/>
          <w:color w:val="111827"/>
          <w:sz w:val="30"/>
          <w:lang w:val="en-US" w:eastAsia="zh-CN"/>
        </w:rPr>
        <w:t>四</w:t>
      </w:r>
      <w:r>
        <w:rPr>
          <w:rFonts w:hint="eastAsia" w:ascii="微软雅黑" w:hAnsi="微软雅黑" w:eastAsia="微软雅黑" w:cs="微软雅黑"/>
          <w:b w:val="0"/>
          <w:color w:val="111827"/>
          <w:sz w:val="30"/>
          <w:lang w:eastAsia="zh-CN"/>
        </w:rPr>
        <w:t>、</w:t>
      </w:r>
      <w:r>
        <w:rPr>
          <w:rFonts w:hint="eastAsia" w:ascii="微软雅黑" w:hAnsi="微软雅黑" w:eastAsia="微软雅黑" w:cs="微软雅黑"/>
          <w:b w:val="0"/>
          <w:color w:val="111827"/>
          <w:sz w:val="30"/>
          <w:lang w:val="en-US" w:eastAsia="zh-CN"/>
        </w:rPr>
        <w:t>任务</w:t>
      </w:r>
      <w:r>
        <w:rPr>
          <w:rFonts w:hint="eastAsia" w:ascii="微软雅黑" w:hAnsi="微软雅黑" w:eastAsia="微软雅黑" w:cs="微软雅黑"/>
          <w:b w:val="0"/>
          <w:color w:val="111827"/>
          <w:sz w:val="30"/>
          <w:lang w:eastAsia="zh-CN"/>
        </w:rPr>
        <w:t>事项、负责人及预计完成时间</w:t>
      </w:r>
    </w:p>
    <w:p w14:paraId="0DA3788E">
      <w:r>
        <w:rPr>
          <w:rFonts w:hint="eastAsia" w:ascii="微软雅黑" w:hAnsi="微软雅黑" w:eastAsia="微软雅黑" w:cs="微软雅黑"/>
          <w:lang w:eastAsia="zh-CN"/>
        </w:rPr>
        <w:t>下表汇总本次会议明确的待办事项、责任人与时间节点。</w:t>
      </w:r>
    </w:p>
    <w:tbl>
      <w:tblPr>
        <w:tblStyle w:val="32"/>
        <w:tblW w:w="5000" w:type="pct"/>
        <w:tblInd w:w="0" w:type="dxa"/>
        <w:tblLayout w:type="autofit"/>
        <w:tblCellMar>
          <w:top w:w="0" w:type="dxa"/>
          <w:left w:w="108" w:type="dxa"/>
          <w:bottom w:w="0" w:type="dxa"/>
          <w:right w:w="108" w:type="dxa"/>
        </w:tblCellMar>
      </w:tblPr>
      <w:tblGrid>
        <w:gridCol w:w="702"/>
        <w:gridCol w:w="4046"/>
        <w:gridCol w:w="1933"/>
        <w:gridCol w:w="2111"/>
      </w:tblGrid>
      <w:tr w14:paraId="1FDE64A6">
        <w:tblPrEx>
          <w:tblCellMar>
            <w:top w:w="0" w:type="dxa"/>
            <w:left w:w="108" w:type="dxa"/>
            <w:bottom w:w="0" w:type="dxa"/>
            <w:right w:w="108" w:type="dxa"/>
          </w:tblCellMar>
        </w:tblPrEx>
        <w:tc>
          <w:tcPr>
            <w:tcW w:w="399" w:type="pct"/>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3DF5ABDA">
            <w:pPr>
              <w:spacing w:before="45" w:after="45" w:line="240" w:lineRule="auto"/>
              <w:jc w:val="center"/>
            </w:pPr>
            <w:r>
              <w:rPr>
                <w:b/>
                <w:sz w:val="18"/>
              </w:rPr>
              <w:t>序号</w:t>
            </w:r>
          </w:p>
        </w:tc>
        <w:tc>
          <w:tcPr>
            <w:tcW w:w="2300" w:type="pct"/>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68C4248E">
            <w:pPr>
              <w:spacing w:before="45" w:after="45" w:line="240" w:lineRule="auto"/>
              <w:jc w:val="center"/>
            </w:pPr>
            <w:r>
              <w:rPr>
                <w:b/>
                <w:sz w:val="18"/>
              </w:rPr>
              <w:t>事项</w:t>
            </w:r>
          </w:p>
        </w:tc>
        <w:tc>
          <w:tcPr>
            <w:tcW w:w="1099" w:type="pct"/>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456EEAE4">
            <w:pPr>
              <w:spacing w:before="45" w:after="45" w:line="240" w:lineRule="auto"/>
              <w:jc w:val="center"/>
            </w:pPr>
            <w:r>
              <w:rPr>
                <w:b/>
                <w:sz w:val="18"/>
              </w:rPr>
              <w:t>负责人</w:t>
            </w:r>
          </w:p>
        </w:tc>
        <w:tc>
          <w:tcPr>
            <w:tcW w:w="1200" w:type="pct"/>
            <w:tcBorders>
              <w:top w:val="single" w:color="E5E7EB" w:sz="6" w:space="0"/>
              <w:left w:val="single" w:color="E5E7EB" w:sz="6" w:space="0"/>
              <w:bottom w:val="single" w:color="E5E7EB" w:sz="6" w:space="0"/>
              <w:right w:val="single" w:color="E5E7EB" w:sz="6" w:space="0"/>
            </w:tcBorders>
            <w:shd w:val="clear" w:color="auto" w:fill="FEF3C7"/>
            <w:tcMar>
              <w:top w:w="120" w:type="dxa"/>
              <w:left w:w="240" w:type="dxa"/>
              <w:bottom w:w="120" w:type="dxa"/>
              <w:right w:w="240" w:type="dxa"/>
            </w:tcMar>
            <w:vAlign w:val="center"/>
          </w:tcPr>
          <w:p w14:paraId="7BFA5132">
            <w:pPr>
              <w:spacing w:before="45" w:after="45" w:line="240" w:lineRule="auto"/>
              <w:jc w:val="center"/>
            </w:pPr>
            <w:r>
              <w:rPr>
                <w:b/>
                <w:sz w:val="18"/>
              </w:rPr>
              <w:t>预计完成时间</w:t>
            </w:r>
          </w:p>
        </w:tc>
      </w:tr>
      <w:tr w14:paraId="298B8B07">
        <w:tblPrEx>
          <w:tblCellMar>
            <w:top w:w="0" w:type="dxa"/>
            <w:left w:w="108" w:type="dxa"/>
            <w:bottom w:w="0" w:type="dxa"/>
            <w:right w:w="108" w:type="dxa"/>
          </w:tblCellMar>
        </w:tblPrEx>
        <w:tc>
          <w:tcPr>
            <w:tcW w:w="3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055E7903">
            <w:pPr>
              <w:spacing w:before="45" w:after="45" w:line="240" w:lineRule="auto"/>
              <w:jc w:val="left"/>
            </w:pPr>
            <w:r>
              <w:rPr>
                <w:sz w:val="18"/>
              </w:rPr>
              <w:t>1</w:t>
            </w:r>
          </w:p>
        </w:tc>
        <w:tc>
          <w:tcPr>
            <w:tcW w:w="23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7C783682">
            <w:pPr>
              <w:spacing w:before="45" w:after="45" w:line="240" w:lineRule="auto"/>
              <w:jc w:val="left"/>
              <w:rPr>
                <w:b/>
                <w:bCs/>
              </w:rPr>
            </w:pPr>
            <w:r>
              <w:rPr>
                <w:rFonts w:hint="eastAsia" w:eastAsia="宋体"/>
                <w:b/>
                <w:bCs/>
                <w:sz w:val="18"/>
                <w:lang w:val="en-US" w:eastAsia="zh-CN"/>
              </w:rPr>
              <w:t>产品展示、解决方案、规格书下载请求等过程的</w:t>
            </w:r>
            <w:r>
              <w:rPr>
                <w:b/>
                <w:bCs/>
                <w:sz w:val="18"/>
              </w:rPr>
              <w:t xml:space="preserve">高保真页面设计  demo （至少  </w:t>
            </w:r>
            <w:r>
              <w:rPr>
                <w:rFonts w:hint="eastAsia" w:eastAsia="宋体"/>
                <w:b/>
                <w:bCs/>
                <w:sz w:val="18"/>
                <w:lang w:val="en-US" w:eastAsia="zh-CN"/>
              </w:rPr>
              <w:t>1</w:t>
            </w:r>
            <w:r>
              <w:rPr>
                <w:b/>
                <w:bCs/>
                <w:sz w:val="18"/>
              </w:rPr>
              <w:t xml:space="preserve">  套方案，供高层选择）</w:t>
            </w:r>
          </w:p>
        </w:tc>
        <w:tc>
          <w:tcPr>
            <w:tcW w:w="10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26C624C7">
            <w:pPr>
              <w:spacing w:before="45" w:after="45" w:line="240" w:lineRule="auto"/>
              <w:jc w:val="left"/>
              <w:rPr>
                <w:b/>
                <w:bCs/>
              </w:rPr>
            </w:pPr>
            <w:r>
              <w:rPr>
                <w:b/>
                <w:bCs/>
                <w:sz w:val="18"/>
              </w:rPr>
              <w:t>陈建立</w:t>
            </w:r>
          </w:p>
        </w:tc>
        <w:tc>
          <w:tcPr>
            <w:tcW w:w="12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115CF184">
            <w:pPr>
              <w:spacing w:before="45" w:after="45" w:line="240" w:lineRule="auto"/>
              <w:jc w:val="left"/>
            </w:pPr>
            <w:r>
              <w:rPr>
                <w:color w:val="FF0000"/>
                <w:sz w:val="18"/>
              </w:rPr>
              <w:t>本周内（ 9 月 12 日前）</w:t>
            </w:r>
          </w:p>
        </w:tc>
      </w:tr>
      <w:tr w14:paraId="567C369B">
        <w:tblPrEx>
          <w:tblCellMar>
            <w:top w:w="0" w:type="dxa"/>
            <w:left w:w="108" w:type="dxa"/>
            <w:bottom w:w="0" w:type="dxa"/>
            <w:right w:w="108" w:type="dxa"/>
          </w:tblCellMar>
        </w:tblPrEx>
        <w:tc>
          <w:tcPr>
            <w:tcW w:w="3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0B304DF4">
            <w:pPr>
              <w:spacing w:before="45" w:after="45" w:line="240" w:lineRule="auto"/>
              <w:jc w:val="left"/>
              <w:rPr>
                <w:rFonts w:hint="eastAsia" w:eastAsia="宋体"/>
                <w:lang w:eastAsia="zh-CN"/>
              </w:rPr>
            </w:pPr>
            <w:r>
              <w:rPr>
                <w:rFonts w:hint="eastAsia" w:eastAsia="宋体"/>
                <w:sz w:val="18"/>
                <w:lang w:val="en-US" w:eastAsia="zh-CN"/>
              </w:rPr>
              <w:t>2</w:t>
            </w:r>
          </w:p>
        </w:tc>
        <w:tc>
          <w:tcPr>
            <w:tcW w:w="23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6FBA1CC5">
            <w:pPr>
              <w:spacing w:before="45" w:after="45" w:line="240" w:lineRule="auto"/>
              <w:jc w:val="left"/>
              <w:rPr>
                <w:b/>
                <w:bCs/>
              </w:rPr>
            </w:pPr>
            <w:r>
              <w:rPr>
                <w:b/>
                <w:bCs/>
                <w:sz w:val="18"/>
              </w:rPr>
              <w:t>解决方案板块分类定义及内容整理（按应用领域，对接各事业部收集产品清单）</w:t>
            </w:r>
          </w:p>
        </w:tc>
        <w:tc>
          <w:tcPr>
            <w:tcW w:w="10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33B6FD9A">
            <w:pPr>
              <w:spacing w:before="45" w:after="45" w:line="240" w:lineRule="auto"/>
              <w:jc w:val="left"/>
              <w:rPr>
                <w:b/>
                <w:bCs/>
              </w:rPr>
            </w:pPr>
            <w:r>
              <w:rPr>
                <w:b/>
                <w:bCs/>
                <w:sz w:val="18"/>
              </w:rPr>
              <w:t>崔总（分类定义）＋</w:t>
            </w:r>
            <w:r>
              <w:rPr>
                <w:rFonts w:hint="eastAsia" w:eastAsia="宋体"/>
                <w:b/>
                <w:bCs/>
                <w:sz w:val="18"/>
                <w:lang w:val="en-US" w:eastAsia="zh-CN"/>
              </w:rPr>
              <w:t>党倩</w:t>
            </w:r>
            <w:r>
              <w:rPr>
                <w:b/>
                <w:bCs/>
                <w:sz w:val="18"/>
              </w:rPr>
              <w:t>（对接事业部）</w:t>
            </w:r>
          </w:p>
        </w:tc>
        <w:tc>
          <w:tcPr>
            <w:tcW w:w="12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0C29B302">
            <w:pPr>
              <w:spacing w:before="45" w:after="45" w:line="240" w:lineRule="auto"/>
              <w:jc w:val="left"/>
              <w:rPr>
                <w:rFonts w:hint="default" w:eastAsia="宋体"/>
                <w:lang w:val="en-US" w:eastAsia="zh-CN"/>
              </w:rPr>
            </w:pPr>
            <w:r>
              <w:rPr>
                <w:rFonts w:hint="eastAsia"/>
                <w:color w:val="FF0000"/>
                <w:sz w:val="18"/>
                <w:lang w:val="en-US" w:eastAsia="zh-CN"/>
              </w:rPr>
              <w:t>最晚本周三给出至少1个分类及其内容、关联产品</w:t>
            </w:r>
          </w:p>
        </w:tc>
      </w:tr>
      <w:tr w14:paraId="3107FCC5">
        <w:tblPrEx>
          <w:tblCellMar>
            <w:top w:w="0" w:type="dxa"/>
            <w:left w:w="108" w:type="dxa"/>
            <w:bottom w:w="0" w:type="dxa"/>
            <w:right w:w="108" w:type="dxa"/>
          </w:tblCellMar>
        </w:tblPrEx>
        <w:tc>
          <w:tcPr>
            <w:tcW w:w="3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38C9FF8B">
            <w:pPr>
              <w:spacing w:before="45" w:after="45" w:line="240" w:lineRule="auto"/>
              <w:jc w:val="left"/>
              <w:rPr>
                <w:rFonts w:hint="eastAsia" w:eastAsia="宋体"/>
                <w:lang w:eastAsia="zh-CN"/>
              </w:rPr>
            </w:pPr>
            <w:r>
              <w:rPr>
                <w:rFonts w:hint="eastAsia" w:eastAsia="宋体"/>
                <w:sz w:val="18"/>
                <w:lang w:val="en-US" w:eastAsia="zh-CN"/>
              </w:rPr>
              <w:t>3</w:t>
            </w:r>
          </w:p>
        </w:tc>
        <w:tc>
          <w:tcPr>
            <w:tcW w:w="23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794F75C2">
            <w:pPr>
              <w:spacing w:before="45" w:after="45" w:line="240" w:lineRule="auto"/>
              <w:jc w:val="left"/>
              <w:rPr>
                <w:rFonts w:hint="default" w:eastAsia="宋体"/>
                <w:lang w:val="en-US" w:eastAsia="zh-CN"/>
              </w:rPr>
            </w:pPr>
            <w:r>
              <w:rPr>
                <w:sz w:val="18"/>
              </w:rPr>
              <w:t>产品指标字段命名及单位国标化统一</w:t>
            </w:r>
            <w:r>
              <w:rPr>
                <w:rFonts w:hint="eastAsia" w:eastAsia="宋体"/>
                <w:sz w:val="18"/>
                <w:lang w:val="en-US" w:eastAsia="zh-CN"/>
              </w:rPr>
              <w:t>问题的解决方案</w:t>
            </w:r>
          </w:p>
        </w:tc>
        <w:tc>
          <w:tcPr>
            <w:tcW w:w="10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5E9FEE8D">
            <w:pPr>
              <w:spacing w:before="45" w:after="45" w:line="240" w:lineRule="auto"/>
              <w:jc w:val="left"/>
              <w:rPr>
                <w:rFonts w:hint="eastAsia" w:eastAsia="宋体"/>
                <w:lang w:eastAsia="zh-CN"/>
              </w:rPr>
            </w:pPr>
            <w:r>
              <w:rPr>
                <w:rFonts w:hint="eastAsia" w:eastAsia="宋体"/>
                <w:sz w:val="18"/>
                <w:lang w:val="en-US" w:eastAsia="zh-CN"/>
              </w:rPr>
              <w:t>市场部</w:t>
            </w:r>
          </w:p>
        </w:tc>
        <w:tc>
          <w:tcPr>
            <w:tcW w:w="12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4BA99263">
            <w:pPr>
              <w:spacing w:before="45" w:after="45" w:line="240" w:lineRule="auto"/>
              <w:jc w:val="left"/>
              <w:rPr>
                <w:rFonts w:hint="default" w:eastAsia="宋体"/>
                <w:lang w:val="en-US" w:eastAsia="zh-CN"/>
              </w:rPr>
            </w:pPr>
            <w:r>
              <w:rPr>
                <w:rFonts w:hint="eastAsia"/>
                <w:sz w:val="18"/>
                <w:lang w:val="en-US" w:eastAsia="zh-CN"/>
              </w:rPr>
              <w:t>新产品信息管理平台开始搭建之前</w:t>
            </w:r>
          </w:p>
        </w:tc>
      </w:tr>
      <w:tr w14:paraId="7251F6D5">
        <w:tblPrEx>
          <w:tblCellMar>
            <w:top w:w="0" w:type="dxa"/>
            <w:left w:w="108" w:type="dxa"/>
            <w:bottom w:w="0" w:type="dxa"/>
            <w:right w:w="108" w:type="dxa"/>
          </w:tblCellMar>
        </w:tblPrEx>
        <w:tc>
          <w:tcPr>
            <w:tcW w:w="3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2D9CD7E2">
            <w:pPr>
              <w:spacing w:before="45" w:after="45" w:line="240" w:lineRule="auto"/>
              <w:jc w:val="left"/>
              <w:rPr>
                <w:rFonts w:hint="eastAsia" w:eastAsia="宋体"/>
                <w:lang w:eastAsia="zh-CN"/>
              </w:rPr>
            </w:pPr>
            <w:r>
              <w:rPr>
                <w:rFonts w:hint="eastAsia" w:eastAsia="宋体"/>
                <w:sz w:val="18"/>
                <w:lang w:val="en-US" w:eastAsia="zh-CN"/>
              </w:rPr>
              <w:t>4</w:t>
            </w:r>
          </w:p>
        </w:tc>
        <w:tc>
          <w:tcPr>
            <w:tcW w:w="23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1A2BD364">
            <w:pPr>
              <w:spacing w:before="45" w:after="45" w:line="240" w:lineRule="auto"/>
              <w:jc w:val="left"/>
            </w:pPr>
            <w:r>
              <w:rPr>
                <w:sz w:val="18"/>
              </w:rPr>
              <w:t>合规排查（宣传用语／字体／资料版权）</w:t>
            </w:r>
          </w:p>
        </w:tc>
        <w:tc>
          <w:tcPr>
            <w:tcW w:w="1099"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24AE121A">
            <w:pPr>
              <w:spacing w:before="45" w:after="45" w:line="240" w:lineRule="auto"/>
              <w:jc w:val="left"/>
              <w:rPr>
                <w:rFonts w:hint="default" w:eastAsia="宋体"/>
                <w:lang w:val="en-US" w:eastAsia="zh-CN"/>
              </w:rPr>
            </w:pPr>
            <w:r>
              <w:rPr>
                <w:rFonts w:hint="eastAsia"/>
                <w:sz w:val="18"/>
                <w:lang w:val="en-US" w:eastAsia="zh-CN"/>
              </w:rPr>
              <w:t>市场部</w:t>
            </w:r>
          </w:p>
        </w:tc>
        <w:tc>
          <w:tcPr>
            <w:tcW w:w="1200" w:type="pct"/>
            <w:tcBorders>
              <w:top w:val="single" w:color="E5E7EB" w:sz="6" w:space="0"/>
              <w:left w:val="single" w:color="E5E7EB" w:sz="6" w:space="0"/>
              <w:bottom w:val="single" w:color="E5E7EB" w:sz="6" w:space="0"/>
              <w:right w:val="single" w:color="E5E7EB" w:sz="6" w:space="0"/>
            </w:tcBorders>
            <w:tcMar>
              <w:top w:w="120" w:type="dxa"/>
              <w:left w:w="240" w:type="dxa"/>
              <w:bottom w:w="120" w:type="dxa"/>
              <w:right w:w="240" w:type="dxa"/>
            </w:tcMar>
            <w:vAlign w:val="center"/>
          </w:tcPr>
          <w:p w14:paraId="40456DB0">
            <w:pPr>
              <w:spacing w:before="45" w:after="45" w:line="240" w:lineRule="auto"/>
              <w:jc w:val="left"/>
            </w:pPr>
            <w:r>
              <w:rPr>
                <w:sz w:val="18"/>
              </w:rPr>
              <w:t>上线前完成</w:t>
            </w:r>
          </w:p>
        </w:tc>
      </w:tr>
    </w:tbl>
    <w:p w14:paraId="706E22B3">
      <w:pPr>
        <w:pStyle w:val="4"/>
      </w:pPr>
      <w:bookmarkStart w:id="5" w:name="section-6"/>
      <w:bookmarkEnd w:id="5"/>
      <w:r>
        <w:rPr>
          <w:rFonts w:hint="eastAsia" w:ascii="微软雅黑" w:hAnsi="微软雅黑" w:eastAsia="微软雅黑" w:cs="微软雅黑"/>
          <w:b w:val="0"/>
          <w:color w:val="111827"/>
          <w:sz w:val="30"/>
          <w:lang w:val="en-US" w:eastAsia="zh-CN"/>
        </w:rPr>
        <w:t>五</w:t>
      </w:r>
      <w:r>
        <w:rPr>
          <w:rFonts w:hint="eastAsia" w:ascii="微软雅黑" w:hAnsi="微软雅黑" w:eastAsia="微软雅黑" w:cs="微软雅黑"/>
          <w:b w:val="0"/>
          <w:color w:val="111827"/>
          <w:sz w:val="30"/>
          <w:lang w:eastAsia="zh-CN"/>
        </w:rPr>
        <w:t>、项目整体节点</w:t>
      </w:r>
    </w:p>
    <w:p w14:paraId="66E91559">
      <w:pPr>
        <w:pStyle w:val="16"/>
        <w:spacing w:after="120"/>
      </w:pPr>
      <w:r>
        <w:rPr>
          <w:rFonts w:hint="eastAsia" w:ascii="微软雅黑" w:hAnsi="微软雅黑" w:eastAsia="微软雅黑" w:cs="微软雅黑"/>
          <w:lang w:eastAsia="zh-CN"/>
        </w:rPr>
        <w:t>官网改版全流程须于</w:t>
      </w:r>
      <w:r>
        <w:t xml:space="preserve"> 2026 </w:t>
      </w:r>
      <w:r>
        <w:rPr>
          <w:rFonts w:hint="eastAsia" w:ascii="微软雅黑" w:hAnsi="微软雅黑" w:eastAsia="微软雅黑" w:cs="微软雅黑"/>
          <w:lang w:eastAsia="zh-CN"/>
        </w:rPr>
        <w:t>年底前完成上线。</w:t>
      </w:r>
    </w:p>
    <w:p w14:paraId="48B42E91">
      <w:pPr>
        <w:pStyle w:val="16"/>
        <w:spacing w:after="120"/>
      </w:pPr>
      <w:r>
        <w:rPr>
          <w:rFonts w:hint="eastAsia" w:ascii="微软雅黑" w:hAnsi="微软雅黑" w:eastAsia="微软雅黑" w:cs="微软雅黑"/>
          <w:lang w:eastAsia="zh-CN"/>
        </w:rPr>
        <w:t>当前为</w:t>
      </w:r>
      <w:r>
        <w:t xml:space="preserve"> 9 </w:t>
      </w:r>
      <w:r>
        <w:rPr>
          <w:rFonts w:hint="eastAsia" w:ascii="微软雅黑" w:hAnsi="微软雅黑" w:eastAsia="微软雅黑" w:cs="微软雅黑"/>
          <w:lang w:eastAsia="zh-CN"/>
        </w:rPr>
        <w:t>月</w:t>
      </w:r>
      <w:r>
        <w:rPr>
          <w:rFonts w:hint="eastAsia" w:ascii="微软雅黑" w:hAnsi="微软雅黑" w:eastAsia="微软雅黑" w:cs="微软雅黑"/>
          <w:lang w:val="en-US" w:eastAsia="zh-CN"/>
        </w:rPr>
        <w:t>上旬</w:t>
      </w:r>
      <w:r>
        <w:rPr>
          <w:rFonts w:hint="eastAsia" w:ascii="微软雅黑" w:hAnsi="微软雅黑" w:eastAsia="微软雅黑" w:cs="微软雅黑"/>
          <w:lang w:eastAsia="zh-CN"/>
        </w:rPr>
        <w:t>，预留</w:t>
      </w:r>
      <w:r>
        <w:t xml:space="preserve"> 1 </w:t>
      </w:r>
      <w:r>
        <w:rPr>
          <w:rFonts w:hint="eastAsia" w:ascii="微软雅黑" w:hAnsi="微软雅黑" w:eastAsia="微软雅黑" w:cs="微软雅黑"/>
          <w:lang w:eastAsia="zh-CN"/>
        </w:rPr>
        <w:t>个月网站备案周期，整体工期规划至</w:t>
      </w:r>
      <w:r>
        <w:t xml:space="preserve"> 11 </w:t>
      </w:r>
      <w:r>
        <w:rPr>
          <w:rFonts w:hint="eastAsia" w:ascii="微软雅黑" w:hAnsi="微软雅黑" w:eastAsia="微软雅黑" w:cs="微软雅黑"/>
          <w:lang w:eastAsia="zh-CN"/>
        </w:rPr>
        <w:t>月，</w:t>
      </w:r>
      <w:r>
        <w:rPr>
          <w:rFonts w:hint="eastAsia" w:ascii="微软雅黑" w:hAnsi="微软雅黑" w:eastAsia="微软雅黑" w:cs="微软雅黑"/>
          <w:lang w:val="en-US" w:eastAsia="zh-CN"/>
        </w:rPr>
        <w:t>从包括需求沟通、功能开发和测试、部署和上线，不到2个半月时间</w:t>
      </w:r>
      <w:r>
        <w:rPr>
          <w:rFonts w:hint="eastAsia" w:ascii="微软雅黑" w:hAnsi="微软雅黑" w:eastAsia="微软雅黑" w:cs="微软雅黑"/>
          <w:lang w:eastAsia="zh-CN"/>
        </w:rPr>
        <w:t>。</w:t>
      </w:r>
      <w:bookmarkStart w:id="6" w:name="section-7"/>
      <w:bookmarkEnd w:id="6"/>
    </w:p>
    <w:sectPr>
      <w:footerReference r:id="rId5"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PingFang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81D97">
    <w:pPr>
      <w:pStyle w:val="24"/>
      <w:tabs>
        <w:tab w:val="center" w:pos="4156"/>
        <w:tab w:val="right" w:pos="8312"/>
      </w:tabs>
    </w:pPr>
    <w:r>
      <w:tab/>
    </w:r>
    <w:r>
      <w:fldChar w:fldCharType="begin"/>
    </w:r>
    <w:r>
      <w:instrText xml:space="preserve">PAGE</w:instrText>
    </w:r>
    <w:r>
      <w:fldChar w:fldCharType="separate"/>
    </w:r>
    <w: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7" w:lineRule="auto"/>
      </w:pPr>
      <w:r>
        <w:separator/>
      </w:r>
    </w:p>
  </w:footnote>
  <w:footnote w:type="continuationSeparator" w:id="1">
    <w:p>
      <w:pPr>
        <w:spacing w:before="0" w:after="0" w:line="34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4D0A"/>
    <w:rsid w:val="0029639D"/>
    <w:rsid w:val="00326F90"/>
    <w:rsid w:val="00AA1D8D"/>
    <w:rsid w:val="00B26687"/>
    <w:rsid w:val="00B47730"/>
    <w:rsid w:val="00BF4FF6"/>
    <w:rsid w:val="00CB0664"/>
    <w:rsid w:val="00FC693F"/>
    <w:rsid w:val="031713E0"/>
    <w:rsid w:val="03A753D5"/>
    <w:rsid w:val="03AF1619"/>
    <w:rsid w:val="03FB241F"/>
    <w:rsid w:val="05FB0B46"/>
    <w:rsid w:val="063F4ED6"/>
    <w:rsid w:val="0655382A"/>
    <w:rsid w:val="075527EB"/>
    <w:rsid w:val="083F472D"/>
    <w:rsid w:val="088D794E"/>
    <w:rsid w:val="09A477E2"/>
    <w:rsid w:val="0D2507B7"/>
    <w:rsid w:val="0D7C6A10"/>
    <w:rsid w:val="0E35096D"/>
    <w:rsid w:val="0F661DB2"/>
    <w:rsid w:val="0F7200CA"/>
    <w:rsid w:val="104D6442"/>
    <w:rsid w:val="12064AFA"/>
    <w:rsid w:val="13372555"/>
    <w:rsid w:val="13392CAD"/>
    <w:rsid w:val="14AB3737"/>
    <w:rsid w:val="14BE466F"/>
    <w:rsid w:val="15E50ECA"/>
    <w:rsid w:val="1732013F"/>
    <w:rsid w:val="17D905BB"/>
    <w:rsid w:val="18BA663E"/>
    <w:rsid w:val="18F85733"/>
    <w:rsid w:val="19C31523"/>
    <w:rsid w:val="1B910EEF"/>
    <w:rsid w:val="1B9A490D"/>
    <w:rsid w:val="1C65518B"/>
    <w:rsid w:val="1D2D5631"/>
    <w:rsid w:val="1DE55F0B"/>
    <w:rsid w:val="1DFE0D7B"/>
    <w:rsid w:val="1E1E766F"/>
    <w:rsid w:val="1EC93137"/>
    <w:rsid w:val="20FD531A"/>
    <w:rsid w:val="21D02A2F"/>
    <w:rsid w:val="23ED78C8"/>
    <w:rsid w:val="242F7EE0"/>
    <w:rsid w:val="24CF521F"/>
    <w:rsid w:val="267A11BB"/>
    <w:rsid w:val="26DE799C"/>
    <w:rsid w:val="273D17C0"/>
    <w:rsid w:val="27B303F9"/>
    <w:rsid w:val="27B378CD"/>
    <w:rsid w:val="283C0E1E"/>
    <w:rsid w:val="2976035F"/>
    <w:rsid w:val="298E56A9"/>
    <w:rsid w:val="2A524929"/>
    <w:rsid w:val="2A53244F"/>
    <w:rsid w:val="2AD43590"/>
    <w:rsid w:val="2B275DB5"/>
    <w:rsid w:val="2B585F6F"/>
    <w:rsid w:val="2BD82C0B"/>
    <w:rsid w:val="2BFC09A7"/>
    <w:rsid w:val="2C376F33"/>
    <w:rsid w:val="2C7566AC"/>
    <w:rsid w:val="2CF9108B"/>
    <w:rsid w:val="2D4F514F"/>
    <w:rsid w:val="2E6B52CE"/>
    <w:rsid w:val="2E734E6D"/>
    <w:rsid w:val="2F3D3B1D"/>
    <w:rsid w:val="2F4E6C71"/>
    <w:rsid w:val="300D4E4E"/>
    <w:rsid w:val="30711881"/>
    <w:rsid w:val="30A81DCB"/>
    <w:rsid w:val="31BE3FC4"/>
    <w:rsid w:val="32D61E6F"/>
    <w:rsid w:val="34030A42"/>
    <w:rsid w:val="346E4A8D"/>
    <w:rsid w:val="34A957B3"/>
    <w:rsid w:val="37104F14"/>
    <w:rsid w:val="374049B2"/>
    <w:rsid w:val="37684286"/>
    <w:rsid w:val="38855EC9"/>
    <w:rsid w:val="38A94E31"/>
    <w:rsid w:val="38DF7A7F"/>
    <w:rsid w:val="39A36764"/>
    <w:rsid w:val="39F33306"/>
    <w:rsid w:val="3BA15C6B"/>
    <w:rsid w:val="3C3D06E1"/>
    <w:rsid w:val="3CDD7F01"/>
    <w:rsid w:val="3EEA1054"/>
    <w:rsid w:val="3F07267D"/>
    <w:rsid w:val="3F174A2A"/>
    <w:rsid w:val="41CF512F"/>
    <w:rsid w:val="435C1F1C"/>
    <w:rsid w:val="43853C8D"/>
    <w:rsid w:val="44B042CE"/>
    <w:rsid w:val="48A26623"/>
    <w:rsid w:val="48C12F4D"/>
    <w:rsid w:val="4B045373"/>
    <w:rsid w:val="4B201A81"/>
    <w:rsid w:val="4B693428"/>
    <w:rsid w:val="4D36558C"/>
    <w:rsid w:val="4D3A32CE"/>
    <w:rsid w:val="4D6E2F78"/>
    <w:rsid w:val="4E487C6D"/>
    <w:rsid w:val="4FD70AD3"/>
    <w:rsid w:val="50011E81"/>
    <w:rsid w:val="50D13F4A"/>
    <w:rsid w:val="51D13AD5"/>
    <w:rsid w:val="51F003FF"/>
    <w:rsid w:val="52667E7D"/>
    <w:rsid w:val="52A80CDA"/>
    <w:rsid w:val="52AD4542"/>
    <w:rsid w:val="54563E15"/>
    <w:rsid w:val="57CC546B"/>
    <w:rsid w:val="58D75E75"/>
    <w:rsid w:val="5B8C6D8B"/>
    <w:rsid w:val="5C013209"/>
    <w:rsid w:val="5CE25D7D"/>
    <w:rsid w:val="5DF27EF8"/>
    <w:rsid w:val="5F313E05"/>
    <w:rsid w:val="5F4F0E5B"/>
    <w:rsid w:val="5F8E1258"/>
    <w:rsid w:val="62A019CE"/>
    <w:rsid w:val="62B80AC5"/>
    <w:rsid w:val="64B4350F"/>
    <w:rsid w:val="65534AD5"/>
    <w:rsid w:val="65FA31A3"/>
    <w:rsid w:val="676964E9"/>
    <w:rsid w:val="677B6565"/>
    <w:rsid w:val="689F6284"/>
    <w:rsid w:val="69EE301F"/>
    <w:rsid w:val="6AAE3FDE"/>
    <w:rsid w:val="6B3B592A"/>
    <w:rsid w:val="6BDF7AB2"/>
    <w:rsid w:val="6DFB21AE"/>
    <w:rsid w:val="6E2A65EF"/>
    <w:rsid w:val="6E440BE4"/>
    <w:rsid w:val="6F5E1933"/>
    <w:rsid w:val="701B4C4C"/>
    <w:rsid w:val="70893AA1"/>
    <w:rsid w:val="713003C1"/>
    <w:rsid w:val="724E4FA2"/>
    <w:rsid w:val="725E38F1"/>
    <w:rsid w:val="727B38BE"/>
    <w:rsid w:val="73DE4104"/>
    <w:rsid w:val="73E55492"/>
    <w:rsid w:val="73ED2599"/>
    <w:rsid w:val="745F6DB9"/>
    <w:rsid w:val="76832D41"/>
    <w:rsid w:val="77334767"/>
    <w:rsid w:val="77ED700C"/>
    <w:rsid w:val="78370287"/>
    <w:rsid w:val="78803C33"/>
    <w:rsid w:val="78A43B6E"/>
    <w:rsid w:val="78EA5944"/>
    <w:rsid w:val="79386064"/>
    <w:rsid w:val="798017B9"/>
    <w:rsid w:val="79B53B59"/>
    <w:rsid w:val="79EB1543"/>
    <w:rsid w:val="7BDA1655"/>
    <w:rsid w:val="7C0E71C5"/>
    <w:rsid w:val="7CB53923"/>
    <w:rsid w:val="7D1943FF"/>
    <w:rsid w:val="7D3B0B84"/>
    <w:rsid w:val="7F266502"/>
    <w:rsid w:val="7F4D16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47" w:lineRule="auto"/>
    </w:pPr>
    <w:rPr>
      <w:rFonts w:ascii="PingFang SC" w:hAnsi="PingFang SC" w:eastAsia="PingFang SC" w:cstheme="minorBidi"/>
      <w:color w:val="111827"/>
      <w:sz w:val="22"/>
      <w:szCs w:val="22"/>
      <w:lang w:val="en-US" w:eastAsia="en-US" w:bidi="ar-SA"/>
    </w:rPr>
  </w:style>
  <w:style w:type="paragraph" w:styleId="3">
    <w:name w:val="heading 1"/>
    <w:basedOn w:val="1"/>
    <w:next w:val="1"/>
    <w:link w:val="138"/>
    <w:qFormat/>
    <w:uiPriority w:val="9"/>
    <w:pPr>
      <w:keepNext/>
      <w:keepLines/>
      <w:spacing w:before="480" w:after="480"/>
      <w:jc w:val="center"/>
      <w:outlineLvl w:val="0"/>
    </w:pPr>
    <w:rPr>
      <w:rFonts w:ascii="PingFang SC" w:hAnsi="PingFang SC" w:eastAsia="PingFang SC"/>
      <w:b/>
      <w:bCs/>
      <w:color w:val="111827"/>
      <w:sz w:val="36"/>
      <w:szCs w:val="28"/>
    </w:rPr>
  </w:style>
  <w:style w:type="paragraph" w:styleId="4">
    <w:name w:val="heading 2"/>
    <w:basedOn w:val="1"/>
    <w:next w:val="1"/>
    <w:link w:val="139"/>
    <w:unhideWhenUsed/>
    <w:qFormat/>
    <w:uiPriority w:val="9"/>
    <w:pPr>
      <w:keepNext/>
      <w:keepLines/>
      <w:spacing w:before="480" w:after="240"/>
      <w:outlineLvl w:val="1"/>
    </w:pPr>
    <w:rPr>
      <w:rFonts w:ascii="PingFang SC" w:hAnsi="PingFang SC" w:eastAsia="PingFang SC"/>
      <w:b/>
      <w:bCs/>
      <w:color w:val="111827"/>
      <w:sz w:val="30"/>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11827"/>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200</Words>
  <Characters>212</Characters>
  <Lines>0</Lines>
  <Paragraphs>0</Paragraphs>
  <TotalTime>1</TotalTime>
  <ScaleCrop>false</ScaleCrop>
  <LinksUpToDate>false</LinksUpToDate>
  <CharactersWithSpaces>228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爸气十足</cp:lastModifiedBy>
  <dcterms:modified xsi:type="dcterms:W3CDTF">2026-09-07T11:43:44Z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eyJoZGlkIjoiZTg1MDdkM2VmNzEyNTU2OTU0MGIyMDdlNDQ5MzBlOWYiLCJ1c2VySWQiOiI3MDY0Njk0MzUifQ==</vt:lpwstr>
  </property>
  <property fmtid="{D5CDD505-2E9C-101B-9397-08002B2CF9AE}" pid="3" name="KSOProductBuildVer">
    <vt:lpwstr>2052-12.1.0.28043</vt:lpwstr>
  </property>
  <property fmtid="{D5CDD505-2E9C-101B-9397-08002B2CF9AE}" pid="4" name="ICV">
    <vt:lpwstr>E0ED394F62674D1AB433AD07E6D71095_12</vt:lpwstr>
  </property>
</Properties>
</file>