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D0314">
      <w:pPr>
        <w:pStyle w:val="8"/>
        <w:spacing w:before="0" w:after="120" w:line="288" w:lineRule="auto"/>
        <w:jc w:val="center"/>
        <w:rPr>
          <w:rFonts w:hint="eastAsia" w:eastAsia="微软雅黑"/>
          <w:lang w:val="en-US" w:eastAsia="zh-CN"/>
        </w:rPr>
      </w:pPr>
      <w:r>
        <w:rPr>
          <w:rFonts w:ascii="Segoe UI" w:hAnsi="Segoe UI" w:eastAsia="微软雅黑" w:cs="Segoe UI"/>
          <w:b/>
          <w:color w:val="1F4E79"/>
          <w:sz w:val="60"/>
        </w:rPr>
        <w:t>恒达微波</w:t>
      </w:r>
      <w:r>
        <w:rPr>
          <w:rFonts w:hint="eastAsia" w:cs="Segoe UI"/>
          <w:b/>
          <w:color w:val="1F4E79"/>
          <w:sz w:val="60"/>
          <w:lang w:val="en-US" w:eastAsia="zh-CN"/>
        </w:rPr>
        <w:t>中文</w:t>
      </w:r>
      <w:r>
        <w:rPr>
          <w:rFonts w:ascii="Segoe UI" w:hAnsi="Segoe UI" w:eastAsia="微软雅黑" w:cs="Segoe UI"/>
          <w:b/>
          <w:color w:val="1F4E79"/>
          <w:sz w:val="60"/>
        </w:rPr>
        <w:t>官方网站</w:t>
      </w:r>
      <w:r>
        <w:rPr>
          <w:rFonts w:hint="eastAsia" w:cs="Segoe UI"/>
          <w:b/>
          <w:color w:val="1F4E79"/>
          <w:sz w:val="60"/>
          <w:lang w:eastAsia="zh-CN"/>
        </w:rPr>
        <w:t>（</w:t>
      </w:r>
      <w:r>
        <w:rPr>
          <w:rFonts w:hint="eastAsia" w:cs="Segoe UI"/>
          <w:b/>
          <w:color w:val="1F4E79"/>
          <w:sz w:val="60"/>
          <w:lang w:val="en-US" w:eastAsia="zh-CN"/>
        </w:rPr>
        <w:t>重构</w:t>
      </w:r>
      <w:r>
        <w:rPr>
          <w:rFonts w:hint="eastAsia" w:cs="Segoe UI"/>
          <w:b/>
          <w:color w:val="1F4E79"/>
          <w:sz w:val="60"/>
          <w:lang w:eastAsia="zh-CN"/>
        </w:rPr>
        <w:t>）</w:t>
      </w:r>
    </w:p>
    <w:p w14:paraId="0A2461F5">
      <w:pPr>
        <w:pStyle w:val="6"/>
        <w:spacing w:before="0" w:after="200" w:line="288" w:lineRule="auto"/>
        <w:jc w:val="center"/>
      </w:pPr>
      <w:r>
        <w:rPr>
          <w:rFonts w:ascii="Segoe UI" w:hAnsi="Segoe UI" w:eastAsia="微软雅黑" w:cs="Segoe UI"/>
          <w:b/>
          <w:color w:val="1F4E79"/>
          <w:sz w:val="40"/>
        </w:rPr>
        <w:t>产品说明书</w:t>
      </w:r>
    </w:p>
    <w:p w14:paraId="72626D25">
      <w:pPr>
        <w:spacing w:before="0" w:after="120" w:line="360" w:lineRule="auto"/>
        <w:jc w:val="center"/>
        <w:rPr>
          <w:rFonts w:hint="eastAsia" w:ascii="Segoe UI" w:hAnsi="Segoe UI" w:eastAsia="微软雅黑" w:cs="Segoe UI"/>
          <w:b w:val="0"/>
          <w:color w:val="595959"/>
          <w:sz w:val="19"/>
          <w:lang w:val="en-US" w:eastAsia="zh-CN"/>
        </w:rPr>
      </w:pPr>
      <w:r>
        <w:rPr>
          <w:rFonts w:ascii="Segoe UI" w:hAnsi="Segoe UI" w:eastAsia="微软雅黑" w:cs="Segoe UI"/>
          <w:b w:val="0"/>
          <w:color w:val="595959"/>
          <w:sz w:val="19"/>
        </w:rPr>
        <w:t>高保真演示版  |  版本：V1.0  |  日期：2026年9月</w:t>
      </w:r>
      <w:r>
        <w:rPr>
          <w:rFonts w:hint="eastAsia" w:ascii="Segoe UI" w:hAnsi="Segoe UI" w:eastAsia="微软雅黑" w:cs="Segoe UI"/>
          <w:b w:val="0"/>
          <w:color w:val="595959"/>
          <w:sz w:val="19"/>
          <w:lang w:val="en-US" w:eastAsia="zh-CN"/>
        </w:rPr>
        <w:t>19日</w:t>
      </w:r>
    </w:p>
    <w:p w14:paraId="2CB10831">
      <w:pPr>
        <w:spacing w:before="0" w:after="120" w:line="360" w:lineRule="auto"/>
        <w:jc w:val="center"/>
        <w:rPr>
          <w:rFonts w:hint="default" w:ascii="Segoe UI" w:hAnsi="Segoe UI" w:eastAsia="微软雅黑" w:cs="Segoe UI"/>
          <w:b w:val="0"/>
          <w:color w:val="595959"/>
          <w:sz w:val="19"/>
          <w:lang w:val="en-US" w:eastAsia="zh-CN"/>
        </w:rPr>
      </w:pPr>
      <w:r>
        <w:rPr>
          <w:rFonts w:hint="eastAsia" w:ascii="Segoe UI" w:hAnsi="Segoe UI" w:eastAsia="微软雅黑" w:cs="Segoe UI"/>
          <w:b w:val="0"/>
          <w:color w:val="595959"/>
          <w:sz w:val="19"/>
          <w:lang w:val="en-US" w:eastAsia="zh-CN"/>
        </w:rPr>
        <w:t>编写人：陈建立</w:t>
      </w:r>
      <w:bookmarkStart w:id="37" w:name="_GoBack"/>
      <w:bookmarkEnd w:id="37"/>
    </w:p>
    <w:p w14:paraId="6C1FBE98">
      <w:pPr>
        <w:pStyle w:val="6"/>
        <w:pageBreakBefore/>
        <w:pBdr>
          <w:bottom w:val="single" w:color="2E75B6" w:sz="6" w:space="4"/>
        </w:pBdr>
        <w:spacing w:after="200"/>
        <w:jc w:val="center"/>
      </w:pPr>
      <w:r>
        <w:rPr>
          <w:rFonts w:ascii="Segoe UI" w:hAnsi="Segoe UI" w:eastAsia="微软雅黑" w:cs="Segoe UI"/>
          <w:b/>
          <w:color w:val="1F4E79"/>
          <w:sz w:val="30"/>
        </w:rPr>
        <w:t>目录</w:t>
      </w:r>
    </w:p>
    <w:p w14:paraId="6275E7CF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TOC \o "1-2" \h \u </w:instrText>
      </w:r>
      <w:r>
        <w:fldChar w:fldCharType="separate"/>
      </w:r>
      <w:r>
        <w:fldChar w:fldCharType="begin"/>
      </w:r>
      <w:r>
        <w:instrText xml:space="preserve"> HYPERLINK \l _Toc9963 </w:instrText>
      </w:r>
      <w:r>
        <w:fldChar w:fldCharType="separate"/>
      </w:r>
      <w:r>
        <w:rPr>
          <w:rFonts w:ascii="Segoe UI" w:hAnsi="Segoe UI" w:eastAsia="微软雅黑" w:cs="Segoe UI"/>
        </w:rPr>
        <w:t>1 执行摘要</w:t>
      </w:r>
      <w:r>
        <w:tab/>
      </w:r>
      <w:r>
        <w:fldChar w:fldCharType="begin"/>
      </w:r>
      <w:r>
        <w:instrText xml:space="preserve"> PAGEREF _Toc9963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02FFFA4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_Toc1070 </w:instrText>
      </w:r>
      <w:r>
        <w:fldChar w:fldCharType="separate"/>
      </w:r>
      <w:r>
        <w:rPr>
          <w:rFonts w:ascii="Segoe UI" w:hAnsi="Segoe UI" w:eastAsia="微软雅黑" w:cs="Segoe UI"/>
        </w:rPr>
        <w:t>1.1 核心结论</w:t>
      </w:r>
      <w:r>
        <w:tab/>
      </w:r>
      <w:r>
        <w:fldChar w:fldCharType="begin"/>
      </w:r>
      <w:r>
        <w:instrText xml:space="preserve"> PAGEREF _Toc1070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6F3E7DE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_Toc25103 </w:instrText>
      </w:r>
      <w:r>
        <w:fldChar w:fldCharType="separate"/>
      </w:r>
      <w:r>
        <w:rPr>
          <w:rFonts w:ascii="Segoe UI" w:hAnsi="Segoe UI" w:eastAsia="微软雅黑" w:cs="Segoe UI"/>
        </w:rPr>
        <w:t>1.2 本说明书覆盖范围</w:t>
      </w:r>
      <w:r>
        <w:tab/>
      </w:r>
      <w:r>
        <w:fldChar w:fldCharType="begin"/>
      </w:r>
      <w:r>
        <w:instrText xml:space="preserve"> PAGEREF _Toc25103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C244500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_Toc26659 </w:instrText>
      </w:r>
      <w:r>
        <w:fldChar w:fldCharType="separate"/>
      </w:r>
      <w:r>
        <w:rPr>
          <w:rFonts w:ascii="Segoe UI" w:hAnsi="Segoe UI" w:eastAsia="微软雅黑" w:cs="Segoe UI"/>
        </w:rPr>
        <w:t>2 产品定位与目标用户</w:t>
      </w:r>
      <w:r>
        <w:tab/>
      </w:r>
      <w:r>
        <w:fldChar w:fldCharType="begin"/>
      </w:r>
      <w:r>
        <w:instrText xml:space="preserve"> PAGEREF _Toc26659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B09DC51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_Toc13489 </w:instrText>
      </w:r>
      <w:r>
        <w:fldChar w:fldCharType="separate"/>
      </w:r>
      <w:r>
        <w:rPr>
          <w:rFonts w:ascii="Segoe UI" w:hAnsi="Segoe UI" w:eastAsia="微软雅黑" w:cs="Segoe UI"/>
        </w:rPr>
        <w:t>2.1 产品定位</w:t>
      </w:r>
      <w:r>
        <w:tab/>
      </w:r>
      <w:r>
        <w:fldChar w:fldCharType="begin"/>
      </w:r>
      <w:r>
        <w:instrText xml:space="preserve"> PAGEREF _Toc13489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71B31AB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_Toc14549 </w:instrText>
      </w:r>
      <w:r>
        <w:fldChar w:fldCharType="separate"/>
      </w:r>
      <w:r>
        <w:rPr>
          <w:rFonts w:ascii="Segoe UI" w:hAnsi="Segoe UI" w:eastAsia="微软雅黑" w:cs="Segoe UI"/>
        </w:rPr>
        <w:t>2.2 目标用户与核心任务</w:t>
      </w:r>
      <w:r>
        <w:tab/>
      </w:r>
      <w:r>
        <w:fldChar w:fldCharType="begin"/>
      </w:r>
      <w:r>
        <w:instrText xml:space="preserve"> PAGEREF _Toc14549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6B9F9A6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_Toc7282 </w:instrText>
      </w:r>
      <w:r>
        <w:fldChar w:fldCharType="separate"/>
      </w:r>
      <w:r>
        <w:rPr>
          <w:rFonts w:ascii="Segoe UI" w:hAnsi="Segoe UI" w:eastAsia="微软雅黑" w:cs="Segoe UI"/>
        </w:rPr>
        <w:t>2.3 业务目标</w:t>
      </w:r>
      <w:r>
        <w:tab/>
      </w:r>
      <w:r>
        <w:fldChar w:fldCharType="begin"/>
      </w:r>
      <w:r>
        <w:instrText xml:space="preserve"> PAGEREF _Toc7282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73CE5AD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_Toc22828 </w:instrText>
      </w:r>
      <w:r>
        <w:fldChar w:fldCharType="separate"/>
      </w:r>
      <w:r>
        <w:rPr>
          <w:rFonts w:ascii="Segoe UI" w:hAnsi="Segoe UI" w:eastAsia="微软雅黑" w:cs="Segoe UI"/>
        </w:rPr>
        <w:t>3 信息架构与导航设计</w:t>
      </w:r>
      <w:r>
        <w:tab/>
      </w:r>
      <w:r>
        <w:fldChar w:fldCharType="begin"/>
      </w:r>
      <w:r>
        <w:instrText xml:space="preserve"> PAGEREF _Toc22828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C846725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_Toc1339 </w:instrText>
      </w:r>
      <w:r>
        <w:fldChar w:fldCharType="separate"/>
      </w:r>
      <w:r>
        <w:rPr>
          <w:rFonts w:ascii="Segoe UI" w:hAnsi="Segoe UI" w:eastAsia="微软雅黑" w:cs="Segoe UI"/>
        </w:rPr>
        <w:t>3.1 全站信息架构</w:t>
      </w:r>
      <w:r>
        <w:tab/>
      </w:r>
      <w:r>
        <w:fldChar w:fldCharType="begin"/>
      </w:r>
      <w:r>
        <w:instrText xml:space="preserve"> PAGEREF _Toc1339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81314B6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_Toc20362 </w:instrText>
      </w:r>
      <w:r>
        <w:fldChar w:fldCharType="separate"/>
      </w:r>
      <w:r>
        <w:rPr>
          <w:rFonts w:ascii="Segoe UI" w:hAnsi="Segoe UI" w:eastAsia="微软雅黑" w:cs="Segoe UI"/>
        </w:rPr>
        <w:t>3.2 顶部导航及子导航的存在意义</w:t>
      </w:r>
      <w:r>
        <w:tab/>
      </w:r>
      <w:r>
        <w:fldChar w:fldCharType="begin"/>
      </w:r>
      <w:r>
        <w:instrText xml:space="preserve"> PAGEREF _Toc20362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23DE787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_Toc26005 </w:instrText>
      </w:r>
      <w:r>
        <w:fldChar w:fldCharType="separate"/>
      </w:r>
      <w:r>
        <w:rPr>
          <w:rFonts w:ascii="Segoe UI" w:hAnsi="Segoe UI" w:eastAsia="微软雅黑" w:cs="Segoe UI"/>
        </w:rPr>
        <w:t>3.3 关键用户路径</w:t>
      </w:r>
      <w:r>
        <w:tab/>
      </w:r>
      <w:r>
        <w:fldChar w:fldCharType="begin"/>
      </w:r>
      <w:r>
        <w:instrText xml:space="preserve"> PAGEREF _Toc26005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4D1BB3A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_Toc25406 </w:instrText>
      </w:r>
      <w:r>
        <w:fldChar w:fldCharType="separate"/>
      </w:r>
      <w:r>
        <w:rPr>
          <w:rFonts w:ascii="Segoe UI" w:hAnsi="Segoe UI" w:eastAsia="微软雅黑" w:cs="Segoe UI"/>
        </w:rPr>
        <w:t>4 首页布局说明</w:t>
      </w:r>
      <w:r>
        <w:tab/>
      </w:r>
      <w:r>
        <w:fldChar w:fldCharType="begin"/>
      </w:r>
      <w:r>
        <w:instrText xml:space="preserve"> PAGEREF _Toc25406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39A48BE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_Toc3803 </w:instrText>
      </w:r>
      <w:r>
        <w:fldChar w:fldCharType="separate"/>
      </w:r>
      <w:r>
        <w:rPr>
          <w:rFonts w:ascii="Segoe UI" w:hAnsi="Segoe UI" w:eastAsia="微软雅黑" w:cs="Segoe UI"/>
        </w:rPr>
        <w:t>5 核心前台模块说明</w:t>
      </w:r>
      <w:r>
        <w:tab/>
      </w:r>
      <w:r>
        <w:fldChar w:fldCharType="begin"/>
      </w:r>
      <w:r>
        <w:instrText xml:space="preserve"> PAGEREF _Toc3803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4FA7FE3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_Toc12910 </w:instrText>
      </w:r>
      <w:r>
        <w:fldChar w:fldCharType="separate"/>
      </w:r>
      <w:r>
        <w:rPr>
          <w:rFonts w:ascii="Segoe UI" w:hAnsi="Segoe UI" w:eastAsia="微软雅黑" w:cs="Segoe UI"/>
        </w:rPr>
        <w:t>5.1 关于我们与能力介绍</w:t>
      </w:r>
      <w:r>
        <w:tab/>
      </w:r>
      <w:r>
        <w:fldChar w:fldCharType="begin"/>
      </w:r>
      <w:r>
        <w:instrText xml:space="preserve"> PAGEREF _Toc12910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F3BBAF5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_Toc22502 </w:instrText>
      </w:r>
      <w:r>
        <w:fldChar w:fldCharType="separate"/>
      </w:r>
      <w:r>
        <w:rPr>
          <w:rFonts w:ascii="Segoe UI" w:hAnsi="Segoe UI" w:eastAsia="微软雅黑" w:cs="Segoe UI"/>
        </w:rPr>
        <w:t>5.2 解决方案</w:t>
      </w:r>
      <w:r>
        <w:tab/>
      </w:r>
      <w:r>
        <w:fldChar w:fldCharType="begin"/>
      </w:r>
      <w:r>
        <w:instrText xml:space="preserve"> PAGEREF _Toc22502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ACAE3F4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_Toc27800 </w:instrText>
      </w:r>
      <w:r>
        <w:fldChar w:fldCharType="separate"/>
      </w:r>
      <w:r>
        <w:rPr>
          <w:rFonts w:ascii="Segoe UI" w:hAnsi="Segoe UI" w:eastAsia="微软雅黑" w:cs="Segoe UI"/>
        </w:rPr>
        <w:t>5.3 产品中心与产品搜索</w:t>
      </w:r>
      <w:r>
        <w:tab/>
      </w:r>
      <w:r>
        <w:fldChar w:fldCharType="begin"/>
      </w:r>
      <w:r>
        <w:instrText xml:space="preserve"> PAGEREF _Toc27800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36B1E5B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_Toc15904 </w:instrText>
      </w:r>
      <w:r>
        <w:fldChar w:fldCharType="separate"/>
      </w:r>
      <w:r>
        <w:rPr>
          <w:rFonts w:ascii="Segoe UI" w:hAnsi="Segoe UI" w:eastAsia="微软雅黑" w:cs="Segoe UI"/>
        </w:rPr>
        <w:t>5.4 新闻中心与技术资料</w:t>
      </w:r>
      <w:r>
        <w:tab/>
      </w:r>
      <w:r>
        <w:fldChar w:fldCharType="begin"/>
      </w:r>
      <w:r>
        <w:instrText xml:space="preserve"> PAGEREF _Toc15904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409546B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_Toc32219 </w:instrText>
      </w:r>
      <w:r>
        <w:fldChar w:fldCharType="separate"/>
      </w:r>
      <w:r>
        <w:rPr>
          <w:rFonts w:ascii="Segoe UI" w:hAnsi="Segoe UI" w:eastAsia="微软雅黑" w:cs="Segoe UI"/>
        </w:rPr>
        <w:t>5.5 人力资源</w:t>
      </w:r>
      <w:r>
        <w:tab/>
      </w:r>
      <w:r>
        <w:fldChar w:fldCharType="begin"/>
      </w:r>
      <w:r>
        <w:instrText xml:space="preserve"> PAGEREF _Toc32219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628D6A1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_Toc14369 </w:instrText>
      </w:r>
      <w:r>
        <w:fldChar w:fldCharType="separate"/>
      </w:r>
      <w:r>
        <w:rPr>
          <w:rFonts w:ascii="Segoe UI" w:hAnsi="Segoe UI" w:eastAsia="微软雅黑" w:cs="Segoe UI"/>
        </w:rPr>
        <w:t>5.6 联系我们</w:t>
      </w:r>
      <w:r>
        <w:tab/>
      </w:r>
      <w:r>
        <w:fldChar w:fldCharType="begin"/>
      </w:r>
      <w:r>
        <w:instrText xml:space="preserve"> PAGEREF _Toc14369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3756B69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_Toc6554 </w:instrText>
      </w:r>
      <w:r>
        <w:fldChar w:fldCharType="separate"/>
      </w:r>
      <w:r>
        <w:rPr>
          <w:rFonts w:ascii="Segoe UI" w:hAnsi="Segoe UI" w:eastAsia="微软雅黑" w:cs="Segoe UI"/>
        </w:rPr>
        <w:t>6 后台内容管理与前后台联动</w:t>
      </w:r>
      <w:r>
        <w:tab/>
      </w:r>
      <w:r>
        <w:fldChar w:fldCharType="begin"/>
      </w:r>
      <w:r>
        <w:instrText xml:space="preserve"> PAGEREF _Toc6554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232EB8E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_Toc3651 </w:instrText>
      </w:r>
      <w:r>
        <w:fldChar w:fldCharType="separate"/>
      </w:r>
      <w:r>
        <w:rPr>
          <w:rFonts w:ascii="Segoe UI" w:hAnsi="Segoe UI" w:eastAsia="微软雅黑" w:cs="Segoe UI"/>
        </w:rPr>
        <w:t>6.1 内容对象映射</w:t>
      </w:r>
      <w:r>
        <w:tab/>
      </w:r>
      <w:r>
        <w:fldChar w:fldCharType="begin"/>
      </w:r>
      <w:r>
        <w:instrText xml:space="preserve"> PAGEREF _Toc3651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6BE6FC3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_Toc18240 </w:instrText>
      </w:r>
      <w:r>
        <w:fldChar w:fldCharType="separate"/>
      </w:r>
      <w:r>
        <w:rPr>
          <w:rFonts w:ascii="Segoe UI" w:hAnsi="Segoe UI" w:eastAsia="微软雅黑" w:cs="Segoe UI"/>
        </w:rPr>
        <w:t>7 询单管理模块</w:t>
      </w:r>
      <w:r>
        <w:tab/>
      </w:r>
      <w:r>
        <w:fldChar w:fldCharType="begin"/>
      </w:r>
      <w:r>
        <w:instrText xml:space="preserve"> PAGEREF _Toc18240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D89D320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_Toc28881 </w:instrText>
      </w:r>
      <w:r>
        <w:fldChar w:fldCharType="separate"/>
      </w:r>
      <w:r>
        <w:rPr>
          <w:rFonts w:ascii="Segoe UI" w:hAnsi="Segoe UI" w:eastAsia="微软雅黑" w:cs="Segoe UI"/>
        </w:rPr>
        <w:t>7.1 模块定位与导航位置</w:t>
      </w:r>
      <w:r>
        <w:tab/>
      </w:r>
      <w:r>
        <w:fldChar w:fldCharType="begin"/>
      </w:r>
      <w:r>
        <w:instrText xml:space="preserve"> PAGEREF _Toc28881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A2CAAB4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_Toc27186 </w:instrText>
      </w:r>
      <w:r>
        <w:fldChar w:fldCharType="separate"/>
      </w:r>
      <w:r>
        <w:rPr>
          <w:rFonts w:ascii="Segoe UI" w:hAnsi="Segoe UI" w:eastAsia="微软雅黑" w:cs="Segoe UI"/>
        </w:rPr>
        <w:t>7.2 前台询单来源与类别</w:t>
      </w:r>
      <w:r>
        <w:tab/>
      </w:r>
      <w:r>
        <w:fldChar w:fldCharType="begin"/>
      </w:r>
      <w:r>
        <w:instrText xml:space="preserve"> PAGEREF _Toc27186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FF91867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_Toc193 </w:instrText>
      </w:r>
      <w:r>
        <w:fldChar w:fldCharType="separate"/>
      </w:r>
      <w:r>
        <w:rPr>
          <w:rFonts w:ascii="Segoe UI" w:hAnsi="Segoe UI" w:eastAsia="微软雅黑" w:cs="Segoe UI"/>
        </w:rPr>
        <w:t>7.3 询单统计</w:t>
      </w:r>
      <w:r>
        <w:tab/>
      </w:r>
      <w:r>
        <w:fldChar w:fldCharType="begin"/>
      </w:r>
      <w:r>
        <w:instrText xml:space="preserve"> PAGEREF _Toc193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F28AEE6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_Toc17964 </w:instrText>
      </w:r>
      <w:r>
        <w:fldChar w:fldCharType="separate"/>
      </w:r>
      <w:r>
        <w:rPr>
          <w:rFonts w:ascii="Segoe UI" w:hAnsi="Segoe UI" w:eastAsia="微软雅黑" w:cs="Segoe UI"/>
        </w:rPr>
        <w:t>7.4 询单列表与详情处理</w:t>
      </w:r>
      <w:r>
        <w:tab/>
      </w:r>
      <w:r>
        <w:fldChar w:fldCharType="begin"/>
      </w:r>
      <w:r>
        <w:instrText xml:space="preserve"> PAGEREF _Toc17964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61E67D3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_Toc26388 </w:instrText>
      </w:r>
      <w:r>
        <w:fldChar w:fldCharType="separate"/>
      </w:r>
      <w:r>
        <w:rPr>
          <w:rFonts w:ascii="Segoe UI" w:hAnsi="Segoe UI" w:eastAsia="微软雅黑" w:cs="Segoe UI"/>
        </w:rPr>
        <w:t>7.5 询单处理闭环</w:t>
      </w:r>
      <w:r>
        <w:tab/>
      </w:r>
      <w:r>
        <w:fldChar w:fldCharType="begin"/>
      </w:r>
      <w:r>
        <w:instrText xml:space="preserve"> PAGEREF _Toc26388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8093763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_Toc19352 </w:instrText>
      </w:r>
      <w:r>
        <w:fldChar w:fldCharType="separate"/>
      </w:r>
      <w:r>
        <w:rPr>
          <w:rFonts w:hint="eastAsia" w:ascii="Segoe UI" w:hAnsi="Segoe UI" w:eastAsia="微软雅黑" w:cs="Segoe UI"/>
          <w:lang w:val="en-US" w:eastAsia="zh-CN"/>
        </w:rPr>
        <w:t>8</w:t>
      </w:r>
      <w:r>
        <w:rPr>
          <w:rFonts w:ascii="Segoe UI" w:hAnsi="Segoe UI" w:eastAsia="微软雅黑" w:cs="Segoe UI"/>
        </w:rPr>
        <w:t xml:space="preserve"> 权限、</w:t>
      </w:r>
      <w:r>
        <w:rPr>
          <w:rFonts w:hint="eastAsia" w:ascii="Segoe UI" w:hAnsi="Segoe UI" w:eastAsia="微软雅黑" w:cs="Segoe UI"/>
          <w:lang w:val="en-US" w:eastAsia="zh-CN"/>
        </w:rPr>
        <w:t>内容与</w:t>
      </w:r>
      <w:r>
        <w:rPr>
          <w:rFonts w:ascii="Segoe UI" w:hAnsi="Segoe UI" w:eastAsia="微软雅黑" w:cs="Segoe UI"/>
        </w:rPr>
        <w:t>隐私建议</w:t>
      </w:r>
      <w:r>
        <w:tab/>
      </w:r>
      <w:r>
        <w:fldChar w:fldCharType="begin"/>
      </w:r>
      <w:r>
        <w:instrText xml:space="preserve"> PAGEREF _Toc19352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F66C380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_Toc14410 </w:instrText>
      </w:r>
      <w:r>
        <w:fldChar w:fldCharType="separate"/>
      </w:r>
      <w:r>
        <w:rPr>
          <w:rFonts w:hint="eastAsia" w:ascii="Segoe UI" w:hAnsi="Segoe UI" w:eastAsia="微软雅黑" w:cs="Segoe UI"/>
          <w:lang w:val="en-US" w:eastAsia="zh-CN"/>
        </w:rPr>
        <w:t>9</w:t>
      </w:r>
      <w:r>
        <w:rPr>
          <w:rFonts w:ascii="Segoe UI" w:hAnsi="Segoe UI" w:eastAsia="微软雅黑" w:cs="Segoe UI"/>
        </w:rPr>
        <w:t xml:space="preserve"> 结论与下一步</w:t>
      </w:r>
      <w:r>
        <w:tab/>
      </w:r>
      <w:r>
        <w:fldChar w:fldCharType="begin"/>
      </w:r>
      <w:r>
        <w:instrText xml:space="preserve"> PAGEREF _Toc14410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ED4A546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_Toc5032 </w:instrText>
      </w:r>
      <w:r>
        <w:fldChar w:fldCharType="separate"/>
      </w:r>
      <w:r>
        <w:rPr>
          <w:rFonts w:ascii="Segoe UI" w:hAnsi="Segoe UI" w:eastAsia="微软雅黑" w:cs="Segoe UI"/>
        </w:rPr>
        <w:t>附录 A：高保真界面截图索引</w:t>
      </w:r>
      <w:r>
        <w:tab/>
      </w:r>
      <w:r>
        <w:fldChar w:fldCharType="begin"/>
      </w:r>
      <w:r>
        <w:instrText xml:space="preserve"> PAGEREF _Toc5032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2E5198A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_Toc3230 </w:instrText>
      </w:r>
      <w:r>
        <w:fldChar w:fldCharType="separate"/>
      </w:r>
      <w:r>
        <w:rPr>
          <w:rFonts w:ascii="Segoe UI" w:hAnsi="Segoe UI" w:eastAsia="微软雅黑" w:cs="Segoe UI"/>
        </w:rPr>
        <w:t>A.1 首页：品牌导览与业务入口</w:t>
      </w:r>
      <w:r>
        <w:tab/>
      </w:r>
      <w:r>
        <w:fldChar w:fldCharType="begin"/>
      </w:r>
      <w:r>
        <w:instrText xml:space="preserve"> PAGEREF _Toc3230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3661C1B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_Toc29243 </w:instrText>
      </w:r>
      <w:r>
        <w:fldChar w:fldCharType="separate"/>
      </w:r>
      <w:r>
        <w:rPr>
          <w:rFonts w:ascii="Segoe UI" w:hAnsi="Segoe UI" w:eastAsia="微软雅黑" w:cs="Segoe UI"/>
        </w:rPr>
        <w:t>A.2 解决方案：场景说明与咨询转化</w:t>
      </w:r>
      <w:r>
        <w:tab/>
      </w:r>
      <w:r>
        <w:fldChar w:fldCharType="begin"/>
      </w:r>
      <w:r>
        <w:instrText xml:space="preserve"> PAGEREF _Toc29243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1DF5D03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_Toc15066 </w:instrText>
      </w:r>
      <w:r>
        <w:fldChar w:fldCharType="separate"/>
      </w:r>
      <w:r>
        <w:rPr>
          <w:rFonts w:ascii="Segoe UI" w:hAnsi="Segoe UI" w:eastAsia="微软雅黑" w:cs="Segoe UI"/>
        </w:rPr>
        <w:t>A.3 产品中心：目录、型号与资料申请</w:t>
      </w:r>
      <w:r>
        <w:tab/>
      </w:r>
      <w:r>
        <w:fldChar w:fldCharType="begin"/>
      </w:r>
      <w:r>
        <w:instrText xml:space="preserve"> PAGEREF _Toc15066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FB88CB2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_Toc29642 </w:instrText>
      </w:r>
      <w:r>
        <w:fldChar w:fldCharType="separate"/>
      </w:r>
      <w:r>
        <w:rPr>
          <w:rFonts w:ascii="Segoe UI" w:hAnsi="Segoe UI" w:eastAsia="微软雅黑" w:cs="Segoe UI"/>
        </w:rPr>
        <w:t>A.4 新闻中心：前台展示与内容维护</w:t>
      </w:r>
      <w:r>
        <w:tab/>
      </w:r>
      <w:r>
        <w:fldChar w:fldCharType="begin"/>
      </w:r>
      <w:r>
        <w:instrText xml:space="preserve"> PAGEREF _Toc29642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C6973D8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_Toc21248 </w:instrText>
      </w:r>
      <w:r>
        <w:fldChar w:fldCharType="separate"/>
      </w:r>
      <w:r>
        <w:rPr>
          <w:rFonts w:ascii="Segoe UI" w:hAnsi="Segoe UI" w:eastAsia="微软雅黑" w:cs="Segoe UI"/>
        </w:rPr>
        <w:t>A.</w:t>
      </w:r>
      <w:r>
        <w:rPr>
          <w:rFonts w:hint="eastAsia" w:cs="Segoe UI"/>
          <w:lang w:val="en-US" w:eastAsia="zh-CN"/>
        </w:rPr>
        <w:t>5</w:t>
      </w:r>
      <w:r>
        <w:rPr>
          <w:rFonts w:ascii="Segoe UI" w:hAnsi="Segoe UI" w:eastAsia="微软雅黑" w:cs="Segoe UI"/>
        </w:rPr>
        <w:t xml:space="preserve"> 联系我们：销售、售后与供应链</w:t>
      </w:r>
      <w:r>
        <w:tab/>
      </w:r>
      <w:r>
        <w:fldChar w:fldCharType="begin"/>
      </w:r>
      <w:r>
        <w:instrText xml:space="preserve"> PAGEREF _Toc21248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17A0019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_Toc4091 </w:instrText>
      </w:r>
      <w:r>
        <w:fldChar w:fldCharType="separate"/>
      </w:r>
      <w:r>
        <w:rPr>
          <w:rFonts w:ascii="Segoe UI" w:hAnsi="Segoe UI" w:eastAsia="微软雅黑" w:cs="Segoe UI"/>
        </w:rPr>
        <w:t>A.</w:t>
      </w:r>
      <w:r>
        <w:rPr>
          <w:rFonts w:hint="eastAsia" w:cs="Segoe UI"/>
          <w:lang w:val="en-US" w:eastAsia="zh-CN"/>
        </w:rPr>
        <w:t>6</w:t>
      </w:r>
      <w:r>
        <w:rPr>
          <w:rFonts w:ascii="Segoe UI" w:hAnsi="Segoe UI" w:eastAsia="微软雅黑" w:cs="Segoe UI"/>
        </w:rPr>
        <w:t xml:space="preserve"> 后台内容管理：产品与解决方案</w:t>
      </w:r>
      <w:r>
        <w:tab/>
      </w:r>
      <w:r>
        <w:fldChar w:fldCharType="begin"/>
      </w:r>
      <w:r>
        <w:instrText xml:space="preserve"> PAGEREF _Toc4091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2D739D2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_Toc7974 </w:instrText>
      </w:r>
      <w:r>
        <w:fldChar w:fldCharType="separate"/>
      </w:r>
      <w:r>
        <w:rPr>
          <w:rFonts w:ascii="Segoe UI" w:hAnsi="Segoe UI" w:eastAsia="微软雅黑" w:cs="Segoe UI"/>
        </w:rPr>
        <w:t>A.</w:t>
      </w:r>
      <w:r>
        <w:rPr>
          <w:rFonts w:hint="eastAsia" w:cs="Segoe UI"/>
          <w:lang w:val="en-US" w:eastAsia="zh-CN"/>
        </w:rPr>
        <w:t>7</w:t>
      </w:r>
      <w:r>
        <w:rPr>
          <w:rFonts w:ascii="Segoe UI" w:hAnsi="Segoe UI" w:eastAsia="微软雅黑" w:cs="Segoe UI"/>
        </w:rPr>
        <w:t xml:space="preserve"> 询单管理：统计、列表与处理详情</w:t>
      </w:r>
      <w:r>
        <w:tab/>
      </w:r>
      <w:r>
        <w:fldChar w:fldCharType="begin"/>
      </w:r>
      <w:r>
        <w:instrText xml:space="preserve"> PAGEREF _Toc7974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0100248">
      <w:r>
        <w:fldChar w:fldCharType="end"/>
      </w:r>
    </w:p>
    <w:p w14:paraId="00100014">
      <w:pPr>
        <w:pStyle w:val="2"/>
        <w:pageBreakBefore/>
        <w:pBdr>
          <w:bottom w:val="single" w:color="1F4E79" w:sz="8" w:space="6"/>
        </w:pBdr>
      </w:pPr>
      <w:bookmarkStart w:id="0" w:name="_Toc9963"/>
      <w:r>
        <w:rPr>
          <w:rFonts w:ascii="Segoe UI" w:hAnsi="Segoe UI" w:eastAsia="微软雅黑" w:cs="Segoe UI"/>
          <w:b/>
          <w:color w:val="1F4E79"/>
          <w:sz w:val="32"/>
        </w:rPr>
        <w:t>1 执行摘要</w:t>
      </w:r>
      <w:bookmarkEnd w:id="0"/>
    </w:p>
    <w:p w14:paraId="00100018">
      <w:pPr>
        <w:pStyle w:val="3"/>
      </w:pPr>
      <w:bookmarkStart w:id="1" w:name="_Toc1070"/>
      <w:r>
        <w:rPr>
          <w:rFonts w:ascii="Segoe UI" w:hAnsi="Segoe UI" w:eastAsia="微软雅黑" w:cs="Segoe UI"/>
          <w:b/>
          <w:color w:val="2E75B6"/>
          <w:sz w:val="26"/>
        </w:rPr>
        <w:t>1.1 核心结论</w:t>
      </w:r>
      <w:bookmarkEnd w:id="1"/>
    </w:p>
    <w:p w14:paraId="0010001A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官网不只是企业介绍页面，而是承接品牌认知、行业方案理解、产品查询、内容传播、人才招募和业务线索收集的统一数字入口。前台按用户目标组织导航；后台按可运营的内容对象组织管理；询单管理则承接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和管理</w:t>
      </w:r>
      <w:r>
        <w:rPr>
          <w:rFonts w:ascii="Calibri" w:hAnsi="Calibri" w:eastAsia="等线" w:cs="Calibri"/>
          <w:color w:val="262626"/>
          <w:sz w:val="21"/>
        </w:rPr>
        <w:t>各业务入口的客户意向。</w:t>
      </w:r>
    </w:p>
    <w:p w14:paraId="0010001C">
      <w:pPr>
        <w:pStyle w:val="3"/>
      </w:pPr>
      <w:bookmarkStart w:id="2" w:name="_Toc25103"/>
      <w:r>
        <w:rPr>
          <w:rFonts w:ascii="Segoe UI" w:hAnsi="Segoe UI" w:eastAsia="微软雅黑" w:cs="Segoe UI"/>
          <w:b/>
          <w:color w:val="2E75B6"/>
          <w:sz w:val="26"/>
        </w:rPr>
        <w:t>1.2 本说明书覆盖范围</w:t>
      </w:r>
      <w:bookmarkEnd w:id="2"/>
    </w:p>
    <w:p w14:paraId="0010001E">
      <w:pPr>
        <w:numPr>
          <w:ilvl w:val="0"/>
          <w:numId w:val="1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•  官网前台：页面布局、顶部导航、主要模块及各模块的目标与入口关系。</w:t>
      </w:r>
    </w:p>
    <w:p w14:paraId="00100020">
      <w:pPr>
        <w:numPr>
          <w:ilvl w:val="0"/>
          <w:numId w:val="1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•  内容运营：产品、解决方案、新闻等内容如何由后台维护并在前台呈现。</w:t>
      </w:r>
    </w:p>
    <w:p w14:paraId="00100022">
      <w:pPr>
        <w:numPr>
          <w:ilvl w:val="0"/>
          <w:numId w:val="1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•  询单管理：询单来源、统计视图、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询单列表</w:t>
      </w:r>
      <w:r>
        <w:rPr>
          <w:rFonts w:ascii="Calibri" w:hAnsi="Calibri" w:eastAsia="等线" w:cs="Calibri"/>
          <w:color w:val="262626"/>
          <w:sz w:val="21"/>
        </w:rPr>
        <w:t>、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询单详情及询单处理等</w:t>
      </w:r>
      <w:r>
        <w:rPr>
          <w:rFonts w:ascii="Calibri" w:hAnsi="Calibri" w:eastAsia="等线" w:cs="Calibri"/>
          <w:color w:val="262626"/>
          <w:sz w:val="21"/>
        </w:rPr>
        <w:t>。</w:t>
      </w:r>
    </w:p>
    <w:p w14:paraId="00100024">
      <w:pPr>
        <w:numPr>
          <w:ilvl w:val="0"/>
          <w:numId w:val="1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•  演示说明：区分已呈现的高保真界面、预期业务流程与尚待接口/规则确认的能力。</w:t>
      </w:r>
    </w:p>
    <w:p w14:paraId="00100026">
      <w:pPr>
        <w:pStyle w:val="2"/>
        <w:pBdr>
          <w:bottom w:val="single" w:color="1F4E79" w:sz="8" w:space="6"/>
        </w:pBdr>
      </w:pPr>
      <w:bookmarkStart w:id="3" w:name="_Toc26659"/>
      <w:r>
        <w:rPr>
          <w:rFonts w:ascii="Segoe UI" w:hAnsi="Segoe UI" w:eastAsia="微软雅黑" w:cs="Segoe UI"/>
          <w:b/>
          <w:color w:val="1F4E79"/>
          <w:sz w:val="32"/>
        </w:rPr>
        <w:t>2 产品定位与目标用户</w:t>
      </w:r>
      <w:bookmarkEnd w:id="3"/>
    </w:p>
    <w:p w14:paraId="00100028">
      <w:pPr>
        <w:pStyle w:val="3"/>
      </w:pPr>
      <w:bookmarkStart w:id="4" w:name="_Toc13489"/>
      <w:r>
        <w:rPr>
          <w:rFonts w:ascii="Segoe UI" w:hAnsi="Segoe UI" w:eastAsia="微软雅黑" w:cs="Segoe UI"/>
          <w:b/>
          <w:color w:val="2E75B6"/>
          <w:sz w:val="26"/>
        </w:rPr>
        <w:t>2.1 产品定位</w:t>
      </w:r>
      <w:bookmarkEnd w:id="4"/>
    </w:p>
    <w:p w14:paraId="0010002A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恒达微波官方网站是企业对外展示和业务沟通的数字化门户。网站围绕“认识企业—理解能力—查找产品/方案—建立联系”组织信息，使不同访客能够快速找到与自身任务相关的内容，并通过咨询、资料申请或合作入口进入下一步沟通。</w:t>
      </w:r>
    </w:p>
    <w:p w14:paraId="0010002C">
      <w:pPr>
        <w:pStyle w:val="3"/>
      </w:pPr>
      <w:bookmarkStart w:id="5" w:name="_Toc14549"/>
      <w:r>
        <w:rPr>
          <w:rFonts w:ascii="Segoe UI" w:hAnsi="Segoe UI" w:eastAsia="微软雅黑" w:cs="Segoe UI"/>
          <w:b/>
          <w:color w:val="2E75B6"/>
          <w:sz w:val="26"/>
        </w:rPr>
        <w:t>2.2 目标用户与核心任务</w:t>
      </w:r>
      <w:bookmarkEnd w:id="5"/>
    </w:p>
    <w:p w14:paraId="19B3E471">
      <w:pPr>
        <w:keepNext/>
        <w:spacing w:before="200" w:after="80" w:line="288" w:lineRule="auto"/>
        <w:jc w:val="center"/>
      </w:pPr>
      <w:r>
        <w:rPr>
          <w:rFonts w:ascii="Calibri" w:hAnsi="Calibri" w:eastAsia="等线" w:cs="Calibri"/>
          <w:b/>
          <w:color w:val="2E75B6"/>
          <w:sz w:val="19"/>
        </w:rPr>
        <w:t>表 2-1  目标用户与核心任务</w:t>
      </w:r>
    </w:p>
    <w:tbl>
      <w:tblPr>
        <w:tblStyle w:val="9"/>
        <w:tblW w:w="494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7"/>
        <w:gridCol w:w="2779"/>
        <w:gridCol w:w="4295"/>
      </w:tblGrid>
      <w:tr w14:paraId="78E7B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004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2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用户群体</w:t>
            </w:r>
          </w:p>
        </w:tc>
        <w:tc>
          <w:tcPr>
            <w:tcW w:w="1570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0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主要问题</w:t>
            </w:r>
          </w:p>
        </w:tc>
        <w:tc>
          <w:tcPr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网站提供的支持</w:t>
            </w:r>
          </w:p>
        </w:tc>
      </w:tr>
      <w:tr w14:paraId="5C2FA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潜在客户/采购人员</w:t>
            </w:r>
          </w:p>
        </w:tc>
        <w:tc>
          <w:tcPr>
            <w:tcW w:w="15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企业是否可靠，是否有匹配的产品或方案，如何联系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企业与能力介绍、方案浏览、产品目录/参数、业务咨询与规格书申请</w:t>
            </w:r>
          </w:p>
        </w:tc>
      </w:tr>
      <w:tr w14:paraId="79239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研发/工程技术人员</w:t>
            </w:r>
          </w:p>
        </w:tc>
        <w:tc>
          <w:tcPr>
            <w:tcW w:w="1570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产品参数、应用方式、配套能力和技术资料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产品型号与指标、解决方案及子系统、微波知识与论文资料</w:t>
            </w:r>
          </w:p>
        </w:tc>
      </w:tr>
      <w:tr w14:paraId="444AD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现有客户</w:t>
            </w:r>
          </w:p>
        </w:tc>
        <w:tc>
          <w:tcPr>
            <w:tcW w:w="15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售后问题如何反馈，能否快速找到服务渠道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售后服务入口、投诉建议表单、销售网络与联系方式</w:t>
            </w:r>
          </w:p>
        </w:tc>
      </w:tr>
      <w:tr w14:paraId="1E743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供应商/合作伙伴</w:t>
            </w:r>
          </w:p>
        </w:tc>
        <w:tc>
          <w:tcPr>
            <w:tcW w:w="1570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如何提交供应链合作意向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供应链合作说明与申请入口</w:t>
            </w:r>
          </w:p>
        </w:tc>
      </w:tr>
      <w:tr w14:paraId="6B27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求职者/高校人才</w:t>
            </w:r>
          </w:p>
        </w:tc>
        <w:tc>
          <w:tcPr>
            <w:tcW w:w="15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岗位、培养机会和招聘联系方式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5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招聘动态、研究生培养、人事行政联系方式</w:t>
            </w:r>
          </w:p>
        </w:tc>
      </w:tr>
      <w:tr w14:paraId="6BCDE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5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市场与内容运营人员</w:t>
            </w:r>
          </w:p>
        </w:tc>
        <w:tc>
          <w:tcPr>
            <w:tcW w:w="1570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5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如何持续更新官网内容并保证信息准确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5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后台内容列表、编辑、预览、发布/上下架等管理能力设计</w:t>
            </w:r>
          </w:p>
        </w:tc>
      </w:tr>
    </w:tbl>
    <w:p w14:paraId="00100058">
      <w:pPr>
        <w:pStyle w:val="3"/>
      </w:pPr>
      <w:bookmarkStart w:id="6" w:name="_Toc7282"/>
      <w:r>
        <w:rPr>
          <w:rFonts w:ascii="Segoe UI" w:hAnsi="Segoe UI" w:eastAsia="微软雅黑" w:cs="Segoe UI"/>
          <w:b/>
          <w:color w:val="2E75B6"/>
          <w:sz w:val="26"/>
        </w:rPr>
        <w:t>2.3 业务目标</w:t>
      </w:r>
      <w:bookmarkEnd w:id="6"/>
    </w:p>
    <w:p w14:paraId="0010005A">
      <w:pPr>
        <w:numPr>
          <w:ilvl w:val="0"/>
          <w:numId w:val="2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统一品牌形象，传达企业资质、发展历程和综合能力。</w:t>
      </w:r>
    </w:p>
    <w:p w14:paraId="0010005C">
      <w:pPr>
        <w:numPr>
          <w:ilvl w:val="0"/>
          <w:numId w:val="2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将复杂的产品目录转化为可浏览、可申请资料的产品体验。</w:t>
      </w:r>
    </w:p>
    <w:p w14:paraId="0010005E">
      <w:pPr>
        <w:numPr>
          <w:ilvl w:val="0"/>
          <w:numId w:val="2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以应用场景组织解决方案，帮助客户从业务问题进入相关系统与产品。</w:t>
      </w:r>
    </w:p>
    <w:p w14:paraId="00100060">
      <w:pPr>
        <w:numPr>
          <w:ilvl w:val="0"/>
          <w:numId w:val="2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通过新闻、技术资料和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人力资源</w:t>
      </w:r>
      <w:r>
        <w:rPr>
          <w:rFonts w:ascii="Calibri" w:hAnsi="Calibri" w:eastAsia="等线" w:cs="Calibri"/>
          <w:color w:val="262626"/>
          <w:sz w:val="21"/>
        </w:rPr>
        <w:t>支持品牌传播、专业影响力与人才吸引。</w:t>
      </w:r>
    </w:p>
    <w:p w14:paraId="00100062">
      <w:pPr>
        <w:numPr>
          <w:ilvl w:val="0"/>
          <w:numId w:val="2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将官网不同位置产生的客户需求汇集为可跟进的询单，支持后续统计和运营复盘。</w:t>
      </w:r>
    </w:p>
    <w:p w14:paraId="00100064">
      <w:pPr>
        <w:pStyle w:val="2"/>
        <w:pBdr>
          <w:bottom w:val="single" w:color="1F4E79" w:sz="8" w:space="6"/>
        </w:pBdr>
      </w:pPr>
      <w:bookmarkStart w:id="7" w:name="_Toc22828"/>
      <w:r>
        <w:rPr>
          <w:rFonts w:ascii="Segoe UI" w:hAnsi="Segoe UI" w:eastAsia="微软雅黑" w:cs="Segoe UI"/>
          <w:b/>
          <w:color w:val="1F4E79"/>
          <w:sz w:val="32"/>
        </w:rPr>
        <w:t>3 信息架构与导航设计</w:t>
      </w:r>
      <w:bookmarkEnd w:id="7"/>
    </w:p>
    <w:p w14:paraId="00100066">
      <w:pPr>
        <w:pStyle w:val="3"/>
      </w:pPr>
      <w:bookmarkStart w:id="8" w:name="_Toc1339"/>
      <w:r>
        <w:rPr>
          <w:rFonts w:ascii="Segoe UI" w:hAnsi="Segoe UI" w:eastAsia="微软雅黑" w:cs="Segoe UI"/>
          <w:b/>
          <w:color w:val="2E75B6"/>
          <w:sz w:val="26"/>
        </w:rPr>
        <w:t>3.1 全站信息架构</w:t>
      </w:r>
      <w:bookmarkEnd w:id="8"/>
    </w:p>
    <w:p w14:paraId="655FCC91">
      <w:pPr>
        <w:keepNext/>
        <w:spacing w:before="200" w:after="80" w:line="288" w:lineRule="auto"/>
        <w:jc w:val="center"/>
      </w:pPr>
      <w:r>
        <w:rPr>
          <w:rFonts w:ascii="Calibri" w:hAnsi="Calibri" w:eastAsia="等线" w:cs="Calibri"/>
          <w:b/>
          <w:color w:val="2E75B6"/>
          <w:sz w:val="19"/>
        </w:rPr>
        <w:t>表 3-1  一级栏目与定位说明</w:t>
      </w:r>
    </w:p>
    <w:tbl>
      <w:tblPr>
        <w:tblStyle w:val="9"/>
        <w:tblW w:w="5000" w:type="pct"/>
        <w:jc w:val="center"/>
        <w:tblBorders>
          <w:top w:val="single" w:color="BFCBD9" w:sz="4" w:space="0"/>
          <w:left w:val="single" w:color="BFCBD9" w:sz="4" w:space="0"/>
          <w:bottom w:val="single" w:color="BFCBD9" w:sz="4" w:space="0"/>
          <w:right w:val="single" w:color="BFCBD9" w:sz="4" w:space="0"/>
          <w:insideH w:val="single" w:color="BFCBD9" w:sz="4" w:space="0"/>
          <w:insideV w:val="single" w:color="BFCBD9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474"/>
        <w:gridCol w:w="4474"/>
      </w:tblGrid>
      <w:tr w14:paraId="7410A7A7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  <w:jc w:val="center"/>
        </w:trPr>
        <w:tc>
          <w:tcPr>
            <w:tcW w:w="447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F88FB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一级栏目</w:t>
            </w:r>
          </w:p>
        </w:tc>
        <w:tc>
          <w:tcPr>
            <w:tcW w:w="447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84C4F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定位与说明</w:t>
            </w:r>
          </w:p>
        </w:tc>
      </w:tr>
      <w:tr w14:paraId="7886A826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02861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首页</w:t>
            </w:r>
          </w:p>
        </w:tc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7B3F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全站入口与导览页，汇聚公司概况、产品领域、能力介绍与业务咨询</w:t>
            </w:r>
          </w:p>
        </w:tc>
      </w:tr>
      <w:tr w14:paraId="1CA3F1DD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ED9DD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关于我们</w:t>
            </w:r>
          </w:p>
        </w:tc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29063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认识企业、理解资质与能力</w:t>
            </w:r>
          </w:p>
        </w:tc>
      </w:tr>
      <w:tr w14:paraId="7AFA94D5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172C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解决方案</w:t>
            </w:r>
          </w:p>
        </w:tc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EDB5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按应用场景了解系统能力</w:t>
            </w:r>
          </w:p>
        </w:tc>
      </w:tr>
      <w:tr w14:paraId="0DA9A6C6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6285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产品中心</w:t>
            </w:r>
          </w:p>
        </w:tc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686D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按产品</w:t>
            </w:r>
            <w:r>
              <w:rPr>
                <w:rFonts w:hint="eastAsia" w:ascii="Calibri" w:hAnsi="Calibri" w:eastAsia="等线" w:cs="Calibri"/>
                <w:color w:val="262626"/>
                <w:sz w:val="19"/>
                <w:lang w:val="en-US" w:eastAsia="zh-CN"/>
              </w:rPr>
              <w:t>类别</w:t>
            </w:r>
            <w:r>
              <w:rPr>
                <w:rFonts w:ascii="Calibri" w:hAnsi="Calibri" w:eastAsia="等线" w:cs="Calibri"/>
                <w:color w:val="262626"/>
                <w:sz w:val="19"/>
              </w:rPr>
              <w:t>和目录层级查找产品/型号</w:t>
            </w:r>
          </w:p>
        </w:tc>
      </w:tr>
      <w:tr w14:paraId="457DEC8A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E8B1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新闻中心</w:t>
            </w:r>
          </w:p>
        </w:tc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4C48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了解企业动态、媒体报道与行业活动</w:t>
            </w:r>
          </w:p>
        </w:tc>
      </w:tr>
      <w:tr w14:paraId="0325999A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E443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人力资源</w:t>
            </w:r>
          </w:p>
        </w:tc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A119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了解招聘、培养和联系渠道</w:t>
            </w:r>
          </w:p>
        </w:tc>
      </w:tr>
      <w:tr w14:paraId="5883EEB9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7A0B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技术资料</w:t>
            </w:r>
          </w:p>
        </w:tc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248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获取专业知识与论文资料</w:t>
            </w:r>
          </w:p>
        </w:tc>
      </w:tr>
      <w:tr w14:paraId="22D60755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943A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联系我们</w:t>
            </w:r>
          </w:p>
        </w:tc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696DB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销售、售后、供应链合作及业务咨询</w:t>
            </w:r>
          </w:p>
        </w:tc>
      </w:tr>
    </w:tbl>
    <w:p w14:paraId="00100086"/>
    <w:p w14:paraId="4309B1D4"/>
    <w:p w14:paraId="00100088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首页作为入口和导览页，同时汇总公司概况、产品领域、能力介绍和业务咨询等关键内容。顶部导航服务于全站主要任务；底部导航提供补充入口、联系方式和次级内容访问路径。</w:t>
      </w:r>
    </w:p>
    <w:p w14:paraId="0010008A">
      <w:pPr>
        <w:pStyle w:val="3"/>
      </w:pPr>
      <w:bookmarkStart w:id="9" w:name="_Toc20362"/>
      <w:r>
        <w:rPr>
          <w:rFonts w:ascii="Segoe UI" w:hAnsi="Segoe UI" w:eastAsia="微软雅黑" w:cs="Segoe UI"/>
          <w:b/>
          <w:color w:val="2E75B6"/>
          <w:sz w:val="26"/>
        </w:rPr>
        <w:t>3.2 顶部导航及子导航的存在意义</w:t>
      </w:r>
      <w:bookmarkEnd w:id="9"/>
    </w:p>
    <w:p w14:paraId="4BB77CEA">
      <w:pPr>
        <w:keepNext/>
        <w:spacing w:before="200" w:after="80" w:line="288" w:lineRule="auto"/>
        <w:jc w:val="center"/>
      </w:pPr>
      <w:r>
        <w:rPr>
          <w:rFonts w:ascii="Calibri" w:hAnsi="Calibri" w:eastAsia="等线" w:cs="Calibri"/>
          <w:b/>
          <w:color w:val="2E75B6"/>
          <w:sz w:val="19"/>
        </w:rPr>
        <w:t>表 3-2  顶部导航及子导航的存在意义</w:t>
      </w:r>
    </w:p>
    <w:tbl>
      <w:tblPr>
        <w:tblStyle w:val="9"/>
        <w:tblW w:w="497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6"/>
        <w:gridCol w:w="3572"/>
        <w:gridCol w:w="2689"/>
        <w:gridCol w:w="1408"/>
      </w:tblGrid>
      <w:tr w14:paraId="56754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694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8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一级导航</w:t>
            </w:r>
          </w:p>
        </w:tc>
        <w:tc>
          <w:tcPr>
            <w:tcW w:w="2005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8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子导航/主要内容</w:t>
            </w:r>
          </w:p>
        </w:tc>
        <w:tc>
          <w:tcPr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0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存在意义</w:t>
            </w:r>
          </w:p>
        </w:tc>
        <w:tc>
          <w:tcPr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主要目标</w:t>
            </w:r>
          </w:p>
        </w:tc>
      </w:tr>
      <w:tr w14:paraId="0ED8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关于我们</w:t>
            </w:r>
          </w:p>
        </w:tc>
        <w:tc>
          <w:tcPr>
            <w:tcW w:w="200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公司介绍、发展历程、资质荣誉、公司活动、媒体宣传、能力介绍</w:t>
            </w:r>
          </w:p>
        </w:tc>
        <w:tc>
          <w:tcPr>
            <w:tcW w:w="150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回答“这是一家怎样的企业、有什么积累和能力”</w:t>
            </w:r>
          </w:p>
        </w:tc>
        <w:tc>
          <w:tcPr>
            <w:tcW w:w="7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建立信任与品牌认知</w:t>
            </w:r>
          </w:p>
        </w:tc>
      </w:tr>
      <w:tr w14:paraId="66735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解决方案</w:t>
            </w:r>
          </w:p>
        </w:tc>
        <w:tc>
          <w:tcPr>
            <w:tcW w:w="2005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E">
            <w:pPr>
              <w:spacing w:before="40" w:after="40" w:line="288" w:lineRule="auto"/>
              <w:rPr>
                <w:rFonts w:hint="eastAsia" w:eastAsia="等线"/>
                <w:lang w:val="en-US" w:eastAsia="zh-CN"/>
              </w:rPr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气象雷达、卫星通信</w:t>
            </w:r>
            <w:r>
              <w:rPr>
                <w:rFonts w:hint="eastAsia" w:ascii="Calibri" w:hAnsi="Calibri" w:eastAsia="等线" w:cs="Calibri"/>
                <w:color w:val="262626"/>
                <w:sz w:val="19"/>
                <w:lang w:val="en-US" w:eastAsia="zh-CN"/>
              </w:rPr>
              <w:t>等</w:t>
            </w:r>
          </w:p>
        </w:tc>
        <w:tc>
          <w:tcPr>
            <w:tcW w:w="1509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按客户应用场景组织系统级内容，避免只从零散型号开始浏览</w:t>
            </w:r>
          </w:p>
        </w:tc>
        <w:tc>
          <w:tcPr>
            <w:tcW w:w="790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引导方案交流与咨询</w:t>
            </w:r>
          </w:p>
        </w:tc>
      </w:tr>
      <w:tr w14:paraId="2441E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产品中心</w:t>
            </w:r>
          </w:p>
        </w:tc>
        <w:tc>
          <w:tcPr>
            <w:tcW w:w="200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天线系列产品、无源系列产品、有源系列产品、伺服转台系列产品、分系统类产品、来图加工系列产品</w:t>
            </w:r>
          </w:p>
        </w:tc>
        <w:tc>
          <w:tcPr>
            <w:tcW w:w="150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提供从领域、目录分类到型号和技术指标的查找路径</w:t>
            </w:r>
          </w:p>
        </w:tc>
        <w:tc>
          <w:tcPr>
            <w:tcW w:w="7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产品发现、选型、规格书申请</w:t>
            </w:r>
          </w:p>
        </w:tc>
      </w:tr>
      <w:tr w14:paraId="3969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新闻中心</w:t>
            </w:r>
          </w:p>
        </w:tc>
        <w:tc>
          <w:tcPr>
            <w:tcW w:w="2005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公司新闻、媒体报道、行业资讯、学术展会</w:t>
            </w:r>
          </w:p>
        </w:tc>
        <w:tc>
          <w:tcPr>
            <w:tcW w:w="1509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持续展示企业动态、行业参与和专业影响</w:t>
            </w:r>
          </w:p>
        </w:tc>
        <w:tc>
          <w:tcPr>
            <w:tcW w:w="790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品牌传播与内容沉淀</w:t>
            </w:r>
          </w:p>
        </w:tc>
      </w:tr>
      <w:tr w14:paraId="524A7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人力资源</w:t>
            </w:r>
          </w:p>
        </w:tc>
        <w:tc>
          <w:tcPr>
            <w:tcW w:w="200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招聘动态、研究生培养、人事行政联系方式</w:t>
            </w:r>
          </w:p>
        </w:tc>
        <w:tc>
          <w:tcPr>
            <w:tcW w:w="150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为求职者、高校学生及人才合作对象提供独立入口</w:t>
            </w:r>
          </w:p>
        </w:tc>
        <w:tc>
          <w:tcPr>
            <w:tcW w:w="7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招聘转化与雇主品牌</w:t>
            </w:r>
          </w:p>
        </w:tc>
      </w:tr>
      <w:tr w14:paraId="7E7A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技术资料</w:t>
            </w:r>
          </w:p>
        </w:tc>
        <w:tc>
          <w:tcPr>
            <w:tcW w:w="2005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微波知识、论文下载</w:t>
            </w:r>
          </w:p>
        </w:tc>
        <w:tc>
          <w:tcPr>
            <w:tcW w:w="1509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C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提供专业知识与公开技术资料，支持技术认知和内容传播</w:t>
            </w:r>
          </w:p>
        </w:tc>
        <w:tc>
          <w:tcPr>
            <w:tcW w:w="790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C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专业影响、持续访问</w:t>
            </w:r>
          </w:p>
        </w:tc>
      </w:tr>
      <w:tr w14:paraId="7E8BE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C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联系我们</w:t>
            </w:r>
          </w:p>
        </w:tc>
        <w:tc>
          <w:tcPr>
            <w:tcW w:w="200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C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销售网络、售后服务、供应链合作</w:t>
            </w:r>
          </w:p>
        </w:tc>
        <w:tc>
          <w:tcPr>
            <w:tcW w:w="150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C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按不同沟通目的分流，减少访客寻找正确联系渠道的成本</w:t>
            </w:r>
          </w:p>
        </w:tc>
        <w:tc>
          <w:tcPr>
            <w:tcW w:w="7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C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销售、服务及供应链线索承接</w:t>
            </w:r>
          </w:p>
        </w:tc>
      </w:tr>
    </w:tbl>
    <w:p w14:paraId="63B03889">
      <w:pPr>
        <w:spacing w:after="120" w:line="360" w:lineRule="auto"/>
        <w:ind w:firstLine="420"/>
        <w:rPr>
          <w:rFonts w:ascii="Calibri" w:hAnsi="Calibri" w:eastAsia="等线" w:cs="Calibri"/>
          <w:color w:val="262626"/>
          <w:sz w:val="21"/>
        </w:rPr>
      </w:pPr>
    </w:p>
    <w:p w14:paraId="001000CC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导航名称应尽量贴近访客的任务语言。将产品与解决方案分开，是因为前者回答“有哪些产品、参数如何”，后者回答“针对某种应用如何组合系统能力”；将销售、售后和供应链合作分开，则是为了让不同类型的联系诉求进入更合适的业务通道。</w:t>
      </w:r>
    </w:p>
    <w:p w14:paraId="001000CE">
      <w:pPr>
        <w:pStyle w:val="3"/>
      </w:pPr>
      <w:bookmarkStart w:id="10" w:name="_Toc26005"/>
      <w:r>
        <w:rPr>
          <w:rFonts w:ascii="Segoe UI" w:hAnsi="Segoe UI" w:eastAsia="微软雅黑" w:cs="Segoe UI"/>
          <w:b/>
          <w:color w:val="2E75B6"/>
          <w:sz w:val="26"/>
        </w:rPr>
        <w:t>3.3 关键用户路径</w:t>
      </w:r>
      <w:bookmarkEnd w:id="10"/>
    </w:p>
    <w:p w14:paraId="71F70DD4">
      <w:pPr>
        <w:keepNext/>
        <w:spacing w:before="200" w:after="80" w:line="288" w:lineRule="auto"/>
        <w:jc w:val="center"/>
      </w:pPr>
      <w:r>
        <w:rPr>
          <w:rFonts w:ascii="Calibri" w:hAnsi="Calibri" w:eastAsia="等线" w:cs="Calibri"/>
          <w:b/>
          <w:color w:val="2E75B6"/>
          <w:sz w:val="19"/>
        </w:rPr>
        <w:t>表 3-3  关键用户路径</w:t>
      </w:r>
    </w:p>
    <w:tbl>
      <w:tblPr>
        <w:tblStyle w:val="9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4831"/>
        <w:gridCol w:w="2297"/>
      </w:tblGrid>
      <w:tr w14:paraId="1D7C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012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0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用户意图</w:t>
            </w:r>
          </w:p>
        </w:tc>
        <w:tc>
          <w:tcPr>
            <w:tcW w:w="2703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推荐路径</w:t>
            </w:r>
          </w:p>
        </w:tc>
        <w:tc>
          <w:tcPr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关键行动</w:t>
            </w:r>
          </w:p>
        </w:tc>
      </w:tr>
      <w:tr w14:paraId="6D047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6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评估供应商</w:t>
            </w:r>
          </w:p>
        </w:tc>
        <w:tc>
          <w:tcPr>
            <w:tcW w:w="270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首页 → 关于我们/能力介绍 → 解决方案或产品中心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建立企业与技术能力信任</w:t>
            </w:r>
          </w:p>
        </w:tc>
      </w:tr>
      <w:tr w14:paraId="62DA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2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按应用寻找方案</w:t>
            </w:r>
          </w:p>
        </w:tc>
        <w:tc>
          <w:tcPr>
            <w:tcW w:w="2703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首页/顶部导航 → 解决方案 → 气象雷达或卫星通信 → 方案咨询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提交项目需求，进入方案跟进</w:t>
            </w:r>
          </w:p>
        </w:tc>
      </w:tr>
      <w:tr w14:paraId="6C5D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按技术领域寻找型号</w:t>
            </w:r>
          </w:p>
        </w:tc>
        <w:tc>
          <w:tcPr>
            <w:tcW w:w="270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产品中心 → 六大产品领域 → 逐级目录 → 型号参数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比较技术指标或申请规格书</w:t>
            </w:r>
          </w:p>
        </w:tc>
      </w:tr>
      <w:tr w14:paraId="5EE3B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2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8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寻求售后支持</w:t>
            </w:r>
          </w:p>
        </w:tc>
        <w:tc>
          <w:tcPr>
            <w:tcW w:w="2703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联系我们 → 售后服务 → 投诉建议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提交问题并留下联系方式</w:t>
            </w:r>
          </w:p>
        </w:tc>
      </w:tr>
      <w:tr w14:paraId="1B156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建立供应合作</w:t>
            </w:r>
          </w:p>
        </w:tc>
        <w:tc>
          <w:tcPr>
            <w:tcW w:w="270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F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联系我们 → 供应链合作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F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提交企业资质和合作意向</w:t>
            </w:r>
          </w:p>
        </w:tc>
      </w:tr>
      <w:tr w14:paraId="65F13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2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F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寻找工作/培养机会</w:t>
            </w:r>
          </w:p>
        </w:tc>
        <w:tc>
          <w:tcPr>
            <w:tcW w:w="2703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F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人力资源 → 招聘动态/研究生培养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F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查看岗位或联系招聘人员</w:t>
            </w:r>
          </w:p>
        </w:tc>
      </w:tr>
    </w:tbl>
    <w:p w14:paraId="001000FA">
      <w:pPr>
        <w:pStyle w:val="2"/>
        <w:pBdr>
          <w:bottom w:val="single" w:color="1F4E79" w:sz="8" w:space="6"/>
        </w:pBdr>
      </w:pPr>
      <w:bookmarkStart w:id="11" w:name="_Toc25406"/>
      <w:r>
        <w:rPr>
          <w:rFonts w:ascii="Segoe UI" w:hAnsi="Segoe UI" w:eastAsia="微软雅黑" w:cs="Segoe UI"/>
          <w:b/>
          <w:color w:val="1F4E79"/>
          <w:sz w:val="32"/>
        </w:rPr>
        <w:t>4 首页布局说明</w:t>
      </w:r>
      <w:bookmarkEnd w:id="11"/>
    </w:p>
    <w:p w14:paraId="001000FC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首页承担品牌第一印象、核心内容导览和线索入口三类任务，采用由认知到行动的纵向结构。</w:t>
      </w:r>
    </w:p>
    <w:p w14:paraId="5BDB08B1">
      <w:pPr>
        <w:keepNext/>
        <w:spacing w:before="200" w:after="80" w:line="288" w:lineRule="auto"/>
        <w:jc w:val="center"/>
      </w:pPr>
      <w:r>
        <w:rPr>
          <w:rFonts w:ascii="Calibri" w:hAnsi="Calibri" w:eastAsia="等线" w:cs="Calibri"/>
          <w:b/>
          <w:color w:val="2E75B6"/>
          <w:sz w:val="19"/>
        </w:rPr>
        <w:t>表 4-1  首页布局说明</w:t>
      </w:r>
    </w:p>
    <w:tbl>
      <w:tblPr>
        <w:tblStyle w:val="9"/>
        <w:tblW w:w="497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3"/>
        <w:gridCol w:w="3660"/>
        <w:gridCol w:w="4121"/>
      </w:tblGrid>
      <w:tr w14:paraId="40803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626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F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页面区域</w:t>
            </w:r>
          </w:p>
        </w:tc>
        <w:tc>
          <w:tcPr>
            <w:tcW w:w="2057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0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主要内容</w:t>
            </w:r>
          </w:p>
        </w:tc>
        <w:tc>
          <w:tcPr>
            <w:tcW w:w="2316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设计目标</w:t>
            </w:r>
          </w:p>
        </w:tc>
      </w:tr>
      <w:tr w14:paraId="5111C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顶部导航</w:t>
            </w:r>
          </w:p>
        </w:tc>
        <w:tc>
          <w:tcPr>
            <w:tcW w:w="205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企业标识、一级导航及子导航</w:t>
            </w:r>
          </w:p>
        </w:tc>
        <w:tc>
          <w:tcPr>
            <w:tcW w:w="231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提供全站稳定入口，支持访客按任务直接跳转</w:t>
            </w:r>
          </w:p>
        </w:tc>
      </w:tr>
      <w:tr w14:paraId="2257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A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首屏</w:t>
            </w:r>
          </w:p>
        </w:tc>
        <w:tc>
          <w:tcPr>
            <w:tcW w:w="2057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品牌主张、产品领域与联系我们等主行动</w:t>
            </w:r>
          </w:p>
        </w:tc>
        <w:tc>
          <w:tcPr>
            <w:tcW w:w="231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快速说明企业方向，并将用户引导至核心业务</w:t>
            </w:r>
          </w:p>
        </w:tc>
      </w:tr>
      <w:tr w14:paraId="4D5FD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0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公司概况</w:t>
            </w:r>
          </w:p>
        </w:tc>
        <w:tc>
          <w:tcPr>
            <w:tcW w:w="205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企业简介、发展和规模/知识产权等信息</w:t>
            </w:r>
          </w:p>
        </w:tc>
        <w:tc>
          <w:tcPr>
            <w:tcW w:w="231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提供可信度与企业背景</w:t>
            </w:r>
          </w:p>
        </w:tc>
      </w:tr>
      <w:tr w14:paraId="1DCB7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6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产品领域</w:t>
            </w:r>
          </w:p>
        </w:tc>
        <w:tc>
          <w:tcPr>
            <w:tcW w:w="2057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六个产品领域入口</w:t>
            </w:r>
          </w:p>
        </w:tc>
        <w:tc>
          <w:tcPr>
            <w:tcW w:w="231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将产品中心的主要入口前置，缩短产品发现路径</w:t>
            </w:r>
          </w:p>
        </w:tc>
      </w:tr>
      <w:tr w14:paraId="73B9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能力介绍</w:t>
            </w:r>
          </w:p>
        </w:tc>
        <w:tc>
          <w:tcPr>
            <w:tcW w:w="205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管理、测试、试验检验、技术、智能制造五类能力</w:t>
            </w:r>
          </w:p>
        </w:tc>
        <w:tc>
          <w:tcPr>
            <w:tcW w:w="231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将组织、质量、研发与制造能力具象化，补足产品之外的企业能力说明</w:t>
            </w:r>
          </w:p>
        </w:tc>
      </w:tr>
      <w:tr w14:paraId="2091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业务咨询</w:t>
            </w:r>
          </w:p>
        </w:tc>
        <w:tc>
          <w:tcPr>
            <w:tcW w:w="2057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联系方式与咨询表单</w:t>
            </w:r>
          </w:p>
        </w:tc>
        <w:tc>
          <w:tcPr>
            <w:tcW w:w="231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在访客产生兴趣时提供低成本的沟通入口</w:t>
            </w:r>
          </w:p>
        </w:tc>
      </w:tr>
      <w:tr w14:paraId="5F48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8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底部导航</w:t>
            </w:r>
          </w:p>
        </w:tc>
        <w:tc>
          <w:tcPr>
            <w:tcW w:w="205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主要栏目、联系方式及补充入口</w:t>
            </w:r>
          </w:p>
        </w:tc>
        <w:tc>
          <w:tcPr>
            <w:tcW w:w="231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提供页面末端导航和联系信息</w:t>
            </w:r>
          </w:p>
        </w:tc>
      </w:tr>
    </w:tbl>
    <w:p w14:paraId="0AC60448">
      <w:pPr>
        <w:spacing w:after="120" w:line="360" w:lineRule="auto"/>
        <w:ind w:firstLine="420"/>
        <w:rPr>
          <w:rFonts w:ascii="Calibri" w:hAnsi="Calibri" w:eastAsia="等线" w:cs="Calibri"/>
          <w:color w:val="262626"/>
          <w:sz w:val="21"/>
        </w:rPr>
      </w:pPr>
    </w:p>
    <w:p w14:paraId="0010012E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首页的产品领域与能力介绍采用相近的卡片式入口布局，但语义不同：产品领域用于“找产品”，能力介绍用于“理解企业如何实现产品与项目交付”。</w:t>
      </w:r>
    </w:p>
    <w:p w14:paraId="00100130">
      <w:pPr>
        <w:pStyle w:val="2"/>
        <w:pBdr>
          <w:bottom w:val="single" w:color="1F4E79" w:sz="8" w:space="6"/>
        </w:pBdr>
      </w:pPr>
      <w:bookmarkStart w:id="12" w:name="_Toc3803"/>
      <w:r>
        <w:rPr>
          <w:rFonts w:ascii="Segoe UI" w:hAnsi="Segoe UI" w:eastAsia="微软雅黑" w:cs="Segoe UI"/>
          <w:b/>
          <w:color w:val="1F4E79"/>
          <w:sz w:val="32"/>
        </w:rPr>
        <w:t>5 核心前台模块说明</w:t>
      </w:r>
      <w:bookmarkEnd w:id="12"/>
    </w:p>
    <w:p w14:paraId="00100132">
      <w:pPr>
        <w:pStyle w:val="3"/>
      </w:pPr>
      <w:bookmarkStart w:id="13" w:name="_Toc12910"/>
      <w:r>
        <w:rPr>
          <w:rFonts w:ascii="Segoe UI" w:hAnsi="Segoe UI" w:eastAsia="微软雅黑" w:cs="Segoe UI"/>
          <w:b/>
          <w:color w:val="2E75B6"/>
          <w:sz w:val="26"/>
        </w:rPr>
        <w:t>5.1 关于我们与能力介绍</w:t>
      </w:r>
      <w:bookmarkEnd w:id="13"/>
    </w:p>
    <w:p w14:paraId="00100134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关于我们通过公司介绍、发展历程、资质荣誉、公司活动和媒体宣传建立企业背景与品牌可信度。能力介绍进一步呈现管理能力、测试能力、试验与检验能力、技术能力、智能制造五个方面，帮助客户理解企业在质量保障、研发、验证和制造环节的综合支撑能力。</w:t>
      </w:r>
    </w:p>
    <w:p w14:paraId="00100136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能力内容应通过清晰的分类页进入具体介绍；其作用是补充公司概况和产品展示，而非取代产品参数或解决方案内容。</w:t>
      </w:r>
    </w:p>
    <w:p w14:paraId="00100138">
      <w:pPr>
        <w:pStyle w:val="3"/>
      </w:pPr>
      <w:bookmarkStart w:id="14" w:name="_Toc22502"/>
      <w:r>
        <w:rPr>
          <w:rFonts w:ascii="Segoe UI" w:hAnsi="Segoe UI" w:eastAsia="微软雅黑" w:cs="Segoe UI"/>
          <w:b/>
          <w:color w:val="2E75B6"/>
          <w:sz w:val="26"/>
        </w:rPr>
        <w:t>5.2 解决方案</w:t>
      </w:r>
      <w:bookmarkEnd w:id="14"/>
    </w:p>
    <w:p w14:paraId="0010013A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解决方案以气象雷达、卫星通信等应用方向组织内容。用户进入方案后，可查看方案说明、子系统组成、示意图标记、关联产品，并通过方案咨询提交需求。方案的价值在于从客户场景出发解释系统如何构成，再链接到对应产品，减少用户只依赖型号搜索的成本。</w:t>
      </w:r>
    </w:p>
    <w:p w14:paraId="0010013C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产品规格书申请与方案咨询属于不同询单：前者与具体产品型号关联，后者与解决方案/子系统和项目需求关联，后台应保留各自的业务字段和来源信息。</w:t>
      </w:r>
    </w:p>
    <w:p w14:paraId="0010013E">
      <w:pPr>
        <w:pStyle w:val="3"/>
      </w:pPr>
      <w:bookmarkStart w:id="15" w:name="_Toc27800"/>
      <w:r>
        <w:rPr>
          <w:rFonts w:ascii="Segoe UI" w:hAnsi="Segoe UI" w:eastAsia="微软雅黑" w:cs="Segoe UI"/>
          <w:b/>
          <w:color w:val="2E75B6"/>
          <w:sz w:val="26"/>
        </w:rPr>
        <w:t>5.3 产品中心与产品搜索</w:t>
      </w:r>
      <w:bookmarkEnd w:id="15"/>
    </w:p>
    <w:p w14:paraId="00100140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产品中心按六个一级领域组织：天线系列产品、无源系列产品、有源系列产品、伺服转台系列产品、分系统类产品、来图加工系列产品。产品目录根据产品手册和业务分类逐级展开，现有信息架构支持最多五级目录。</w:t>
      </w:r>
    </w:p>
    <w:p w14:paraId="00100142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普通产品末级分类展示类别介绍、产品图片和型号参数，便于同类产品比较；点击型号可以查看详细技术指标，规格书入口进入申请流程。分系统集成类产品的内容模型与普通参数表不同，前台按文章式富文本内容展示，避免将后台编辑内容拆分为不匹配的组件。</w:t>
      </w:r>
    </w:p>
    <w:p w14:paraId="00100144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产品搜索用于跨目录快速定位型号或类别。搜索结果可查看摘要、产品详情并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提交</w:t>
      </w:r>
      <w:r>
        <w:rPr>
          <w:rFonts w:ascii="Calibri" w:hAnsi="Calibri" w:eastAsia="等线" w:cs="Calibri"/>
          <w:color w:val="262626"/>
          <w:sz w:val="21"/>
        </w:rPr>
        <w:t>规格书申请；分类目录、面包屑、搜索结果和产品详情之间需要共享一致的产品分类与型号信息。</w:t>
      </w:r>
    </w:p>
    <w:p w14:paraId="00100146">
      <w:pPr>
        <w:pStyle w:val="3"/>
      </w:pPr>
      <w:bookmarkStart w:id="16" w:name="_Toc15904"/>
      <w:r>
        <w:rPr>
          <w:rFonts w:ascii="Segoe UI" w:hAnsi="Segoe UI" w:eastAsia="微软雅黑" w:cs="Segoe UI"/>
          <w:b/>
          <w:color w:val="2E75B6"/>
          <w:sz w:val="26"/>
        </w:rPr>
        <w:t>5.4 新闻中心与技术资料</w:t>
      </w:r>
      <w:bookmarkEnd w:id="16"/>
    </w:p>
    <w:p w14:paraId="00100148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新闻中心划分公司新闻、媒体报道、行业资讯、学术展会，满足不同内容的持续发布与归档需求。新闻列表通过分类、标题、摘要、封面和发布时间帮助访客快速浏览；新闻详情承担完整内容呈现。</w:t>
      </w:r>
    </w:p>
    <w:p w14:paraId="0010014A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技术资料包含微波知识和论文下载。技术资料既是专业内容资产，也是支持技术认知和持续访问的入口。</w:t>
      </w:r>
    </w:p>
    <w:p w14:paraId="0010014C">
      <w:pPr>
        <w:pStyle w:val="3"/>
      </w:pPr>
      <w:bookmarkStart w:id="17" w:name="_Toc32219"/>
      <w:r>
        <w:rPr>
          <w:rFonts w:ascii="Segoe UI" w:hAnsi="Segoe UI" w:eastAsia="微软雅黑" w:cs="Segoe UI"/>
          <w:b/>
          <w:color w:val="2E75B6"/>
          <w:sz w:val="26"/>
        </w:rPr>
        <w:t>5.5 人力资源</w:t>
      </w:r>
      <w:bookmarkEnd w:id="17"/>
    </w:p>
    <w:p w14:paraId="0010014E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人力资源面向社会招聘、校园招聘及研究生培养等不同对象，提供招聘动态</w:t>
      </w:r>
      <w:r>
        <w:rPr>
          <w:rFonts w:hint="eastAsia" w:ascii="Calibri" w:hAnsi="Calibri" w:eastAsia="等线" w:cs="Calibri"/>
          <w:color w:val="262626"/>
          <w:sz w:val="21"/>
          <w:lang w:eastAsia="zh-CN"/>
        </w:rPr>
        <w:t>（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链接到智联招聘）</w:t>
      </w:r>
      <w:r>
        <w:rPr>
          <w:rFonts w:ascii="Calibri" w:hAnsi="Calibri" w:eastAsia="等线" w:cs="Calibri"/>
          <w:color w:val="262626"/>
          <w:sz w:val="21"/>
        </w:rPr>
        <w:t>、培养信息和人事行政联系方式。</w:t>
      </w:r>
    </w:p>
    <w:p w14:paraId="00100150">
      <w:pPr>
        <w:pStyle w:val="3"/>
      </w:pPr>
      <w:bookmarkStart w:id="18" w:name="_Toc14369"/>
      <w:r>
        <w:rPr>
          <w:rFonts w:ascii="Segoe UI" w:hAnsi="Segoe UI" w:eastAsia="微软雅黑" w:cs="Segoe UI"/>
          <w:b/>
          <w:color w:val="2E75B6"/>
          <w:sz w:val="26"/>
        </w:rPr>
        <w:t>5.6 联系我们</w:t>
      </w:r>
      <w:bookmarkEnd w:id="18"/>
    </w:p>
    <w:p w14:paraId="00100152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联系我们按销售网络、售后服务、供应链合作分成清晰入口：销售网络帮助访客查找销售联系渠道；售后服务承接问题反馈和投诉建议；供应链合作承接供应商准入及配套合作意向。</w:t>
      </w:r>
    </w:p>
    <w:p w14:paraId="00100154">
      <w:pPr>
        <w:pStyle w:val="2"/>
        <w:pBdr>
          <w:bottom w:val="single" w:color="1F4E79" w:sz="8" w:space="6"/>
        </w:pBdr>
      </w:pPr>
      <w:bookmarkStart w:id="19" w:name="_Toc6554"/>
      <w:r>
        <w:rPr>
          <w:rFonts w:ascii="Segoe UI" w:hAnsi="Segoe UI" w:eastAsia="微软雅黑" w:cs="Segoe UI"/>
          <w:b/>
          <w:color w:val="1F4E79"/>
          <w:sz w:val="32"/>
        </w:rPr>
        <w:t>6 后台内容管理与前后台联动</w:t>
      </w:r>
      <w:bookmarkEnd w:id="19"/>
    </w:p>
    <w:p w14:paraId="00100156">
      <w:pPr>
        <w:pStyle w:val="3"/>
      </w:pPr>
      <w:bookmarkStart w:id="20" w:name="_Toc3651"/>
      <w:r>
        <w:rPr>
          <w:rFonts w:ascii="Segoe UI" w:hAnsi="Segoe UI" w:eastAsia="微软雅黑" w:cs="Segoe UI"/>
          <w:b/>
          <w:color w:val="2E75B6"/>
          <w:sz w:val="26"/>
        </w:rPr>
        <w:t>6.1 内容对象映射</w:t>
      </w:r>
      <w:bookmarkEnd w:id="20"/>
    </w:p>
    <w:p w14:paraId="78D2765E">
      <w:pPr>
        <w:keepNext/>
        <w:spacing w:before="200" w:after="80" w:line="288" w:lineRule="auto"/>
        <w:jc w:val="center"/>
      </w:pPr>
      <w:r>
        <w:rPr>
          <w:rFonts w:ascii="Calibri" w:hAnsi="Calibri" w:eastAsia="等线" w:cs="Calibri"/>
          <w:b/>
          <w:color w:val="2E75B6"/>
          <w:sz w:val="19"/>
        </w:rPr>
        <w:t>表 6-1  内容对象映射（后台 → 前台）</w:t>
      </w:r>
    </w:p>
    <w:tbl>
      <w:tblPr>
        <w:tblStyle w:val="9"/>
        <w:tblW w:w="487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0"/>
        <w:gridCol w:w="1824"/>
        <w:gridCol w:w="2613"/>
        <w:gridCol w:w="3158"/>
      </w:tblGrid>
      <w:tr w14:paraId="5ACD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642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58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前台模块</w:t>
            </w:r>
          </w:p>
        </w:tc>
        <w:tc>
          <w:tcPr>
            <w:tcW w:w="1046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5A">
            <w:pPr>
              <w:spacing w:before="40" w:after="40" w:line="288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后台管理</w:t>
            </w:r>
            <w:r>
              <w:rPr>
                <w:rFonts w:hint="eastAsia" w:ascii="Calibri" w:hAnsi="Calibri" w:eastAsia="等线" w:cs="Segoe UI"/>
                <w:b/>
                <w:color w:val="FFFFFF"/>
                <w:sz w:val="19"/>
                <w:lang w:val="en-US" w:eastAsia="zh-CN"/>
              </w:rPr>
              <w:t>对象</w:t>
            </w:r>
          </w:p>
        </w:tc>
        <w:tc>
          <w:tcPr>
            <w:tcW w:w="1498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5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主要维护内容</w:t>
            </w:r>
          </w:p>
        </w:tc>
        <w:tc>
          <w:tcPr>
            <w:tcW w:w="1811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5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前台呈现</w:t>
            </w:r>
          </w:p>
        </w:tc>
      </w:tr>
      <w:tr w14:paraId="2C19D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4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6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产品中心</w:t>
            </w:r>
          </w:p>
        </w:tc>
        <w:tc>
          <w:tcPr>
            <w:tcW w:w="10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6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产品、分类、属性及属性绑定</w:t>
            </w:r>
          </w:p>
        </w:tc>
        <w:tc>
          <w:tcPr>
            <w:tcW w:w="1498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6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分类层级、型号、技术指标、图片、富文本详情、状态</w:t>
            </w:r>
          </w:p>
        </w:tc>
        <w:tc>
          <w:tcPr>
            <w:tcW w:w="181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6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分类树、产品列表、参数、详情和规格书</w:t>
            </w:r>
            <w:r>
              <w:rPr>
                <w:rFonts w:hint="eastAsia" w:ascii="Calibri" w:hAnsi="Calibri" w:eastAsia="等线" w:cs="Calibri"/>
                <w:color w:val="262626"/>
                <w:sz w:val="19"/>
                <w:lang w:val="en-US" w:eastAsia="zh-CN"/>
              </w:rPr>
              <w:t>申请</w:t>
            </w:r>
            <w:r>
              <w:rPr>
                <w:rFonts w:ascii="Calibri" w:hAnsi="Calibri" w:eastAsia="等线" w:cs="Calibri"/>
                <w:color w:val="262626"/>
                <w:sz w:val="19"/>
              </w:rPr>
              <w:t>入口</w:t>
            </w:r>
          </w:p>
        </w:tc>
      </w:tr>
      <w:tr w14:paraId="52C5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42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6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解决方案</w:t>
            </w:r>
          </w:p>
        </w:tc>
        <w:tc>
          <w:tcPr>
            <w:tcW w:w="104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6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方案、子系统、关联产品、示意图标记</w:t>
            </w:r>
          </w:p>
        </w:tc>
        <w:tc>
          <w:tcPr>
            <w:tcW w:w="1498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7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方案介绍、子系统结构、示意图及产品关联、上下架</w:t>
            </w:r>
          </w:p>
        </w:tc>
        <w:tc>
          <w:tcPr>
            <w:tcW w:w="1811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7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方案详情、子系统、关联产品和咨询入口</w:t>
            </w:r>
          </w:p>
        </w:tc>
      </w:tr>
      <w:tr w14:paraId="6EF77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4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76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新闻中心</w:t>
            </w:r>
          </w:p>
        </w:tc>
        <w:tc>
          <w:tcPr>
            <w:tcW w:w="10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7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新闻、分类及 SEO 信息</w:t>
            </w:r>
          </w:p>
        </w:tc>
        <w:tc>
          <w:tcPr>
            <w:tcW w:w="1498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7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标题、摘要、封面、正文、发布时间、SEO、发布状态</w:t>
            </w:r>
          </w:p>
        </w:tc>
        <w:tc>
          <w:tcPr>
            <w:tcW w:w="181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7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新闻分类列表、详情和电子报内容</w:t>
            </w:r>
          </w:p>
        </w:tc>
      </w:tr>
      <w:tr w14:paraId="789D0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42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9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询单管理</w:t>
            </w:r>
          </w:p>
        </w:tc>
        <w:tc>
          <w:tcPr>
            <w:tcW w:w="104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A0">
            <w:pPr>
              <w:spacing w:before="40" w:after="40" w:line="288" w:lineRule="auto"/>
              <w:rPr>
                <w:rFonts w:hint="default" w:eastAsia="等线"/>
                <w:lang w:val="en-US" w:eastAsia="zh-CN"/>
              </w:rPr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询单记录、状态与操作历史</w:t>
            </w:r>
          </w:p>
        </w:tc>
        <w:tc>
          <w:tcPr>
            <w:tcW w:w="1498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A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前台提交信息及后台处理信息</w:t>
            </w:r>
          </w:p>
        </w:tc>
        <w:tc>
          <w:tcPr>
            <w:tcW w:w="1811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A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统计、列表、详情和处理记录</w:t>
            </w:r>
          </w:p>
        </w:tc>
      </w:tr>
    </w:tbl>
    <w:p w14:paraId="5A85A1D7">
      <w:pPr>
        <w:pStyle w:val="3"/>
        <w:rPr>
          <w:rFonts w:ascii="Segoe UI" w:hAnsi="Segoe UI" w:eastAsia="微软雅黑" w:cs="Segoe UI"/>
          <w:b/>
          <w:color w:val="2E75B6"/>
          <w:sz w:val="26"/>
        </w:rPr>
      </w:pPr>
    </w:p>
    <w:p w14:paraId="001001C2">
      <w:pPr>
        <w:pStyle w:val="2"/>
        <w:pBdr>
          <w:bottom w:val="single" w:color="1F4E79" w:sz="8" w:space="6"/>
        </w:pBdr>
      </w:pPr>
      <w:bookmarkStart w:id="21" w:name="_Toc18240"/>
      <w:r>
        <w:rPr>
          <w:rFonts w:ascii="Segoe UI" w:hAnsi="Segoe UI" w:eastAsia="微软雅黑" w:cs="Segoe UI"/>
          <w:b/>
          <w:color w:val="1F4E79"/>
          <w:sz w:val="32"/>
        </w:rPr>
        <w:t>7 询单管理模块</w:t>
      </w:r>
      <w:bookmarkEnd w:id="21"/>
    </w:p>
    <w:p w14:paraId="001001C4">
      <w:pPr>
        <w:pStyle w:val="3"/>
      </w:pPr>
      <w:bookmarkStart w:id="22" w:name="_Toc28881"/>
      <w:r>
        <w:rPr>
          <w:rFonts w:ascii="Segoe UI" w:hAnsi="Segoe UI" w:eastAsia="微软雅黑" w:cs="Segoe UI"/>
          <w:b/>
          <w:color w:val="2E75B6"/>
          <w:sz w:val="26"/>
        </w:rPr>
        <w:t>7.1 模块定位与导航位置</w:t>
      </w:r>
      <w:bookmarkEnd w:id="22"/>
    </w:p>
    <w:p w14:paraId="001001C6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询单管理集中承接官网各处产生的客户业务线索，不是动态表单类型管理工具。当前方案不提供后台动态增删表单类型的能力，采用固定询单类别标识业务来源。</w:t>
      </w:r>
    </w:p>
    <w:p w14:paraId="001001C8">
      <w:pPr>
        <w:pStyle w:val="3"/>
      </w:pPr>
      <w:bookmarkStart w:id="23" w:name="_Toc27186"/>
      <w:r>
        <w:rPr>
          <w:rFonts w:ascii="Segoe UI" w:hAnsi="Segoe UI" w:eastAsia="微软雅黑" w:cs="Segoe UI"/>
          <w:b/>
          <w:color w:val="2E75B6"/>
          <w:sz w:val="26"/>
        </w:rPr>
        <w:t>7.2 前台询单来源与类别</w:t>
      </w:r>
      <w:bookmarkEnd w:id="23"/>
    </w:p>
    <w:tbl>
      <w:tblPr>
        <w:tblStyle w:val="9"/>
        <w:tblW w:w="498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666"/>
        <w:gridCol w:w="4820"/>
      </w:tblGrid>
      <w:tr w14:paraId="7AA8A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363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CA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前台入口</w:t>
            </w:r>
          </w:p>
        </w:tc>
        <w:tc>
          <w:tcPr>
            <w:tcW w:w="934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C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询单类别</w:t>
            </w:r>
          </w:p>
        </w:tc>
        <w:tc>
          <w:tcPr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C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关键业务数据</w:t>
            </w:r>
          </w:p>
        </w:tc>
      </w:tr>
      <w:tr w14:paraId="27C5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6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0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首页业务咨询</w:t>
            </w:r>
          </w:p>
        </w:tc>
        <w:tc>
          <w:tcPr>
            <w:tcW w:w="9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业务咨询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4">
            <w:pPr>
              <w:spacing w:before="40" w:after="40" w:line="288" w:lineRule="auto"/>
              <w:jc w:val="left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咨询产品领域、联系人、联系方式、咨询内容</w:t>
            </w:r>
          </w:p>
        </w:tc>
      </w:tr>
      <w:tr w14:paraId="4DC7A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63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6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产品型号详情</w:t>
            </w:r>
          </w:p>
        </w:tc>
        <w:tc>
          <w:tcPr>
            <w:tcW w:w="93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8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产品规格书申请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A">
            <w:pPr>
              <w:spacing w:before="40" w:after="40" w:line="288" w:lineRule="auto"/>
              <w:jc w:val="left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产品型号、联系人及规格书申请信息</w:t>
            </w:r>
          </w:p>
        </w:tc>
      </w:tr>
      <w:tr w14:paraId="203B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6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解决方案详情</w:t>
            </w:r>
          </w:p>
        </w:tc>
        <w:tc>
          <w:tcPr>
            <w:tcW w:w="9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解决方案咨询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0">
            <w:pPr>
              <w:spacing w:before="40" w:after="40" w:line="288" w:lineRule="auto"/>
              <w:jc w:val="left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方案、子系统、项目需求和联系方式</w:t>
            </w:r>
          </w:p>
        </w:tc>
      </w:tr>
      <w:tr w14:paraId="06E9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63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联系我们—售后服务</w:t>
            </w:r>
          </w:p>
        </w:tc>
        <w:tc>
          <w:tcPr>
            <w:tcW w:w="93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投诉建议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6">
            <w:pPr>
              <w:spacing w:before="40" w:after="40" w:line="288" w:lineRule="auto"/>
              <w:jc w:val="left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反馈类型、问题描述和联系方式</w:t>
            </w:r>
          </w:p>
        </w:tc>
      </w:tr>
      <w:tr w14:paraId="6B8B4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6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8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联系我们—供应链合作</w:t>
            </w:r>
          </w:p>
        </w:tc>
        <w:tc>
          <w:tcPr>
            <w:tcW w:w="9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A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供应链合作申请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C">
            <w:pPr>
              <w:spacing w:before="40" w:after="40" w:line="288" w:lineRule="auto"/>
              <w:jc w:val="left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主营业务、合作意向、资质说明和联系方式</w:t>
            </w:r>
          </w:p>
        </w:tc>
      </w:tr>
    </w:tbl>
    <w:p w14:paraId="7D354051">
      <w:pPr>
        <w:spacing w:after="120" w:line="360" w:lineRule="auto"/>
        <w:ind w:firstLine="420"/>
        <w:rPr>
          <w:rFonts w:ascii="Calibri" w:hAnsi="Calibri" w:eastAsia="等线" w:cs="Calibri"/>
          <w:color w:val="262626"/>
          <w:sz w:val="21"/>
        </w:rPr>
      </w:pPr>
    </w:p>
    <w:p w14:paraId="001001EE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所有类别共用询单编号、提交时间、来源页面、联系人、联系电话、公司/邮箱（如适用）、处理状态等通用信息；各类特有字段保留在询单详情中。后台列表通过类别和摘要帮助识别记录，避免把不同业务表单混为同一种字段结构。</w:t>
      </w:r>
    </w:p>
    <w:p w14:paraId="001001F0">
      <w:pPr>
        <w:pStyle w:val="3"/>
      </w:pPr>
      <w:bookmarkStart w:id="24" w:name="_Toc193"/>
      <w:r>
        <w:rPr>
          <w:rFonts w:ascii="Segoe UI" w:hAnsi="Segoe UI" w:eastAsia="微软雅黑" w:cs="Segoe UI"/>
          <w:b/>
          <w:color w:val="2E75B6"/>
          <w:sz w:val="26"/>
        </w:rPr>
        <w:t>7.3 询单统计</w:t>
      </w:r>
      <w:bookmarkEnd w:id="24"/>
    </w:p>
    <w:p w14:paraId="001001F2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统计条件包括全部时间、近 7 天、近 30 天、本季度及自定义日期，并可按询单类别和处理状态筛选。统计区呈现询单总量、待处理、处理中、已完成四项核心指标；趋势图对比当前周期和上一周期的提交量；状态分布、类别排名和“类别 × 处理状态”矩阵用于观察结构和积压。</w:t>
      </w:r>
    </w:p>
    <w:p w14:paraId="001001F4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指标卡、类别/状态统计项及矩阵单元格可下钻到询单管理列表，并传递相应日期、类别和状态条件。</w:t>
      </w:r>
    </w:p>
    <w:p w14:paraId="001001F8">
      <w:pPr>
        <w:pStyle w:val="3"/>
      </w:pPr>
      <w:bookmarkStart w:id="25" w:name="_Toc17964"/>
      <w:r>
        <w:rPr>
          <w:rFonts w:ascii="Segoe UI" w:hAnsi="Segoe UI" w:eastAsia="微软雅黑" w:cs="Segoe UI"/>
          <w:b/>
          <w:color w:val="2E75B6"/>
          <w:sz w:val="26"/>
        </w:rPr>
        <w:t>7.4 询单列表与详情处理</w:t>
      </w:r>
      <w:bookmarkEnd w:id="25"/>
    </w:p>
    <w:p w14:paraId="001001FA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询单管理 Tab 使用列表作为主视图，支持搜索、按类别/状态/日期筛选和结果导出。列表展示询单编号、类别与摘要、联系人/公司、联系电话、来源页面、提交时间和处理状态。</w:t>
      </w:r>
    </w:p>
    <w:p w14:paraId="001001FC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点击一条记录后，从右侧详情抽屉展示前台提交字段和处理信息。后台人员可以更新处理状态，填写仅内部可见的备注，并查看状态变化和备注历史。内部备注和操作历史不回传至官网。</w:t>
      </w:r>
    </w:p>
    <w:p w14:paraId="001001FE">
      <w:pPr>
        <w:pStyle w:val="3"/>
      </w:pPr>
      <w:bookmarkStart w:id="26" w:name="_Toc26388"/>
      <w:r>
        <w:rPr>
          <w:rFonts w:ascii="Segoe UI" w:hAnsi="Segoe UI" w:eastAsia="微软雅黑" w:cs="Segoe UI"/>
          <w:b/>
          <w:color w:val="2E75B6"/>
          <w:sz w:val="26"/>
        </w:rPr>
        <w:t>7.5 询单处理闭环</w:t>
      </w:r>
      <w:bookmarkEnd w:id="26"/>
    </w:p>
    <w:p w14:paraId="00100208">
      <w:pPr>
        <w:pBdr>
          <w:top w:val="single" w:color="DCE3EC" w:sz="4" w:space="4"/>
          <w:left w:val="single" w:color="2E75B6" w:sz="16" w:space="4"/>
          <w:bottom w:val="single" w:color="DCE3EC" w:sz="4" w:space="4"/>
          <w:right w:val="single" w:color="DCE3EC" w:sz="4" w:space="4"/>
        </w:pBdr>
        <w:shd w:val="clear" w:color="auto" w:fill="F2F7FC"/>
        <w:spacing w:before="120" w:after="160"/>
        <w:ind w:left="255"/>
        <w:jc w:val="center"/>
      </w:pPr>
      <w:r>
        <w:rPr>
          <w:rFonts w:ascii="Calibri" w:hAnsi="Calibri" w:eastAsia="等线" w:cs="Calibri"/>
          <w:b/>
          <w:color w:val="1F4E79"/>
          <w:sz w:val="21"/>
        </w:rPr>
        <w:t>用户提交 → 后端校验并保存 → 询单进入待处理 → 联系客户与记录备注 → 状态更新 → 完成/无效归档 → 统计复盘</w:t>
      </w:r>
    </w:p>
    <w:p w14:paraId="00100214">
      <w:pPr>
        <w:pStyle w:val="2"/>
        <w:pBdr>
          <w:bottom w:val="single" w:color="1F4E79" w:sz="8" w:space="6"/>
        </w:pBdr>
      </w:pPr>
      <w:bookmarkStart w:id="27" w:name="_Toc19352"/>
      <w:r>
        <w:rPr>
          <w:rFonts w:hint="eastAsia" w:ascii="Segoe UI" w:hAnsi="Segoe UI" w:eastAsia="微软雅黑" w:cs="Segoe UI"/>
          <w:b/>
          <w:color w:val="1F4E79"/>
          <w:sz w:val="32"/>
          <w:lang w:val="en-US" w:eastAsia="zh-CN"/>
        </w:rPr>
        <w:t>8</w:t>
      </w:r>
      <w:r>
        <w:rPr>
          <w:rFonts w:ascii="Segoe UI" w:hAnsi="Segoe UI" w:eastAsia="微软雅黑" w:cs="Segoe UI"/>
          <w:b/>
          <w:color w:val="1F4E79"/>
          <w:sz w:val="32"/>
        </w:rPr>
        <w:t xml:space="preserve"> 权限、</w:t>
      </w:r>
      <w:r>
        <w:rPr>
          <w:rFonts w:hint="eastAsia" w:ascii="Segoe UI" w:hAnsi="Segoe UI" w:eastAsia="微软雅黑" w:cs="Segoe UI"/>
          <w:b/>
          <w:color w:val="1F4E79"/>
          <w:sz w:val="32"/>
          <w:lang w:val="en-US" w:eastAsia="zh-CN"/>
        </w:rPr>
        <w:t>内容与</w:t>
      </w:r>
      <w:r>
        <w:rPr>
          <w:rFonts w:ascii="Segoe UI" w:hAnsi="Segoe UI" w:eastAsia="微软雅黑" w:cs="Segoe UI"/>
          <w:b/>
          <w:color w:val="1F4E79"/>
          <w:sz w:val="32"/>
        </w:rPr>
        <w:t>隐私建议</w:t>
      </w:r>
      <w:bookmarkEnd w:id="27"/>
    </w:p>
    <w:p w14:paraId="00100216">
      <w:pPr>
        <w:numPr>
          <w:ilvl w:val="0"/>
          <w:numId w:val="3"/>
        </w:numPr>
        <w:spacing w:after="120" w:line="360" w:lineRule="auto"/>
        <w:ind w:left="425" w:firstLine="420"/>
      </w:pPr>
      <w:r>
        <w:rPr>
          <w:rFonts w:ascii="Calibri" w:hAnsi="Calibri" w:eastAsia="等线" w:cs="Calibri"/>
          <w:color w:val="262626"/>
          <w:sz w:val="21"/>
        </w:rPr>
        <w:t>按岗位配置后台访问权限，内容编辑、审核、发布和系统管理责任尽量区分。</w:t>
      </w:r>
    </w:p>
    <w:p w14:paraId="00100218">
      <w:pPr>
        <w:numPr>
          <w:ilvl w:val="0"/>
          <w:numId w:val="3"/>
        </w:numPr>
        <w:spacing w:after="120" w:line="360" w:lineRule="auto"/>
        <w:ind w:left="425" w:firstLine="420"/>
      </w:pPr>
      <w:r>
        <w:rPr>
          <w:rFonts w:ascii="Calibri" w:hAnsi="Calibri" w:eastAsia="等线" w:cs="Calibri"/>
          <w:color w:val="262626"/>
          <w:sz w:val="21"/>
        </w:rPr>
        <w:t>产品参数和解决方案内容应由具备业务/技术责任的人员校对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并审核</w:t>
      </w:r>
      <w:r>
        <w:rPr>
          <w:rFonts w:ascii="Calibri" w:hAnsi="Calibri" w:eastAsia="等线" w:cs="Calibri"/>
          <w:color w:val="262626"/>
          <w:sz w:val="21"/>
        </w:rPr>
        <w:t>后发布。</w:t>
      </w:r>
    </w:p>
    <w:p w14:paraId="0010023C">
      <w:pPr>
        <w:numPr>
          <w:ilvl w:val="0"/>
          <w:numId w:val="3"/>
        </w:numPr>
        <w:spacing w:after="120" w:line="360" w:lineRule="auto"/>
        <w:ind w:left="425" w:firstLine="420"/>
      </w:pPr>
      <w:r>
        <w:rPr>
          <w:rFonts w:ascii="Calibri" w:hAnsi="Calibri" w:eastAsia="等线" w:cs="Calibri"/>
          <w:color w:val="262626"/>
          <w:sz w:val="21"/>
        </w:rPr>
        <w:t>个人信息、内部备注和处理历史应限制在授权后台人员范围</w:t>
      </w:r>
      <w:r>
        <w:rPr>
          <w:rFonts w:hint="eastAsia" w:ascii="Calibri" w:hAnsi="Calibri" w:eastAsia="等线" w:cs="Calibri"/>
          <w:color w:val="262626"/>
          <w:sz w:val="21"/>
          <w:lang w:eastAsia="zh-CN"/>
        </w:rPr>
        <w:t>。</w:t>
      </w:r>
    </w:p>
    <w:p w14:paraId="0010023E">
      <w:pPr>
        <w:pStyle w:val="2"/>
        <w:pBdr>
          <w:bottom w:val="single" w:color="1F4E79" w:sz="8" w:space="6"/>
        </w:pBdr>
      </w:pPr>
      <w:bookmarkStart w:id="28" w:name="_Toc14410"/>
      <w:r>
        <w:rPr>
          <w:rFonts w:hint="eastAsia" w:ascii="Segoe UI" w:hAnsi="Segoe UI" w:eastAsia="微软雅黑" w:cs="Segoe UI"/>
          <w:b/>
          <w:color w:val="1F4E79"/>
          <w:sz w:val="32"/>
          <w:lang w:val="en-US" w:eastAsia="zh-CN"/>
        </w:rPr>
        <w:t>9</w:t>
      </w:r>
      <w:r>
        <w:rPr>
          <w:rFonts w:ascii="Segoe UI" w:hAnsi="Segoe UI" w:eastAsia="微软雅黑" w:cs="Segoe UI"/>
          <w:b/>
          <w:color w:val="1F4E79"/>
          <w:sz w:val="32"/>
        </w:rPr>
        <w:t xml:space="preserve"> 结论与下一步</w:t>
      </w:r>
      <w:bookmarkEnd w:id="28"/>
    </w:p>
    <w:p w14:paraId="00100240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本官网方案以清晰的信息架构承接企业展示、产品与解决方案发现、内容传播和业务线索收集；后台内容管理为可持续运营提供基础，询单管理则补齐从访问到跟进的转化闭环。当前阶段的重点是确认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网站布局设计、</w:t>
      </w:r>
      <w:r>
        <w:rPr>
          <w:rFonts w:ascii="Calibri" w:hAnsi="Calibri" w:eastAsia="等线" w:cs="Calibri"/>
          <w:color w:val="262626"/>
          <w:sz w:val="21"/>
        </w:rPr>
        <w:t>栏目、内容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管理、权限和责任</w:t>
      </w:r>
      <w:r>
        <w:rPr>
          <w:rFonts w:ascii="Calibri" w:hAnsi="Calibri" w:eastAsia="等线" w:cs="Calibri"/>
          <w:color w:val="262626"/>
          <w:sz w:val="21"/>
        </w:rPr>
        <w:t>，再据此进入接口与正式后台实施。</w:t>
      </w:r>
    </w:p>
    <w:p w14:paraId="00100244">
      <w:pPr>
        <w:pStyle w:val="2"/>
        <w:pBdr>
          <w:bottom w:val="single" w:color="1F4E79" w:sz="8" w:space="6"/>
        </w:pBdr>
      </w:pPr>
      <w:bookmarkStart w:id="29" w:name="_Toc5032"/>
      <w:r>
        <w:rPr>
          <w:rFonts w:ascii="Segoe UI" w:hAnsi="Segoe UI" w:eastAsia="微软雅黑" w:cs="Segoe UI"/>
          <w:b/>
          <w:color w:val="1F4E79"/>
          <w:sz w:val="32"/>
        </w:rPr>
        <w:t>附录 A：高保真界面截图索引</w:t>
      </w:r>
      <w:bookmarkEnd w:id="29"/>
    </w:p>
    <w:p w14:paraId="00100246">
      <w:pPr>
        <w:pBdr>
          <w:left w:val="single" w:color="2E75B6" w:sz="18" w:space="4"/>
        </w:pBdr>
        <w:shd w:val="clear" w:color="auto" w:fill="EEF3FA"/>
        <w:spacing w:before="160" w:after="120" w:line="360" w:lineRule="auto"/>
        <w:ind w:left="255" w:right="113" w:firstLine="420"/>
      </w:pPr>
      <w:r>
        <w:rPr>
          <w:rFonts w:ascii="Calibri" w:hAnsi="Calibri" w:eastAsia="等线" w:cs="Calibri"/>
          <w:color w:val="262626"/>
          <w:sz w:val="21"/>
        </w:rPr>
        <w:t>以下截图来自本次产品说明文档材料目录，作为页面方案与管理端操作设计的视觉依据。图号按插入顺序编号，Word 目录/页码可在打开文档后更新。</w:t>
      </w:r>
    </w:p>
    <w:p w14:paraId="0010024A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60015"/>
            <wp:effectExtent l="0" t="0" r="0" b="0"/>
            <wp:docPr id="1" name="官网首页首屏" descr="官网首页首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官网首页首屏" descr="官网首页首屏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0573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4C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  官网首页首屏：呈现品牌主张与核心导航入口。</w:t>
      </w:r>
    </w:p>
    <w:p w14:paraId="0010024E">
      <w:pPr>
        <w:pStyle w:val="3"/>
      </w:pPr>
      <w:bookmarkStart w:id="30" w:name="_Toc3230"/>
      <w:r>
        <w:rPr>
          <w:rFonts w:ascii="Segoe UI" w:hAnsi="Segoe UI" w:eastAsia="微软雅黑" w:cs="Segoe UI"/>
          <w:b/>
          <w:color w:val="2E75B6"/>
          <w:sz w:val="26"/>
        </w:rPr>
        <w:t>A.1 首页：品牌导览与业务入口</w:t>
      </w:r>
      <w:bookmarkEnd w:id="30"/>
    </w:p>
    <w:p w14:paraId="00100250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228215"/>
            <wp:effectExtent l="0" t="0" r="0" b="0"/>
            <wp:docPr id="2" name="首页-产品领域" descr="首页-产品领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首页-产品领域" descr="首页-产品领域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8339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52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A-2  首页-产品领域</w:t>
      </w:r>
    </w:p>
    <w:p w14:paraId="00100254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22550"/>
            <wp:effectExtent l="0" t="0" r="0" b="0"/>
            <wp:docPr id="3" name="首页-能力介绍" descr="首页-能力介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首页-能力介绍" descr="首页-能力介绍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22606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56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A-3  首页-能力介绍</w:t>
      </w:r>
    </w:p>
    <w:p w14:paraId="00100258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51760"/>
            <wp:effectExtent l="0" t="0" r="0" b="0"/>
            <wp:docPr id="4" name="首页-业务咨询" descr="首页-业务咨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首页-业务咨询" descr="首页-业务咨询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1811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5A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A-4  首页-业务咨询</w:t>
      </w:r>
    </w:p>
    <w:p w14:paraId="0010025C">
      <w:pPr>
        <w:pStyle w:val="3"/>
      </w:pPr>
      <w:bookmarkStart w:id="31" w:name="_Toc29243"/>
      <w:r>
        <w:rPr>
          <w:rFonts w:ascii="Segoe UI" w:hAnsi="Segoe UI" w:eastAsia="微软雅黑" w:cs="Segoe UI"/>
          <w:b/>
          <w:color w:val="2E75B6"/>
          <w:sz w:val="26"/>
        </w:rPr>
        <w:t>A.2 解决方案：场景说明与咨询转化</w:t>
      </w:r>
      <w:bookmarkEnd w:id="31"/>
    </w:p>
    <w:p w14:paraId="0010025E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54300"/>
            <wp:effectExtent l="0" t="0" r="0" b="0"/>
            <wp:docPr id="5" name="解决方案-气象雷达-天馈子系统-第一屏" descr="解决方案-气象雷达-天馈子系统-第一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解决方案-气象雷达-天馈子系统-第一屏" descr="解决方案-气象雷达-天馈子系统-第一屏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4732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60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A-5  解决方案-气象雷达-天馈子系统-第一屏</w:t>
      </w:r>
    </w:p>
    <w:p w14:paraId="00100262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39060"/>
            <wp:effectExtent l="0" t="0" r="0" b="0"/>
            <wp:docPr id="6" name="解决方案-气象雷达-天馈子系统-获取解决方案咨询" descr="解决方案-气象雷达-天馈子系统-获取解决方案咨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解决方案-气象雷达-天馈子系统-获取解决方案咨询" descr="解决方案-气象雷达-天馈子系统-获取解决方案咨询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9163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64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A-6  解决方案-气象雷达-天馈子系统-获取解决方案咨询</w:t>
      </w:r>
    </w:p>
    <w:p w14:paraId="00100266">
      <w:pPr>
        <w:pStyle w:val="3"/>
      </w:pPr>
      <w:bookmarkStart w:id="32" w:name="_Toc15066"/>
      <w:r>
        <w:rPr>
          <w:rFonts w:ascii="Segoe UI" w:hAnsi="Segoe UI" w:eastAsia="微软雅黑" w:cs="Segoe UI"/>
          <w:b/>
          <w:color w:val="2E75B6"/>
          <w:sz w:val="26"/>
        </w:rPr>
        <w:t>A.3 产品中心：目录、型号与资料申请</w:t>
      </w:r>
      <w:bookmarkEnd w:id="32"/>
    </w:p>
    <w:p w14:paraId="00100268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51760"/>
            <wp:effectExtent l="0" t="0" r="0" b="0"/>
            <wp:docPr id="7" name="产品中心-一级产品类别列表" descr="产品中心-一级产品类别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产品中心-一级产品类别列表" descr="产品中心-一级产品类别列表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1811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6A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A-7  产品中心-一级产品类别列表</w:t>
      </w:r>
    </w:p>
    <w:p w14:paraId="0010026C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51760"/>
            <wp:effectExtent l="0" t="0" r="0" b="0"/>
            <wp:docPr id="8" name="产品中心-四级产品类别下的所有产品型号列表" descr="产品中心-四级产品类别下的所有产品型号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产品中心-四级产品类别下的所有产品型号列表" descr="产品中心-四级产品类别下的所有产品型号列表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1811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6E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A-8  产品中心-四级产品类别下的所有产品型号列表</w:t>
      </w:r>
    </w:p>
    <w:p w14:paraId="00100270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39060"/>
            <wp:effectExtent l="0" t="0" r="0" b="0"/>
            <wp:docPr id="9" name="产品中心-四级产品类别中获取某一特定产品型号的规格书询单弹窗" descr="产品中心-四级产品类别中获取某一特定产品型号的规格书询单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产品中心-四级产品类别中获取某一特定产品型号的规格书询单弹窗" descr="产品中心-四级产品类别中获取某一特定产品型号的规格书询单弹窗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9163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72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A-9  产品中心-四级产品类别中获取某一特定产品型号的规格书询单弹窗</w:t>
      </w:r>
    </w:p>
    <w:p w14:paraId="00100274">
      <w:pPr>
        <w:pStyle w:val="3"/>
      </w:pPr>
      <w:bookmarkStart w:id="33" w:name="_Toc29642"/>
      <w:r>
        <w:rPr>
          <w:rFonts w:ascii="Segoe UI" w:hAnsi="Segoe UI" w:eastAsia="微软雅黑" w:cs="Segoe UI"/>
          <w:b/>
          <w:color w:val="2E75B6"/>
          <w:sz w:val="26"/>
        </w:rPr>
        <w:t>A.4 新闻中心：前台展示与内容维护</w:t>
      </w:r>
      <w:bookmarkEnd w:id="33"/>
    </w:p>
    <w:p w14:paraId="00100276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48585"/>
            <wp:effectExtent l="0" t="0" r="0" b="0"/>
            <wp:docPr id="10" name="新闻中心-公司新闻" descr="新闻中心-公司新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新闻中心-公司新闻" descr="新闻中心-公司新闻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8891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78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A-10  新闻中心-公司新闻</w:t>
      </w:r>
    </w:p>
    <w:p w14:paraId="0010027A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34615"/>
            <wp:effectExtent l="0" t="0" r="0" b="0"/>
            <wp:docPr id="11" name="后台管理端-新闻中心管理-新闻内容列表" descr="后台管理端-新闻中心管理-新闻内容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后台管理端-新闻中心管理-新闻内容列表" descr="后台管理端-新闻中心管理-新闻内容列表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4712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7C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A-11  后台管理端-新闻中心管理-新闻内容列表</w:t>
      </w:r>
    </w:p>
    <w:p w14:paraId="0010027E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3965575"/>
            <wp:effectExtent l="0" t="0" r="0" b="0"/>
            <wp:docPr id="12" name="后台管理端-新闻中心管理-新闻内容编辑-基本信息" descr="后台管理端-新闻中心管理-新闻内容编辑-基本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后台管理端-新闻中心管理-新闻内容编辑-基本信息" descr="后台管理端-新闻中心管理-新闻内容编辑-基本信息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5987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80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A-12  后台管理端-新闻中心管理-新闻内容编辑-基本信息</w:t>
      </w:r>
    </w:p>
    <w:p w14:paraId="0010028C">
      <w:pPr>
        <w:pStyle w:val="3"/>
      </w:pPr>
      <w:bookmarkStart w:id="34" w:name="_Toc21248"/>
      <w:r>
        <w:rPr>
          <w:rFonts w:ascii="Segoe UI" w:hAnsi="Segoe UI" w:eastAsia="微软雅黑" w:cs="Segoe UI"/>
          <w:b/>
          <w:color w:val="2E75B6"/>
          <w:sz w:val="26"/>
        </w:rPr>
        <w:t>A.</w:t>
      </w:r>
      <w:r>
        <w:rPr>
          <w:rFonts w:hint="eastAsia" w:cs="Segoe UI"/>
          <w:b/>
          <w:color w:val="2E75B6"/>
          <w:sz w:val="26"/>
          <w:lang w:val="en-US" w:eastAsia="zh-CN"/>
        </w:rPr>
        <w:t>5</w:t>
      </w:r>
      <w:r>
        <w:rPr>
          <w:rFonts w:ascii="Segoe UI" w:hAnsi="Segoe UI" w:eastAsia="微软雅黑" w:cs="Segoe UI"/>
          <w:b/>
          <w:color w:val="2E75B6"/>
          <w:sz w:val="26"/>
        </w:rPr>
        <w:t xml:space="preserve"> 联系我们：销售、售后与供应链</w:t>
      </w:r>
      <w:bookmarkEnd w:id="34"/>
    </w:p>
    <w:p w14:paraId="0010028E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51760"/>
            <wp:effectExtent l="0" t="0" r="0" b="0"/>
            <wp:docPr id="15" name="联系我们-销售网络" descr="联系我们-销售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联系我们-销售网络" descr="联系我们-销售网络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1811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90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</w:t>
      </w:r>
      <w:r>
        <w:rPr>
          <w:rFonts w:hint="eastAsia" w:cs="Calibri"/>
          <w:color w:val="808080"/>
          <w:sz w:val="18"/>
          <w:lang w:val="en-US" w:eastAsia="zh-CN"/>
        </w:rPr>
        <w:t>3</w:t>
      </w:r>
      <w:r>
        <w:rPr>
          <w:rFonts w:ascii="Calibri" w:hAnsi="Calibri" w:eastAsia="等线" w:cs="Calibri"/>
          <w:color w:val="808080"/>
          <w:sz w:val="18"/>
        </w:rPr>
        <w:t xml:space="preserve">  联系我们-销售网络</w:t>
      </w:r>
    </w:p>
    <w:p w14:paraId="00100292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60015"/>
            <wp:effectExtent l="0" t="0" r="0" b="0"/>
            <wp:docPr id="16" name="联系我们-售后服务" descr="联系我们-售后服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联系我们-售后服务" descr="联系我们-售后服务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0573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94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</w:t>
      </w:r>
      <w:r>
        <w:rPr>
          <w:rFonts w:hint="eastAsia" w:cs="Calibri"/>
          <w:color w:val="808080"/>
          <w:sz w:val="18"/>
          <w:lang w:val="en-US" w:eastAsia="zh-CN"/>
        </w:rPr>
        <w:t>4</w:t>
      </w:r>
      <w:r>
        <w:rPr>
          <w:rFonts w:ascii="Calibri" w:hAnsi="Calibri" w:eastAsia="等线" w:cs="Calibri"/>
          <w:color w:val="808080"/>
          <w:sz w:val="18"/>
        </w:rPr>
        <w:t xml:space="preserve">  联系我们-售后服务</w:t>
      </w:r>
    </w:p>
    <w:p w14:paraId="00100296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403475"/>
            <wp:effectExtent l="0" t="0" r="0" b="0"/>
            <wp:docPr id="17" name="联系我们-供应链合作" descr="联系我们-供应链合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联系我们-供应链合作" descr="联系我们-供应链合作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3569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98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</w:t>
      </w:r>
      <w:r>
        <w:rPr>
          <w:rFonts w:hint="eastAsia" w:cs="Calibri"/>
          <w:color w:val="808080"/>
          <w:sz w:val="18"/>
          <w:lang w:val="en-US" w:eastAsia="zh-CN"/>
        </w:rPr>
        <w:t>5</w:t>
      </w:r>
      <w:r>
        <w:rPr>
          <w:rFonts w:ascii="Calibri" w:hAnsi="Calibri" w:eastAsia="等线" w:cs="Calibri"/>
          <w:color w:val="808080"/>
          <w:sz w:val="18"/>
        </w:rPr>
        <w:t xml:space="preserve">  联系我们-供应链合作</w:t>
      </w:r>
    </w:p>
    <w:p w14:paraId="0010029A">
      <w:pPr>
        <w:pStyle w:val="3"/>
      </w:pPr>
      <w:bookmarkStart w:id="35" w:name="_Toc4091"/>
      <w:r>
        <w:rPr>
          <w:rFonts w:ascii="Segoe UI" w:hAnsi="Segoe UI" w:eastAsia="微软雅黑" w:cs="Segoe UI"/>
          <w:b/>
          <w:color w:val="2E75B6"/>
          <w:sz w:val="26"/>
        </w:rPr>
        <w:t>A.</w:t>
      </w:r>
      <w:r>
        <w:rPr>
          <w:rFonts w:hint="eastAsia" w:cs="Segoe UI"/>
          <w:b/>
          <w:color w:val="2E75B6"/>
          <w:sz w:val="26"/>
          <w:lang w:val="en-US" w:eastAsia="zh-CN"/>
        </w:rPr>
        <w:t>6</w:t>
      </w:r>
      <w:r>
        <w:rPr>
          <w:rFonts w:ascii="Segoe UI" w:hAnsi="Segoe UI" w:eastAsia="微软雅黑" w:cs="Segoe UI"/>
          <w:b/>
          <w:color w:val="2E75B6"/>
          <w:sz w:val="26"/>
        </w:rPr>
        <w:t xml:space="preserve"> 后台内容管理：产品与解决方案</w:t>
      </w:r>
      <w:bookmarkEnd w:id="35"/>
    </w:p>
    <w:p w14:paraId="0010029C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6746875"/>
            <wp:effectExtent l="0" t="0" r="0" b="0"/>
            <wp:docPr id="18" name="后台管理端-产品中心-产品列表" descr="后台管理端-产品中心-产品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后台管理端-产品中心-产品列表" descr="后台管理端-产品中心-产品列表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47103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9E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</w:t>
      </w:r>
      <w:r>
        <w:rPr>
          <w:rFonts w:hint="eastAsia" w:cs="Calibri"/>
          <w:color w:val="808080"/>
          <w:sz w:val="18"/>
          <w:lang w:val="en-US" w:eastAsia="zh-CN"/>
        </w:rPr>
        <w:t>6</w:t>
      </w:r>
      <w:r>
        <w:rPr>
          <w:rFonts w:ascii="Calibri" w:hAnsi="Calibri" w:eastAsia="等线" w:cs="Calibri"/>
          <w:color w:val="808080"/>
          <w:sz w:val="18"/>
        </w:rPr>
        <w:t xml:space="preserve">  后台管理端-产品中心-产品列表</w:t>
      </w:r>
    </w:p>
    <w:p w14:paraId="001002A0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46045"/>
            <wp:effectExtent l="0" t="0" r="0" b="0"/>
            <wp:docPr id="19" name="后台管理端-解决方案管理-解决方案列表" descr="后台管理端-解决方案管理-解决方案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后台管理端-解决方案管理-解决方案列表" descr="后台管理端-解决方案管理-解决方案列表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6261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A2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</w:t>
      </w:r>
      <w:r>
        <w:rPr>
          <w:rFonts w:hint="eastAsia" w:cs="Calibri"/>
          <w:color w:val="808080"/>
          <w:sz w:val="18"/>
          <w:lang w:val="en-US" w:eastAsia="zh-CN"/>
        </w:rPr>
        <w:t>7</w:t>
      </w:r>
      <w:r>
        <w:rPr>
          <w:rFonts w:ascii="Calibri" w:hAnsi="Calibri" w:eastAsia="等线" w:cs="Calibri"/>
          <w:color w:val="808080"/>
          <w:sz w:val="18"/>
        </w:rPr>
        <w:t xml:space="preserve">  后台管理端-解决方案管理-解决方案列表</w:t>
      </w:r>
    </w:p>
    <w:p w14:paraId="001002A4">
      <w:pPr>
        <w:pStyle w:val="3"/>
        <w:rPr>
          <w:rFonts w:hint="eastAsia" w:eastAsia="微软雅黑"/>
          <w:lang w:eastAsia="zh-CN"/>
        </w:rPr>
      </w:pPr>
      <w:bookmarkStart w:id="36" w:name="_Toc7974"/>
      <w:r>
        <w:rPr>
          <w:rFonts w:ascii="Segoe UI" w:hAnsi="Segoe UI" w:eastAsia="微软雅黑" w:cs="Segoe UI"/>
          <w:b/>
          <w:color w:val="2E75B6"/>
          <w:sz w:val="26"/>
        </w:rPr>
        <w:t>A.</w:t>
      </w:r>
      <w:r>
        <w:rPr>
          <w:rFonts w:hint="eastAsia" w:cs="Segoe UI"/>
          <w:b/>
          <w:color w:val="2E75B6"/>
          <w:sz w:val="26"/>
          <w:lang w:val="en-US" w:eastAsia="zh-CN"/>
        </w:rPr>
        <w:t>7</w:t>
      </w:r>
      <w:r>
        <w:rPr>
          <w:rFonts w:ascii="Segoe UI" w:hAnsi="Segoe UI" w:eastAsia="微软雅黑" w:cs="Segoe UI"/>
          <w:b/>
          <w:color w:val="2E75B6"/>
          <w:sz w:val="26"/>
        </w:rPr>
        <w:t xml:space="preserve"> 询单管理：统计、列表与处理详情</w:t>
      </w:r>
      <w:bookmarkEnd w:id="36"/>
    </w:p>
    <w:p w14:paraId="001002A6">
      <w:pPr>
        <w:spacing w:before="160" w:after="80" w:line="240" w:lineRule="auto"/>
        <w:jc w:val="center"/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681345" cy="4873625"/>
            <wp:effectExtent l="0" t="0" r="14605" b="3175"/>
            <wp:docPr id="23" name="图片 23" descr="HD生态链-后台管理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HD生态链-后台管理系统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A8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</w:t>
      </w:r>
      <w:r>
        <w:rPr>
          <w:rFonts w:hint="eastAsia" w:cs="Calibri"/>
          <w:color w:val="808080"/>
          <w:sz w:val="18"/>
          <w:lang w:val="en-US" w:eastAsia="zh-CN"/>
        </w:rPr>
        <w:t>18</w:t>
      </w:r>
      <w:r>
        <w:rPr>
          <w:rFonts w:ascii="Calibri" w:hAnsi="Calibri" w:eastAsia="等线" w:cs="Calibri"/>
          <w:color w:val="808080"/>
          <w:sz w:val="18"/>
        </w:rPr>
        <w:t xml:space="preserve">  后台管理端-询单管理-询单统计</w:t>
      </w:r>
    </w:p>
    <w:p w14:paraId="001002AA">
      <w:pPr>
        <w:spacing w:before="160" w:after="80" w:line="240" w:lineRule="auto"/>
        <w:jc w:val="center"/>
        <w:rPr>
          <w:rFonts w:hint="eastAsia" w:eastAsia="等线"/>
          <w:lang w:eastAsia="zh-CN"/>
        </w:rPr>
      </w:pPr>
      <w:r>
        <w:t xml:space="preserve"> </w:t>
      </w:r>
      <w:r>
        <w:rPr>
          <w:rFonts w:hint="eastAsia" w:eastAsia="等线"/>
          <w:lang w:eastAsia="zh-CN"/>
        </w:rPr>
        <w:drawing>
          <wp:inline distT="0" distB="0" distL="114300" distR="114300">
            <wp:extent cx="5681345" cy="2947670"/>
            <wp:effectExtent l="0" t="0" r="14605" b="5080"/>
            <wp:docPr id="24" name="图片 24" descr="HD生态链-后台管理系统-09-21-2026_11_52_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HD生态链-后台管理系统-09-21-2026_11_52_A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D15C">
      <w:pPr>
        <w:pStyle w:val="11"/>
        <w:spacing w:before="40" w:after="240"/>
        <w:jc w:val="center"/>
        <w:rPr>
          <w:rFonts w:hint="eastAsia" w:eastAsia="等线"/>
          <w:lang w:eastAsia="zh-CN"/>
        </w:rPr>
      </w:pPr>
      <w:r>
        <w:rPr>
          <w:rFonts w:ascii="Calibri" w:hAnsi="Calibri" w:eastAsia="等线" w:cs="Calibri"/>
          <w:color w:val="808080"/>
          <w:sz w:val="18"/>
        </w:rPr>
        <w:t>图 A-</w:t>
      </w:r>
      <w:r>
        <w:rPr>
          <w:rFonts w:hint="eastAsia" w:cs="Calibri"/>
          <w:color w:val="808080"/>
          <w:sz w:val="18"/>
          <w:lang w:val="en-US" w:eastAsia="zh-CN"/>
        </w:rPr>
        <w:t>19</w:t>
      </w:r>
      <w:r>
        <w:rPr>
          <w:rFonts w:ascii="Calibri" w:hAnsi="Calibri" w:eastAsia="等线" w:cs="Calibri"/>
          <w:color w:val="808080"/>
          <w:sz w:val="18"/>
        </w:rPr>
        <w:t xml:space="preserve">  后台管理端-询单管理-询单管理列表</w:t>
      </w:r>
    </w:p>
    <w:p w14:paraId="7F8BFFCF">
      <w:pPr>
        <w:spacing w:before="160" w:after="80" w:line="240" w:lineRule="auto"/>
        <w:jc w:val="center"/>
        <w:rPr>
          <w:rFonts w:hint="eastAsia" w:eastAsia="等线"/>
          <w:lang w:eastAsia="zh-CN"/>
        </w:rPr>
      </w:pPr>
    </w:p>
    <w:p w14:paraId="001002AE">
      <w:pPr>
        <w:spacing w:before="160" w:after="80" w:line="240" w:lineRule="auto"/>
        <w:jc w:val="center"/>
        <w:rPr>
          <w:rFonts w:hint="eastAsia" w:eastAsia="等线"/>
          <w:lang w:val="en-US"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681345" cy="2947670"/>
            <wp:effectExtent l="0" t="0" r="14605" b="5080"/>
            <wp:docPr id="25" name="图片 25" descr="HD生态链-后台管理系统-09-21-2026_11_53_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HD生态链-后台管理系统-09-21-2026_11_53_A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B0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</w:t>
      </w:r>
      <w:r>
        <w:rPr>
          <w:rFonts w:hint="eastAsia" w:cs="Calibri"/>
          <w:color w:val="808080"/>
          <w:sz w:val="18"/>
          <w:lang w:val="en-US" w:eastAsia="zh-CN"/>
        </w:rPr>
        <w:t>20</w:t>
      </w:r>
      <w:r>
        <w:rPr>
          <w:rFonts w:ascii="Calibri" w:hAnsi="Calibri" w:eastAsia="等线" w:cs="Calibri"/>
          <w:color w:val="808080"/>
          <w:sz w:val="18"/>
        </w:rPr>
        <w:t xml:space="preserve">  后台管理端-询单管理-询单详情和处理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17" w:right="1474" w:bottom="1247" w:left="1474" w:header="680" w:footer="680" w:gutter="0"/>
      <w:cols w:space="720" w:num="1"/>
      <w:titlePg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00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Calibri" w:eastAsia="等线"/>
        <w:color w:val="808080"/>
        <w:sz w:val="17"/>
      </w:rPr>
      <w:t>1</w:t>
    </w:r>
    <w:r>
      <w:rPr>
        <w:rFonts w:ascii="Calibri" w:eastAsia="等线"/>
        <w:color w:val="808080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00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9BF63">
    <w:pPr>
      <w:pBdr>
        <w:bottom w:val="single" w:color="BFBFBF" w:sz="4" w:space="2"/>
      </w:pBdr>
      <w:jc w:val="right"/>
    </w:pPr>
    <w:r>
      <w:rPr>
        <w:rFonts w:ascii="Calibri" w:hAnsi="Calibri" w:eastAsia="等线"/>
        <w:color w:val="808080"/>
        <w:sz w:val="17"/>
      </w:rPr>
      <w:t>恒达微波官方网站产品说明书 · 高保真演示版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CCE3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FA201B"/>
    <w:rsid w:val="010A29DC"/>
    <w:rsid w:val="01413E5F"/>
    <w:rsid w:val="016814B1"/>
    <w:rsid w:val="01CA3F1A"/>
    <w:rsid w:val="027520D7"/>
    <w:rsid w:val="02917FC5"/>
    <w:rsid w:val="02BC3986"/>
    <w:rsid w:val="02C848FD"/>
    <w:rsid w:val="036B5288"/>
    <w:rsid w:val="037C1244"/>
    <w:rsid w:val="045A09FE"/>
    <w:rsid w:val="05044B12"/>
    <w:rsid w:val="05A43768"/>
    <w:rsid w:val="060E6ACB"/>
    <w:rsid w:val="067F52D3"/>
    <w:rsid w:val="06BD160A"/>
    <w:rsid w:val="078E2CF2"/>
    <w:rsid w:val="07BC60B3"/>
    <w:rsid w:val="07CF228A"/>
    <w:rsid w:val="08E43B13"/>
    <w:rsid w:val="0911242E"/>
    <w:rsid w:val="091F2D9D"/>
    <w:rsid w:val="09683BE0"/>
    <w:rsid w:val="098F1FEE"/>
    <w:rsid w:val="0A0213CF"/>
    <w:rsid w:val="0A3E68F6"/>
    <w:rsid w:val="0A404DE6"/>
    <w:rsid w:val="0D696CBB"/>
    <w:rsid w:val="0ECA14D0"/>
    <w:rsid w:val="0F592566"/>
    <w:rsid w:val="0FCD5301"/>
    <w:rsid w:val="10401F77"/>
    <w:rsid w:val="1074577C"/>
    <w:rsid w:val="109602E0"/>
    <w:rsid w:val="109C4CD3"/>
    <w:rsid w:val="11292A0B"/>
    <w:rsid w:val="11295CD8"/>
    <w:rsid w:val="119F3307"/>
    <w:rsid w:val="12260CF8"/>
    <w:rsid w:val="12D41F90"/>
    <w:rsid w:val="12ED15CB"/>
    <w:rsid w:val="13C94031"/>
    <w:rsid w:val="13DF5603"/>
    <w:rsid w:val="143209B9"/>
    <w:rsid w:val="14F43330"/>
    <w:rsid w:val="150115A9"/>
    <w:rsid w:val="15267261"/>
    <w:rsid w:val="15A72150"/>
    <w:rsid w:val="15C26F8A"/>
    <w:rsid w:val="161D2412"/>
    <w:rsid w:val="16327640"/>
    <w:rsid w:val="178564C1"/>
    <w:rsid w:val="178F5592"/>
    <w:rsid w:val="18EE0096"/>
    <w:rsid w:val="194B7296"/>
    <w:rsid w:val="1B012302"/>
    <w:rsid w:val="1B5E1503"/>
    <w:rsid w:val="1B650AE3"/>
    <w:rsid w:val="1B742AD4"/>
    <w:rsid w:val="1B9158F5"/>
    <w:rsid w:val="1BD17F27"/>
    <w:rsid w:val="1C4A5F2B"/>
    <w:rsid w:val="1CBF2475"/>
    <w:rsid w:val="1D6E79F7"/>
    <w:rsid w:val="1DF148B0"/>
    <w:rsid w:val="1E652BA8"/>
    <w:rsid w:val="1E8A0861"/>
    <w:rsid w:val="1E8F1635"/>
    <w:rsid w:val="1EBA2EF4"/>
    <w:rsid w:val="1EC636B4"/>
    <w:rsid w:val="201E5705"/>
    <w:rsid w:val="202F7912"/>
    <w:rsid w:val="20713A86"/>
    <w:rsid w:val="20BF7883"/>
    <w:rsid w:val="21C83B7A"/>
    <w:rsid w:val="22D02460"/>
    <w:rsid w:val="22E54E3C"/>
    <w:rsid w:val="23733FB9"/>
    <w:rsid w:val="23824BB2"/>
    <w:rsid w:val="247A404C"/>
    <w:rsid w:val="249E5066"/>
    <w:rsid w:val="25FA5A90"/>
    <w:rsid w:val="26086C3B"/>
    <w:rsid w:val="26121868"/>
    <w:rsid w:val="26D00413"/>
    <w:rsid w:val="26E01966"/>
    <w:rsid w:val="278703E2"/>
    <w:rsid w:val="2801136F"/>
    <w:rsid w:val="28EB63A0"/>
    <w:rsid w:val="294070BC"/>
    <w:rsid w:val="29787C34"/>
    <w:rsid w:val="29FA689B"/>
    <w:rsid w:val="2A391AB9"/>
    <w:rsid w:val="2A6E1037"/>
    <w:rsid w:val="2A726D79"/>
    <w:rsid w:val="2BF11E95"/>
    <w:rsid w:val="2CAB47C4"/>
    <w:rsid w:val="2E6C1D31"/>
    <w:rsid w:val="2EE63891"/>
    <w:rsid w:val="2F6746C3"/>
    <w:rsid w:val="2F7013AD"/>
    <w:rsid w:val="2FD57720"/>
    <w:rsid w:val="305E51CA"/>
    <w:rsid w:val="309A3FE2"/>
    <w:rsid w:val="30B023A9"/>
    <w:rsid w:val="30F229C1"/>
    <w:rsid w:val="312B1A2F"/>
    <w:rsid w:val="313905F0"/>
    <w:rsid w:val="315F16D9"/>
    <w:rsid w:val="31AA4348"/>
    <w:rsid w:val="31C854D0"/>
    <w:rsid w:val="31CF69DC"/>
    <w:rsid w:val="3298755C"/>
    <w:rsid w:val="33224F6A"/>
    <w:rsid w:val="33323549"/>
    <w:rsid w:val="34453D9F"/>
    <w:rsid w:val="346C65E7"/>
    <w:rsid w:val="34847DD4"/>
    <w:rsid w:val="348A1163"/>
    <w:rsid w:val="34C5046A"/>
    <w:rsid w:val="353C245D"/>
    <w:rsid w:val="356814A4"/>
    <w:rsid w:val="358838F4"/>
    <w:rsid w:val="35F1149A"/>
    <w:rsid w:val="36323860"/>
    <w:rsid w:val="39B12CEE"/>
    <w:rsid w:val="3A173CF6"/>
    <w:rsid w:val="3A6C702C"/>
    <w:rsid w:val="3BA1126C"/>
    <w:rsid w:val="3CEF368A"/>
    <w:rsid w:val="3D7A4C64"/>
    <w:rsid w:val="3DC15BF5"/>
    <w:rsid w:val="3E4D1237"/>
    <w:rsid w:val="3EA846BF"/>
    <w:rsid w:val="3F400D9C"/>
    <w:rsid w:val="3FA0645E"/>
    <w:rsid w:val="40316936"/>
    <w:rsid w:val="40827192"/>
    <w:rsid w:val="425D3A13"/>
    <w:rsid w:val="43566DE0"/>
    <w:rsid w:val="43C33D49"/>
    <w:rsid w:val="44634A97"/>
    <w:rsid w:val="44A1408B"/>
    <w:rsid w:val="44C73578"/>
    <w:rsid w:val="45575091"/>
    <w:rsid w:val="45AD2F03"/>
    <w:rsid w:val="45BE2A1A"/>
    <w:rsid w:val="45D4223E"/>
    <w:rsid w:val="460A5C60"/>
    <w:rsid w:val="463B2A6B"/>
    <w:rsid w:val="46AE2A8F"/>
    <w:rsid w:val="46E11293"/>
    <w:rsid w:val="47240FA3"/>
    <w:rsid w:val="47460F19"/>
    <w:rsid w:val="47A32315"/>
    <w:rsid w:val="4AE66C9B"/>
    <w:rsid w:val="4B1D6435"/>
    <w:rsid w:val="4B226A3A"/>
    <w:rsid w:val="4B475260"/>
    <w:rsid w:val="4B5F25AA"/>
    <w:rsid w:val="4B78366B"/>
    <w:rsid w:val="4B7B1575"/>
    <w:rsid w:val="4D8D78A2"/>
    <w:rsid w:val="4DE72335"/>
    <w:rsid w:val="4EFC5641"/>
    <w:rsid w:val="4F415033"/>
    <w:rsid w:val="4FF97471"/>
    <w:rsid w:val="509C1BAA"/>
    <w:rsid w:val="50CD6207"/>
    <w:rsid w:val="510D4856"/>
    <w:rsid w:val="52140592"/>
    <w:rsid w:val="53057EDB"/>
    <w:rsid w:val="531225F7"/>
    <w:rsid w:val="53535297"/>
    <w:rsid w:val="53672943"/>
    <w:rsid w:val="54F46459"/>
    <w:rsid w:val="5503308C"/>
    <w:rsid w:val="555B2034"/>
    <w:rsid w:val="55AE4859"/>
    <w:rsid w:val="55BA31FE"/>
    <w:rsid w:val="55DA73FC"/>
    <w:rsid w:val="55F949A8"/>
    <w:rsid w:val="56BF4844"/>
    <w:rsid w:val="56C836F9"/>
    <w:rsid w:val="571B5F1F"/>
    <w:rsid w:val="57EE53E1"/>
    <w:rsid w:val="5822724B"/>
    <w:rsid w:val="58254CB4"/>
    <w:rsid w:val="595A734A"/>
    <w:rsid w:val="59D36D55"/>
    <w:rsid w:val="5AC8016B"/>
    <w:rsid w:val="5AD07020"/>
    <w:rsid w:val="5BAB5397"/>
    <w:rsid w:val="5C0351D3"/>
    <w:rsid w:val="5C3A6E47"/>
    <w:rsid w:val="5C62639E"/>
    <w:rsid w:val="5C642116"/>
    <w:rsid w:val="5C8C341B"/>
    <w:rsid w:val="5CF54B1C"/>
    <w:rsid w:val="5D717D1A"/>
    <w:rsid w:val="5D8440F2"/>
    <w:rsid w:val="5EA92062"/>
    <w:rsid w:val="5F13397F"/>
    <w:rsid w:val="606326E4"/>
    <w:rsid w:val="60E76E71"/>
    <w:rsid w:val="611063C8"/>
    <w:rsid w:val="61774699"/>
    <w:rsid w:val="61774B9A"/>
    <w:rsid w:val="61930DA7"/>
    <w:rsid w:val="621D245F"/>
    <w:rsid w:val="63771F1D"/>
    <w:rsid w:val="63AE1EC8"/>
    <w:rsid w:val="63F518A5"/>
    <w:rsid w:val="645A795A"/>
    <w:rsid w:val="64BF6C21"/>
    <w:rsid w:val="64C5571C"/>
    <w:rsid w:val="65167D25"/>
    <w:rsid w:val="655B1BDC"/>
    <w:rsid w:val="65605444"/>
    <w:rsid w:val="6588445C"/>
    <w:rsid w:val="65962C14"/>
    <w:rsid w:val="65B85280"/>
    <w:rsid w:val="668016D1"/>
    <w:rsid w:val="66A82BFF"/>
    <w:rsid w:val="66ED4AB6"/>
    <w:rsid w:val="67065B78"/>
    <w:rsid w:val="67593538"/>
    <w:rsid w:val="68D45F2D"/>
    <w:rsid w:val="68F22857"/>
    <w:rsid w:val="692D388F"/>
    <w:rsid w:val="693370F8"/>
    <w:rsid w:val="693966D8"/>
    <w:rsid w:val="69A55B1C"/>
    <w:rsid w:val="6A220F1A"/>
    <w:rsid w:val="6A3C6480"/>
    <w:rsid w:val="6A6774AC"/>
    <w:rsid w:val="6ACF10A2"/>
    <w:rsid w:val="6B23220E"/>
    <w:rsid w:val="6B663E10"/>
    <w:rsid w:val="6BD279A1"/>
    <w:rsid w:val="6C6B2319"/>
    <w:rsid w:val="6C8163CC"/>
    <w:rsid w:val="6CFA1CDB"/>
    <w:rsid w:val="6D793547"/>
    <w:rsid w:val="6DA32372"/>
    <w:rsid w:val="6F2F79BF"/>
    <w:rsid w:val="70294DB1"/>
    <w:rsid w:val="715776FB"/>
    <w:rsid w:val="71F80CC9"/>
    <w:rsid w:val="72C8090B"/>
    <w:rsid w:val="73025D8D"/>
    <w:rsid w:val="734C6E27"/>
    <w:rsid w:val="736D76AA"/>
    <w:rsid w:val="73AF7CC3"/>
    <w:rsid w:val="742E508B"/>
    <w:rsid w:val="7537210A"/>
    <w:rsid w:val="75524DAA"/>
    <w:rsid w:val="75E504A8"/>
    <w:rsid w:val="76530DD9"/>
    <w:rsid w:val="76B61368"/>
    <w:rsid w:val="76F81981"/>
    <w:rsid w:val="77E872FF"/>
    <w:rsid w:val="78003BF5"/>
    <w:rsid w:val="78080136"/>
    <w:rsid w:val="78B33DB1"/>
    <w:rsid w:val="79090025"/>
    <w:rsid w:val="79382AE3"/>
    <w:rsid w:val="79586707"/>
    <w:rsid w:val="79975481"/>
    <w:rsid w:val="799B65F3"/>
    <w:rsid w:val="7A1203BE"/>
    <w:rsid w:val="7BD10626"/>
    <w:rsid w:val="7C15268D"/>
    <w:rsid w:val="7C156B31"/>
    <w:rsid w:val="7C330D65"/>
    <w:rsid w:val="7C911D71"/>
    <w:rsid w:val="7CB23E47"/>
    <w:rsid w:val="7D6975F5"/>
    <w:rsid w:val="7D851A94"/>
    <w:rsid w:val="7DA010E6"/>
    <w:rsid w:val="7DF033B2"/>
    <w:rsid w:val="7E266DD3"/>
    <w:rsid w:val="7ECD54A1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60" w:lineRule="auto"/>
    </w:pPr>
    <w:rPr>
      <w:rFonts w:ascii="Calibri" w:hAnsi="Calibri" w:eastAsia="等线" w:cs="Calibri"/>
      <w:color w:val="262626"/>
      <w:sz w:val="21"/>
      <w:szCs w:val="22"/>
    </w:rPr>
  </w:style>
  <w:style w:type="paragraph" w:styleId="2">
    <w:name w:val="heading 1"/>
    <w:basedOn w:val="1"/>
    <w:qFormat/>
    <w:uiPriority w:val="0"/>
    <w:pPr>
      <w:keepNext/>
      <w:spacing w:before="400" w:after="200" w:line="312" w:lineRule="auto"/>
    </w:pPr>
    <w:rPr>
      <w:rFonts w:ascii="Segoe UI" w:hAnsi="Segoe UI" w:eastAsia="微软雅黑" w:cs="Segoe UI"/>
      <w:b/>
      <w:color w:val="1F4E79"/>
      <w:sz w:val="32"/>
    </w:rPr>
  </w:style>
  <w:style w:type="paragraph" w:styleId="3">
    <w:name w:val="heading 2"/>
    <w:basedOn w:val="1"/>
    <w:qFormat/>
    <w:uiPriority w:val="0"/>
    <w:pPr>
      <w:keepNext/>
      <w:spacing w:before="280" w:after="120" w:line="312" w:lineRule="auto"/>
    </w:pPr>
    <w:rPr>
      <w:rFonts w:ascii="Segoe UI" w:hAnsi="Segoe UI" w:eastAsia="微软雅黑" w:cs="Segoe UI"/>
      <w:b/>
      <w:color w:val="2E75B6"/>
      <w:sz w:val="26"/>
    </w:rPr>
  </w:style>
  <w:style w:type="paragraph" w:styleId="4">
    <w:name w:val="heading 3"/>
    <w:basedOn w:val="1"/>
    <w:qFormat/>
    <w:uiPriority w:val="0"/>
    <w:pPr>
      <w:keepNext/>
      <w:spacing w:before="200" w:after="80" w:line="312" w:lineRule="auto"/>
    </w:pPr>
    <w:rPr>
      <w:rFonts w:ascii="Segoe UI" w:hAnsi="Segoe UI" w:eastAsia="微软雅黑" w:cs="Segoe UI"/>
      <w:b/>
      <w:color w:val="2E75B6"/>
      <w:sz w:val="23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  <w:pPr>
      <w:spacing w:after="40" w:line="312" w:lineRule="auto"/>
    </w:pPr>
    <w:rPr>
      <w:rFonts w:ascii="Calibri" w:hAnsi="Calibri" w:eastAsia="等线" w:cs="Calibri"/>
      <w:color w:val="262626"/>
      <w:sz w:val="21"/>
    </w:rPr>
  </w:style>
  <w:style w:type="paragraph" w:styleId="6">
    <w:name w:val="Subtitle"/>
    <w:basedOn w:val="1"/>
    <w:qFormat/>
    <w:uiPriority w:val="0"/>
    <w:pPr>
      <w:jc w:val="center"/>
    </w:pPr>
    <w:rPr>
      <w:rFonts w:ascii="Segoe UI" w:hAnsi="Segoe UI" w:eastAsia="微软雅黑" w:cs="Segoe UI"/>
      <w:b/>
      <w:color w:val="2E75B6"/>
      <w:sz w:val="36"/>
    </w:rPr>
  </w:style>
  <w:style w:type="paragraph" w:styleId="7">
    <w:name w:val="toc 2"/>
    <w:basedOn w:val="1"/>
    <w:next w:val="1"/>
    <w:qFormat/>
    <w:uiPriority w:val="0"/>
    <w:pPr>
      <w:spacing w:after="40" w:line="312" w:lineRule="auto"/>
      <w:ind w:left="420" w:leftChars="200"/>
    </w:pPr>
    <w:rPr>
      <w:rFonts w:ascii="Calibri" w:hAnsi="Calibri" w:eastAsia="等线" w:cs="Calibri"/>
      <w:color w:val="262626"/>
      <w:sz w:val="21"/>
    </w:rPr>
  </w:style>
  <w:style w:type="paragraph" w:styleId="8">
    <w:name w:val="Title"/>
    <w:basedOn w:val="1"/>
    <w:qFormat/>
    <w:uiPriority w:val="0"/>
    <w:pPr>
      <w:jc w:val="center"/>
    </w:pPr>
    <w:rPr>
      <w:rFonts w:ascii="Segoe UI" w:hAnsi="Segoe UI" w:eastAsia="微软雅黑" w:cs="Segoe UI"/>
      <w:b/>
      <w:color w:val="1F4E79"/>
      <w:sz w:val="60"/>
    </w:rPr>
  </w:style>
  <w:style w:type="paragraph" w:customStyle="1" w:styleId="11">
    <w:name w:val="Caption"/>
    <w:basedOn w:val="1"/>
    <w:qFormat/>
    <w:uiPriority w:val="0"/>
    <w:pPr>
      <w:spacing w:before="80" w:after="240" w:line="288" w:lineRule="auto"/>
      <w:jc w:val="center"/>
    </w:pPr>
    <w:rPr>
      <w:rFonts w:ascii="Calibri" w:hAnsi="Calibri" w:eastAsia="等线" w:cs="Calibri"/>
      <w:color w:val="80808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5185</Words>
  <Characters>5343</Characters>
  <TotalTime>0</TotalTime>
  <ScaleCrop>false</ScaleCrop>
  <LinksUpToDate>false</LinksUpToDate>
  <CharactersWithSpaces>5552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2026-09-19T06:12:00Z</dcterms:created>
  <dc:creator>产品方案整理</dc:creator>
  <dc:description>官网信息架构、前后台内容运营及询单管理说明（高保真演示版）</dc:description>
  <cp:lastModifiedBy>爸气十足</cp:lastModifiedBy>
  <dcterms:modified xsi:type="dcterms:W3CDTF">2026-09-21T03:22:11Z</dcterms:modified>
  <dc:title>恒达微波官方网站产品说明书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1.0.151</vt:lpwstr>
  </property>
  <property fmtid="{D5CDD505-2E9C-101B-9397-08002B2CF9AE}" pid="3" name="OfficeCLI.LastModified">
    <vt:lpwstr>2026-09-19T06:21:26Z</vt:lpwstr>
  </property>
  <property fmtid="{D5CDD505-2E9C-101B-9397-08002B2CF9AE}" pid="4" name="KSOProductBuildVer">
    <vt:lpwstr>2052-12.1.0.28505</vt:lpwstr>
  </property>
  <property fmtid="{D5CDD505-2E9C-101B-9397-08002B2CF9AE}" pid="5" name="ICV">
    <vt:lpwstr>9533ED6BF47043698DF0211CC9EA8993_12</vt:lpwstr>
  </property>
  <property fmtid="{D5CDD505-2E9C-101B-9397-08002B2CF9AE}" pid="6" name="KSOTemplateDocerSaveRecord">
    <vt:lpwstr>eyJoZGlkIjoiZTg1MDdkM2VmNzEyNTU2OTU0MGIyMDdlNDQ5MzBlOWYiLCJ1c2VySWQiOiI3MDY0Njk0MzUifQ==</vt:lpwstr>
  </property>
</Properties>
</file>