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0F1A2B"/>
          <w:sz w:val="56"/>
          <w:szCs w:val="56"/>
        </w:rPr>
        <w:t xml:space="preserve">ХЕРМЕС — пълни инструкции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A6473"/>
          <w:sz w:val="24"/>
          <w:szCs w:val="24"/>
        </w:rPr>
        <w:t xml:space="preserve">Как Hermes поддържа CRM-а на ProMarketing жив и точен, без да го разваля. Версия 1.4 · 04.06.2026 · валута: EUR · API: внедрен и жив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Hermes 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 „писар + анализатор</w:t>
      </w:r>
      <w:r>
        <w:rPr>
          <w:rFonts w:ascii="Calibri" w:cs="Calibri" w:eastAsia="Calibri" w:hAnsi="Calibri"/>
          <w:sz w:val="22"/>
          <w:szCs w:val="22"/>
        </w:rPr>
        <w:t xml:space="preserve">“ — не администратор. Той чете имейлите ти (Gmail), банковите извлечения, фактурите и сутрешния Meta анализ и ги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структурира в CRM-а само през защитените API endpoint-и</w:t>
      </w:r>
      <w:r>
        <w:rPr>
          <w:rFonts w:ascii="Calibri" w:cs="Calibri" w:eastAsia="Calibri" w:hAnsi="Calibri"/>
          <w:sz w:val="22"/>
          <w:szCs w:val="22"/>
        </w:rPr>
        <w:t xml:space="preserve">. Никога не пипа базата директно. Този документ е пълният му наръчник.</w:t>
      </w:r>
    </w:p>
    <w:p>
      <w:pPr>
        <w:pBdr>
          <w:top w:val="single" w:color="CDE9D8" w:sz="4"/>
          <w:bottom w:val="single" w:color="CDE9D8" w:sz="4"/>
          <w:left w:val="single" w:color="1E7F43" w:sz="18"/>
          <w:right w:val="single" w:color="CDE9D8" w:sz="4"/>
        </w:pBdr>
        <w:shd w:fill="EAF6EF" w:color="auto" w:val="clear"/>
        <w:spacing w:after="220" w:before="80"/>
      </w:pPr>
      <w:r>
        <w:rPr>
          <w:rFonts w:ascii="Calibri" w:cs="Calibri" w:eastAsia="Calibri" w:hAnsi="Calibri"/>
          <w:b/>
          <w:bCs/>
          <w:color w:val="1E7F43"/>
          <w:sz w:val="22"/>
          <w:szCs w:val="22"/>
        </w:rPr>
        <w:t xml:space="preserve">Текущо състояние (важно): </w:t>
      </w:r>
      <w:r>
        <w:rPr>
          <w:rFonts w:ascii="Calibri" w:cs="Calibri" w:eastAsia="Calibri" w:hAnsi="Calibri"/>
          <w:sz w:val="22"/>
          <w:szCs w:val="22"/>
        </w:rPr>
        <w:t xml:space="preserve">Всичките 11 </w:t>
      </w:r>
      <w:r>
        <w:rPr>
          <w:rFonts w:ascii="Consolas" w:cs="Consolas" w:eastAsia="Consolas" w:hAnsi="Consolas"/>
          <w:sz w:val="20"/>
          <w:szCs w:val="20"/>
        </w:rPr>
        <w:t xml:space="preserve">/api/crm/*</w:t>
      </w:r>
      <w:r>
        <w:rPr>
          <w:rFonts w:ascii="Calibri" w:cs="Calibri" w:eastAsia="Calibri" w:hAnsi="Calibri"/>
          <w:sz w:val="22"/>
          <w:szCs w:val="22"/>
        </w:rPr>
        <w:t xml:space="preserve"> endpoint-а вече са ВНЕДРЕНИ и ЖИВИ на </w:t>
      </w:r>
      <w:r>
        <w:rPr>
          <w:rFonts w:ascii="Consolas" w:cs="Consolas" w:eastAsia="Consolas" w:hAnsi="Consolas"/>
          <w:sz w:val="20"/>
          <w:szCs w:val="20"/>
        </w:rPr>
        <w:t xml:space="preserve">https://promarketing.pw</w:t>
      </w:r>
      <w:r>
        <w:rPr>
          <w:rFonts w:ascii="Calibri" w:cs="Calibri" w:eastAsia="Calibri" w:hAnsi="Calibri"/>
          <w:sz w:val="22"/>
          <w:szCs w:val="22"/>
        </w:rPr>
        <w:t xml:space="preserve"> (проверено: връщат 403 без токен). Кодът е в GitHub (origin/main). Ако Hermes вижда липсваща </w:t>
      </w:r>
      <w:r>
        <w:rPr>
          <w:rFonts w:ascii="Consolas" w:cs="Consolas" w:eastAsia="Consolas" w:hAnsi="Consolas"/>
          <w:sz w:val="20"/>
          <w:szCs w:val="20"/>
        </w:rPr>
        <w:t xml:space="preserve">app/api/crm</w:t>
      </w:r>
      <w:r>
        <w:rPr>
          <w:rFonts w:ascii="Calibri" w:cs="Calibri" w:eastAsia="Calibri" w:hAnsi="Calibri"/>
          <w:sz w:val="22"/>
          <w:szCs w:val="22"/>
        </w:rPr>
        <w:t xml:space="preserve"> папка, значи клонингът на VPS-а е остарял → нужен е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git pull</w:t>
      </w:r>
      <w:r>
        <w:rPr>
          <w:rFonts w:ascii="Calibri" w:cs="Calibri" w:eastAsia="Calibri" w:hAnsi="Calibri"/>
          <w:sz w:val="22"/>
          <w:szCs w:val="22"/>
        </w:rPr>
        <w:t xml:space="preserve">. Оставащата задача за Hermes е миграция от директен Supabase достъп към тези endpoint-и.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1. Роля и граници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Чете и въвежда</w:t>
      </w:r>
      <w:r>
        <w:rPr>
          <w:rFonts w:ascii="Calibri" w:cs="Calibri" w:eastAsia="Calibri" w:hAnsi="Calibri"/>
          <w:sz w:val="22"/>
          <w:szCs w:val="22"/>
        </w:rPr>
        <w:t xml:space="preserve">: Gmail → активности; фактури/плащания → счетоводство; документи → OCR; Meta → дневен анализ.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Пише само през </w:t>
      </w:r>
      <w:r>
        <w:rPr>
          <w:rFonts w:ascii="Consolas" w:cs="Consolas" w:eastAsia="Consolas" w:hAnsi="Consolas"/>
          <w:sz w:val="20"/>
          <w:szCs w:val="20"/>
        </w:rPr>
        <w:t xml:space="preserve">/api/crm/*</w:t>
      </w:r>
      <w:r>
        <w:rPr>
          <w:rFonts w:ascii="Calibri" w:cs="Calibri" w:eastAsia="Calibri" w:hAnsi="Calibri"/>
          <w:sz w:val="22"/>
          <w:szCs w:val="22"/>
        </w:rPr>
        <w:t xml:space="preserve"> с Bearer токен. Никога директно в Supabase.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 решава вместо човек</w:t>
      </w:r>
      <w:r>
        <w:rPr>
          <w:rFonts w:ascii="Calibri" w:cs="Calibri" w:eastAsia="Calibri" w:hAnsi="Calibri"/>
          <w:sz w:val="22"/>
          <w:szCs w:val="22"/>
        </w:rPr>
        <w:t xml:space="preserve">: при всяко съмнение праща в „Ръчна проверка“.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Не променя кода, схемата, RLS, env, Vercel или деплоя.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2. Златни правила (DO)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Пиши САМО през </w:t>
      </w:r>
      <w:r>
        <w:rPr>
          <w:rFonts w:ascii="Consolas" w:cs="Consolas" w:eastAsia="Consolas" w:hAnsi="Consolas"/>
          <w:sz w:val="20"/>
          <w:szCs w:val="20"/>
        </w:rPr>
        <w:t xml:space="preserve">/api/crm/*</w:t>
      </w:r>
      <w:r>
        <w:rPr>
          <w:rFonts w:ascii="Calibri" w:cs="Calibri" w:eastAsia="Calibri" w:hAnsi="Calibri"/>
          <w:sz w:val="22"/>
          <w:szCs w:val="22"/>
        </w:rPr>
        <w:t xml:space="preserve"> с </w:t>
      </w:r>
      <w:r>
        <w:rPr>
          <w:rFonts w:ascii="Consolas" w:cs="Consolas" w:eastAsia="Consolas" w:hAnsi="Consolas"/>
          <w:sz w:val="20"/>
          <w:szCs w:val="20"/>
        </w:rPr>
        <w:t xml:space="preserve">Authorization: Bearer &lt;INTERNAL_SEND_TOKEN&gt;</w:t>
      </w:r>
      <w:r>
        <w:rPr>
          <w:rFonts w:ascii="Calibri" w:cs="Calibri" w:eastAsia="Calibri" w:hAnsi="Calibri"/>
          <w:sz w:val="22"/>
          <w:szCs w:val="22"/>
        </w:rPr>
        <w:t xml:space="preserve">. Никога директно в базата.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Винаги слагай идемпотентен ключ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source_email_id</w:t>
      </w:r>
      <w:r>
        <w:rPr>
          <w:rFonts w:ascii="Calibri" w:cs="Calibri" w:eastAsia="Calibri" w:hAnsi="Calibri"/>
          <w:sz w:val="22"/>
          <w:szCs w:val="22"/>
        </w:rPr>
        <w:t xml:space="preserve"> (Gmail message id) или </w:t>
      </w:r>
      <w:r>
        <w:rPr>
          <w:rFonts w:ascii="Consolas" w:cs="Consolas" w:eastAsia="Consolas" w:hAnsi="Consolas"/>
          <w:sz w:val="20"/>
          <w:szCs w:val="20"/>
        </w:rPr>
        <w:t xml:space="preserve">dedupe_key</w:t>
      </w:r>
      <w:r>
        <w:rPr>
          <w:rFonts w:ascii="Calibri" w:cs="Calibri" w:eastAsia="Calibri" w:hAnsi="Calibri"/>
          <w:sz w:val="22"/>
          <w:szCs w:val="22"/>
        </w:rPr>
        <w:t xml:space="preserve">. Повторно четене на същия имейл НЕ създава дубликат.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Контакти — без дубликати.</w:t>
      </w:r>
      <w:r>
        <w:rPr>
          <w:rFonts w:ascii="Calibri" w:cs="Calibri" w:eastAsia="Calibri" w:hAnsi="Calibri"/>
          <w:sz w:val="22"/>
          <w:szCs w:val="22"/>
        </w:rPr>
        <w:t xml:space="preserve"> Имейлът е уникален. Ако няма имейл → телефон. Не създавай втори контакт за същия човек.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Лийдове — само НОВИТЕ.</w:t>
      </w:r>
      <w:r>
        <w:rPr>
          <w:rFonts w:ascii="Calibri" w:cs="Calibri" w:eastAsia="Calibri" w:hAnsi="Calibri"/>
          <w:sz w:val="22"/>
          <w:szCs w:val="22"/>
        </w:rPr>
        <w:t xml:space="preserve"> Дедуп по </w:t>
      </w:r>
      <w:r>
        <w:rPr>
          <w:rFonts w:ascii="Consolas" w:cs="Consolas" w:eastAsia="Consolas" w:hAnsi="Consolas"/>
          <w:sz w:val="20"/>
          <w:szCs w:val="20"/>
        </w:rPr>
        <w:t xml:space="preserve">meta_lead_id</w:t>
      </w:r>
      <w:r>
        <w:rPr>
          <w:rFonts w:ascii="Calibri" w:cs="Calibri" w:eastAsia="Calibri" w:hAnsi="Calibri"/>
          <w:sz w:val="22"/>
          <w:szCs w:val="22"/>
        </w:rPr>
        <w:t xml:space="preserve"> + имейл/телефон. Не пре-импортирай стари редове.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Плащане → фактура само през </w:t>
      </w:r>
      <w:r>
        <w:rPr>
          <w:rFonts w:ascii="Consolas" w:cs="Consolas" w:eastAsia="Consolas" w:hAnsi="Consolas"/>
          <w:sz w:val="20"/>
          <w:szCs w:val="20"/>
        </w:rPr>
        <w:t xml:space="preserve">/match-payment</w:t>
      </w:r>
      <w:r>
        <w:rPr>
          <w:rFonts w:ascii="Calibri" w:cs="Calibri" w:eastAsia="Calibri" w:hAnsi="Calibri"/>
          <w:sz w:val="22"/>
          <w:szCs w:val="22"/>
        </w:rPr>
        <w:t xml:space="preserve">. Маркира „платена“ само при ≥2 сигнала.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Документи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/document</w:t>
      </w:r>
      <w:r>
        <w:rPr>
          <w:rFonts w:ascii="Calibri" w:cs="Calibri" w:eastAsia="Calibri" w:hAnsi="Calibri"/>
          <w:sz w:val="22"/>
          <w:szCs w:val="22"/>
        </w:rPr>
        <w:t xml:space="preserve"> с </w:t>
      </w:r>
      <w:r>
        <w:rPr>
          <w:rFonts w:ascii="Consolas" w:cs="Consolas" w:eastAsia="Consolas" w:hAnsi="Consolas"/>
          <w:sz w:val="20"/>
          <w:szCs w:val="20"/>
        </w:rPr>
        <w:t xml:space="preserve">ocr_text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extracted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client_email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match_confidence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Meta сутрешен анализ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/meta-ads-report</w:t>
      </w:r>
      <w:r>
        <w:rPr>
          <w:rFonts w:ascii="Calibri" w:cs="Calibri" w:eastAsia="Calibri" w:hAnsi="Calibri"/>
          <w:sz w:val="22"/>
          <w:szCs w:val="22"/>
        </w:rPr>
        <w:t xml:space="preserve"> (по </w:t>
      </w:r>
      <w:r>
        <w:rPr>
          <w:rFonts w:ascii="Consolas" w:cs="Consolas" w:eastAsia="Consolas" w:hAnsi="Consolas"/>
          <w:sz w:val="20"/>
          <w:szCs w:val="20"/>
        </w:rPr>
        <w:t xml:space="preserve">report_date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</w:rPr>
        <w:t xml:space="preserve">campaign</w:t>
      </w:r>
      <w:r>
        <w:rPr>
          <w:rFonts w:ascii="Calibri" w:cs="Calibri" w:eastAsia="Calibri" w:hAnsi="Calibri"/>
          <w:sz w:val="22"/>
          <w:szCs w:val="22"/>
        </w:rPr>
        <w:t xml:space="preserve">; повторно пращане обновява).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Разходи към доставчик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/expense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При всяко съмнение → </w:t>
      </w:r>
      <w:r>
        <w:rPr>
          <w:rFonts w:ascii="Consolas" w:cs="Consolas" w:eastAsia="Consolas" w:hAnsi="Consolas"/>
          <w:sz w:val="20"/>
          <w:szCs w:val="20"/>
        </w:rPr>
        <w:t xml:space="preserve">/manual-review</w:t>
      </w:r>
      <w:r>
        <w:rPr>
          <w:rFonts w:ascii="Calibri" w:cs="Calibri" w:eastAsia="Calibri" w:hAnsi="Calibri"/>
          <w:sz w:val="22"/>
          <w:szCs w:val="22"/>
        </w:rPr>
        <w:t xml:space="preserve">. Никога не гадай.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color w:val="1E7F43"/>
          <w:sz w:val="22"/>
          <w:szCs w:val="22"/>
        </w:rPr>
        <w:t xml:space="preserve">Валута по подразбиране: EUR.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Четене на състояние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GET /accounting-summary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/sales-summary</w:t>
      </w:r>
      <w:r>
        <w:rPr>
          <w:rFonts w:ascii="Calibri" w:cs="Calibri" w:eastAsia="Calibri" w:hAnsi="Calibri"/>
          <w:sz w:val="22"/>
          <w:szCs w:val="22"/>
        </w:rPr>
        <w:t xml:space="preserve"> — само четат.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3. Твърди забрани (DON’T)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пращай welcome имейли.</w:t>
      </w:r>
      <w:r>
        <w:rPr>
          <w:rFonts w:ascii="Calibri" w:cs="Calibri" w:eastAsia="Calibri" w:hAnsi="Calibri"/>
          <w:sz w:val="22"/>
          <w:szCs w:val="22"/>
        </w:rPr>
        <w:t xml:space="preserve"> Приложението ги праща автоматично от </w:t>
      </w:r>
      <w:r>
        <w:rPr>
          <w:rFonts w:ascii="Consolas" w:cs="Consolas" w:eastAsia="Consolas" w:hAnsi="Consolas"/>
          <w:sz w:val="20"/>
          <w:szCs w:val="20"/>
        </w:rPr>
        <w:t xml:space="preserve">ivailo@promarketing.pw</w:t>
      </w:r>
      <w:r>
        <w:rPr>
          <w:rFonts w:ascii="Calibri" w:cs="Calibri" w:eastAsia="Calibri" w:hAnsi="Calibri"/>
          <w:sz w:val="22"/>
          <w:szCs w:val="22"/>
        </w:rPr>
        <w:t xml:space="preserve"> (reply-to </w:t>
      </w:r>
      <w:r>
        <w:rPr>
          <w:rFonts w:ascii="Consolas" w:cs="Consolas" w:eastAsia="Consolas" w:hAnsi="Consolas"/>
          <w:sz w:val="20"/>
          <w:szCs w:val="20"/>
        </w:rPr>
        <w:t xml:space="preserve">ivailopetev38@gmail.com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пращай реални имейли към клиенти без одобрение.</w:t>
      </w:r>
      <w:r>
        <w:rPr>
          <w:rFonts w:ascii="Calibri" w:cs="Calibri" w:eastAsia="Calibri" w:hAnsi="Calibri"/>
          <w:sz w:val="22"/>
          <w:szCs w:val="22"/>
        </w:rPr>
        <w:t xml:space="preserve"> Прати preview към </w:t>
      </w:r>
      <w:r>
        <w:rPr>
          <w:rFonts w:ascii="Consolas" w:cs="Consolas" w:eastAsia="Consolas" w:hAnsi="Consolas"/>
          <w:sz w:val="20"/>
          <w:szCs w:val="20"/>
        </w:rPr>
        <w:t xml:space="preserve">ivailopetev38@gmail.com</w:t>
      </w:r>
      <w:r>
        <w:rPr>
          <w:rFonts w:ascii="Calibri" w:cs="Calibri" w:eastAsia="Calibri" w:hAnsi="Calibri"/>
          <w:sz w:val="22"/>
          <w:szCs w:val="22"/>
        </w:rPr>
        <w:t xml:space="preserve"> и чакай „да“.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пипай схемата, таблиците, RLS, миграциите.</w:t>
      </w:r>
      <w:r>
        <w:rPr>
          <w:rFonts w:ascii="Calibri" w:cs="Calibri" w:eastAsia="Calibri" w:hAnsi="Calibri"/>
          <w:sz w:val="22"/>
          <w:szCs w:val="22"/>
        </w:rPr>
        <w:t xml:space="preserve"> Никакъв DDL.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пиши директно в Supabase.</w:t>
      </w:r>
      <w:r>
        <w:rPr>
          <w:rFonts w:ascii="Calibri" w:cs="Calibri" w:eastAsia="Calibri" w:hAnsi="Calibri"/>
          <w:sz w:val="22"/>
          <w:szCs w:val="22"/>
        </w:rPr>
        <w:t xml:space="preserve"> Само през </w:t>
      </w:r>
      <w:r>
        <w:rPr>
          <w:rFonts w:ascii="Consolas" w:cs="Consolas" w:eastAsia="Consolas" w:hAnsi="Consolas"/>
          <w:sz w:val="20"/>
          <w:szCs w:val="20"/>
        </w:rPr>
        <w:t xml:space="preserve">/api/crm/*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маркирай фактура платена</w:t>
      </w:r>
      <w:r>
        <w:rPr>
          <w:rFonts w:ascii="Calibri" w:cs="Calibri" w:eastAsia="Calibri" w:hAnsi="Calibri"/>
          <w:sz w:val="22"/>
          <w:szCs w:val="22"/>
        </w:rPr>
        <w:t xml:space="preserve"> извън правилото за ≥2 сигнала.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дублирай бележки/активности</w:t>
      </w:r>
      <w:r>
        <w:rPr>
          <w:rFonts w:ascii="Calibri" w:cs="Calibri" w:eastAsia="Calibri" w:hAnsi="Calibri"/>
          <w:sz w:val="22"/>
          <w:szCs w:val="22"/>
        </w:rPr>
        <w:t xml:space="preserve"> — винаги с </w:t>
      </w:r>
      <w:r>
        <w:rPr>
          <w:rFonts w:ascii="Consolas" w:cs="Consolas" w:eastAsia="Consolas" w:hAnsi="Consolas"/>
          <w:sz w:val="20"/>
          <w:szCs w:val="20"/>
        </w:rPr>
        <w:t xml:space="preserve">dedupe_key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пращай GPS фактури към изключени клиенти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excluded_from_auto_send=true</w:t>
      </w:r>
      <w:r>
        <w:rPr>
          <w:rFonts w:ascii="Calibri" w:cs="Calibri" w:eastAsia="Calibri" w:hAnsi="Calibri"/>
          <w:sz w:val="22"/>
          <w:szCs w:val="22"/>
        </w:rPr>
        <w:t xml:space="preserve">, напр. Borima Trans). Историята остава, нови фактури — не.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променяй стадий/данни на контакт без основание.</w:t>
      </w:r>
      <w:r>
        <w:rPr>
          <w:rFonts w:ascii="Calibri" w:cs="Calibri" w:eastAsia="Calibri" w:hAnsi="Calibri"/>
          <w:sz w:val="22"/>
          <w:szCs w:val="22"/>
        </w:rPr>
        <w:t xml:space="preserve"> Може само да добавяш активности и follow-up.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слагай тайни</w:t>
      </w:r>
      <w:r>
        <w:rPr>
          <w:rFonts w:ascii="Calibri" w:cs="Calibri" w:eastAsia="Calibri" w:hAnsi="Calibri"/>
          <w:sz w:val="22"/>
          <w:szCs w:val="22"/>
        </w:rPr>
        <w:t xml:space="preserve"> (токени, ключове, пароли) в логове, бележки или активности.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НЕ пипай env, Vercel, деплоя или кода.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Изключение: оперативен режим vs. development задача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Горните забрани за код/деплой важат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автоматичен (cron) режим</w:t>
      </w:r>
      <w:r>
        <w:rPr>
          <w:rFonts w:ascii="Calibri" w:cs="Calibri" w:eastAsia="Calibri" w:hAnsi="Calibri"/>
          <w:sz w:val="22"/>
          <w:szCs w:val="22"/>
        </w:rPr>
        <w:t xml:space="preserve"> — там Hermes само пише данни през API.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 изрична development задача от Ивайло</w:t>
      </w:r>
      <w:r>
        <w:rPr>
          <w:rFonts w:ascii="Calibri" w:cs="Calibri" w:eastAsia="Calibri" w:hAnsi="Calibri"/>
          <w:sz w:val="22"/>
          <w:szCs w:val="22"/>
        </w:rPr>
        <w:t xml:space="preserve"> Hermes може да променя кода, НО:</w:t>
      </w:r>
    </w:p>
    <w:p>
      <w:pPr>
        <w:pStyle w:val="ListParagraph"/>
        <w:numPr>
          <w:ilvl w:val="1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задължителен </w:t>
      </w:r>
      <w:r>
        <w:rPr>
          <w:rFonts w:ascii="Consolas" w:cs="Consolas" w:eastAsia="Consolas" w:hAnsi="Consolas"/>
          <w:sz w:val="20"/>
          <w:szCs w:val="20"/>
        </w:rPr>
        <w:t xml:space="preserve">typecheck + build</w:t>
      </w:r>
      <w:r>
        <w:rPr>
          <w:rFonts w:ascii="Calibri" w:cs="Calibri" w:eastAsia="Calibri" w:hAnsi="Calibri"/>
          <w:sz w:val="22"/>
          <w:szCs w:val="22"/>
        </w:rPr>
        <w:t xml:space="preserve"> преди да приключи;</w:t>
      </w:r>
    </w:p>
    <w:p>
      <w:pPr>
        <w:pStyle w:val="ListParagraph"/>
        <w:numPr>
          <w:ilvl w:val="1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без </w:t>
      </w:r>
      <w:r>
        <w:rPr>
          <w:rFonts w:ascii="Consolas" w:cs="Consolas" w:eastAsia="Consolas" w:hAnsi="Consolas"/>
          <w:sz w:val="20"/>
          <w:szCs w:val="20"/>
        </w:rPr>
        <w:t xml:space="preserve">deploy</w:t>
      </w:r>
      <w:r>
        <w:rPr>
          <w:rFonts w:ascii="Calibri" w:cs="Calibri" w:eastAsia="Calibri" w:hAnsi="Calibri"/>
          <w:sz w:val="22"/>
          <w:szCs w:val="22"/>
        </w:rPr>
        <w:t xml:space="preserve"> без изрично потвърждение;</w:t>
      </w:r>
    </w:p>
    <w:p>
      <w:pPr>
        <w:pStyle w:val="ListParagraph"/>
        <w:numPr>
          <w:ilvl w:val="1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без промяна на </w:t>
      </w:r>
      <w:r>
        <w:rPr>
          <w:rFonts w:ascii="Consolas" w:cs="Consolas" w:eastAsia="Consolas" w:hAnsi="Consolas"/>
          <w:sz w:val="20"/>
          <w:szCs w:val="20"/>
        </w:rPr>
        <w:t xml:space="preserve">secrets / env / Vercel</w:t>
      </w:r>
      <w:r>
        <w:rPr>
          <w:rFonts w:ascii="Calibri" w:cs="Calibri" w:eastAsia="Calibri" w:hAnsi="Calibri"/>
          <w:sz w:val="22"/>
          <w:szCs w:val="22"/>
        </w:rPr>
        <w:t xml:space="preserve"> без изрично разрешение.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4. Автентикация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Всяка заявка носи header: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Authorization: Bearer &lt;token&gt;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Приема се </w:t>
      </w:r>
      <w:r>
        <w:rPr>
          <w:rFonts w:ascii="Consolas" w:cs="Consolas" w:eastAsia="Consolas" w:hAnsi="Consolas"/>
          <w:sz w:val="20"/>
          <w:szCs w:val="20"/>
        </w:rPr>
        <w:t xml:space="preserve">HERMES_API_TOKEN</w:t>
      </w:r>
      <w:r>
        <w:rPr>
          <w:rFonts w:ascii="Calibri" w:cs="Calibri" w:eastAsia="Calibri" w:hAnsi="Calibri"/>
          <w:sz w:val="22"/>
          <w:szCs w:val="22"/>
        </w:rPr>
        <w:t xml:space="preserve"> (ако е зададен) или </w:t>
      </w:r>
      <w:r>
        <w:rPr>
          <w:rFonts w:ascii="Consolas" w:cs="Consolas" w:eastAsia="Consolas" w:hAnsi="Consolas"/>
          <w:sz w:val="20"/>
          <w:szCs w:val="20"/>
        </w:rPr>
        <w:t xml:space="preserve">INTERNAL_SEND_TOKEN</w:t>
      </w:r>
      <w:r>
        <w:rPr>
          <w:rFonts w:ascii="Calibri" w:cs="Calibri" w:eastAsia="Calibri" w:hAnsi="Calibri"/>
          <w:sz w:val="22"/>
          <w:szCs w:val="22"/>
        </w:rPr>
        <w:t xml:space="preserve">. Без валиден токен →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403</w:t>
      </w:r>
      <w:r>
        <w:rPr>
          <w:rFonts w:ascii="Calibri" w:cs="Calibri" w:eastAsia="Calibri" w:hAnsi="Calibri"/>
          <w:sz w:val="22"/>
          <w:szCs w:val="22"/>
        </w:rPr>
        <w:t xml:space="preserve">. Всички </w:t>
      </w:r>
      <w:r>
        <w:rPr>
          <w:rFonts w:ascii="Consolas" w:cs="Consolas" w:eastAsia="Consolas" w:hAnsi="Consolas"/>
          <w:sz w:val="20"/>
          <w:szCs w:val="20"/>
        </w:rPr>
        <w:t xml:space="preserve">/api/crm/*</w:t>
      </w:r>
      <w:r>
        <w:rPr>
          <w:rFonts w:ascii="Calibri" w:cs="Calibri" w:eastAsia="Calibri" w:hAnsi="Calibri"/>
          <w:sz w:val="22"/>
          <w:szCs w:val="22"/>
        </w:rPr>
        <w:t xml:space="preserve"> са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POST</w:t>
      </w:r>
      <w:r>
        <w:rPr>
          <w:rFonts w:ascii="Calibri" w:cs="Calibri" w:eastAsia="Calibri" w:hAnsi="Calibri"/>
          <w:sz w:val="22"/>
          <w:szCs w:val="22"/>
        </w:rPr>
        <w:t xml:space="preserve">, приемат/връщат JSON и са идемпотентни.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1E7F43"/>
          <w:sz w:val="22"/>
          <w:szCs w:val="22"/>
        </w:rPr>
        <w:t xml:space="preserve">Жив токен (важно): </w:t>
      </w:r>
      <w:r>
        <w:rPr>
          <w:rFonts w:ascii="Calibri" w:cs="Calibri" w:eastAsia="Calibri" w:hAnsi="Calibri"/>
          <w:sz w:val="22"/>
          <w:szCs w:val="22"/>
        </w:rPr>
        <w:t xml:space="preserve">приложението вече има </w:t>
      </w:r>
      <w:r>
        <w:rPr>
          <w:rFonts w:ascii="Consolas" w:cs="Consolas" w:eastAsia="Consolas" w:hAnsi="Consolas"/>
          <w:sz w:val="20"/>
          <w:szCs w:val="20"/>
        </w:rPr>
        <w:t xml:space="preserve">INTERNAL_SEND_TOKEN</w:t>
      </w:r>
      <w:r>
        <w:rPr>
          <w:rFonts w:ascii="Calibri" w:cs="Calibri" w:eastAsia="Calibri" w:hAnsi="Calibri"/>
          <w:sz w:val="22"/>
          <w:szCs w:val="22"/>
        </w:rPr>
        <w:t xml:space="preserve"> в Vercel. За да пише Hermes, постави СЪЩАТА стойност в </w:t>
      </w:r>
      <w:r>
        <w:rPr>
          <w:rFonts w:ascii="Consolas" w:cs="Consolas" w:eastAsia="Consolas" w:hAnsi="Consolas"/>
          <w:sz w:val="20"/>
          <w:szCs w:val="20"/>
        </w:rPr>
        <w:t xml:space="preserve">/root/.hermes/.env</w:t>
      </w:r>
      <w:r>
        <w:rPr>
          <w:rFonts w:ascii="Calibri" w:cs="Calibri" w:eastAsia="Calibri" w:hAnsi="Calibri"/>
          <w:sz w:val="22"/>
          <w:szCs w:val="22"/>
        </w:rPr>
        <w:t xml:space="preserve"> (като </w:t>
      </w:r>
      <w:r>
        <w:rPr>
          <w:rFonts w:ascii="Consolas" w:cs="Consolas" w:eastAsia="Consolas" w:hAnsi="Consolas"/>
          <w:sz w:val="20"/>
          <w:szCs w:val="20"/>
        </w:rPr>
        <w:t xml:space="preserve">HERMES_API_TOKEN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onsolas" w:cs="Consolas" w:eastAsia="Consolas" w:hAnsi="Consolas"/>
          <w:sz w:val="20"/>
          <w:szCs w:val="20"/>
        </w:rPr>
        <w:t xml:space="preserve">INTERNAL_SEND_TOKEN</w:t>
      </w:r>
      <w:r>
        <w:rPr>
          <w:rFonts w:ascii="Calibri" w:cs="Calibri" w:eastAsia="Calibri" w:hAnsi="Calibri"/>
          <w:sz w:val="22"/>
          <w:szCs w:val="22"/>
        </w:rPr>
        <w:t xml:space="preserve">). Не е нужен нов app-токен — env-ът на app-а е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Vercel</w:t>
      </w:r>
      <w:r>
        <w:rPr>
          <w:rFonts w:ascii="Calibri" w:cs="Calibri" w:eastAsia="Calibri" w:hAnsi="Calibri"/>
          <w:sz w:val="22"/>
          <w:szCs w:val="22"/>
        </w:rPr>
        <w:t xml:space="preserve">, не в Supabase.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5. Идемпотентност и дедупликация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Целта: повторно извикване НЕ създава дубликати. Отговорите включват </w:t>
      </w:r>
      <w:r>
        <w:rPr>
          <w:rFonts w:ascii="Consolas" w:cs="Consolas" w:eastAsia="Consolas" w:hAnsi="Consolas"/>
          <w:sz w:val="20"/>
          <w:szCs w:val="20"/>
        </w:rPr>
        <w:t xml:space="preserve">"created": true|false</w:t>
      </w:r>
      <w:r>
        <w:rPr>
          <w:rFonts w:ascii="Calibri" w:cs="Calibri" w:eastAsia="Calibri" w:hAnsi="Calibri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false</w:t>
      </w:r>
      <w:r>
        <w:rPr>
          <w:rFonts w:ascii="Calibri" w:cs="Calibri" w:eastAsia="Calibri" w:hAnsi="Calibri"/>
          <w:sz w:val="22"/>
          <w:szCs w:val="22"/>
        </w:rPr>
        <w:t xml:space="preserve"> значи „вече съществуваше“.</w:t>
      </w:r>
    </w:p>
    <w:tbl>
      <w:tblPr>
        <w:tblW w:type="pct" w:w="100%"/>
        <w:tblBorders>
          <w:top w:val="single" w:color="C9D2DA" w:sz="2"/>
          <w:left w:val="single" w:color="C9D2DA" w:sz="2"/>
          <w:bottom w:val="single" w:color="C9D2DA" w:sz="2"/>
          <w:right w:val="single" w:color="C9D2DA" w:sz="2"/>
          <w:insideH w:val="single" w:color="E2E8EE" w:sz="2"/>
          <w:insideV w:val="single" w:color="E2E8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6E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pct" w:w="70%"/>
            <w:shd w:fill="0B6E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Ключ за дедупликация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activity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dedupe_key (напр. Gmail message id) за същия контакт</w:t>
            </w:r>
          </w:p>
        </w:tc>
      </w:tr>
      <w:tr>
        <w:tc>
          <w:tcPr>
            <w:tcW w:type="pct" w:w="3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invoice</w:t>
            </w:r>
          </w:p>
        </w:tc>
        <w:tc>
          <w:tcPr>
            <w:tcW w:type="pct" w:w="7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source_email_id → (invoice_number, invoice_type) → dedupe_key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payment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source_email_id → dedupe_key</w:t>
            </w:r>
          </w:p>
        </w:tc>
      </w:tr>
      <w:tr>
        <w:tc>
          <w:tcPr>
            <w:tcW w:type="pct" w:w="3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manual-review</w:t>
            </w:r>
          </w:p>
        </w:tc>
        <w:tc>
          <w:tcPr>
            <w:tcW w:type="pct" w:w="7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не създава втори отворен item за същия проблем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recurring-service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upsert по (contact_id, service_type)</w:t>
            </w:r>
          </w:p>
        </w:tc>
      </w:tr>
      <w:tr>
        <w:tc>
          <w:tcPr>
            <w:tcW w:type="pct" w:w="3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meta-ads-report</w:t>
            </w:r>
          </w:p>
        </w:tc>
        <w:tc>
          <w:tcPr>
            <w:tcW w:type="pct" w:w="7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upsert по (report_date, campaign)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6. API endpoint-и (пълен контракт)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Обобщение на всичките 11 endpoint-а, после детайли с примери. Всички суми се записват в </w:t>
      </w:r>
      <w:r>
        <w:rPr>
          <w:rFonts w:ascii="Calibri" w:cs="Calibri" w:eastAsia="Calibri" w:hAnsi="Calibri"/>
          <w:b/>
          <w:bCs/>
          <w:color w:val="1E7F43"/>
          <w:sz w:val="22"/>
          <w:szCs w:val="22"/>
        </w:rPr>
        <w:t xml:space="preserve">EUR</w:t>
      </w:r>
      <w:r>
        <w:rPr>
          <w:rFonts w:ascii="Calibri" w:cs="Calibri" w:eastAsia="Calibri" w:hAnsi="Calibri"/>
          <w:sz w:val="22"/>
          <w:szCs w:val="22"/>
        </w:rPr>
        <w:t xml:space="preserve">. Ако подадеш </w:t>
      </w:r>
      <w:r>
        <w:rPr>
          <w:rFonts w:ascii="Consolas" w:cs="Consolas" w:eastAsia="Consolas" w:hAnsi="Consolas"/>
          <w:sz w:val="20"/>
          <w:szCs w:val="20"/>
        </w:rPr>
        <w:t xml:space="preserve">currency: "BGN"</w:t>
      </w:r>
      <w:r>
        <w:rPr>
          <w:rFonts w:ascii="Calibri" w:cs="Calibri" w:eastAsia="Calibri" w:hAnsi="Calibri"/>
          <w:sz w:val="22"/>
          <w:szCs w:val="22"/>
        </w:rPr>
        <w:t xml:space="preserve">, системата конвертира автоматично по 1.95583 и пази оригинала (виж §7).</w:t>
      </w:r>
    </w:p>
    <w:tbl>
      <w:tblPr>
        <w:tblW w:type="pct" w:w="100%"/>
        <w:tblBorders>
          <w:top w:val="single" w:color="C9D2DA" w:sz="2"/>
          <w:left w:val="single" w:color="C9D2DA" w:sz="2"/>
          <w:bottom w:val="single" w:color="C9D2DA" w:sz="2"/>
          <w:right w:val="single" w:color="C9D2DA" w:sz="2"/>
          <w:insideH w:val="single" w:color="E2E8EE" w:sz="2"/>
          <w:insideV w:val="single" w:color="E2E8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0B6E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pct" w:w="36%"/>
            <w:shd w:fill="0B6E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Път</w:t>
            </w:r>
          </w:p>
        </w:tc>
        <w:tc>
          <w:tcPr>
            <w:tcW w:type="pct" w:w="52%"/>
            <w:shd w:fill="0B6E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За какво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/api/crm/activity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Find-or-create контакт + активност + follow-up</w:t>
            </w:r>
          </w:p>
        </w:tc>
      </w:tr>
      <w:tr>
        <w:tc>
          <w:tcPr>
            <w:tcW w:type="pct" w:w="1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/api/crm/invoice</w:t>
            </w:r>
          </w:p>
        </w:tc>
        <w:tc>
          <w:tcPr>
            <w:tcW w:type="pct" w:w="5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Фактура/проформа (резолва контакт по имейл)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/api/crm/payment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Записва плащане (доказателство)</w:t>
            </w:r>
          </w:p>
        </w:tc>
      </w:tr>
      <w:tr>
        <w:tc>
          <w:tcPr>
            <w:tcW w:type="pct" w:w="1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/api/crm/match-payment</w:t>
            </w:r>
          </w:p>
        </w:tc>
        <w:tc>
          <w:tcPr>
            <w:tcW w:type="pct" w:w="5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Свързва плащане ↔ фактура (≥2 сигнала)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/api/crm/manual-review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Праща съмнителен случай за човек</w:t>
            </w:r>
          </w:p>
        </w:tc>
      </w:tr>
      <w:tr>
        <w:tc>
          <w:tcPr>
            <w:tcW w:type="pct" w:w="1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/api/crm/recurring-service</w:t>
            </w:r>
          </w:p>
        </w:tc>
        <w:tc>
          <w:tcPr>
            <w:tcW w:type="pct" w:w="5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Абонамент/месечна услуга (вкл. GPS)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/api/crm/expense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Разход към доставчик</w:t>
            </w:r>
          </w:p>
        </w:tc>
      </w:tr>
      <w:tr>
        <w:tc>
          <w:tcPr>
            <w:tcW w:type="pct" w:w="1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/api/crm/document</w:t>
            </w:r>
          </w:p>
        </w:tc>
        <w:tc>
          <w:tcPr>
            <w:tcW w:type="pct" w:w="5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Документ + OCR, авто-свързване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POST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/api/crm/meta-ads-report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Сутрешен Meta анализ</w:t>
            </w:r>
          </w:p>
        </w:tc>
      </w:tr>
      <w:tr>
        <w:tc>
          <w:tcPr>
            <w:tcW w:type="pct" w:w="1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GET</w:t>
            </w:r>
          </w:p>
        </w:tc>
        <w:tc>
          <w:tcPr>
            <w:tcW w:type="pct" w:w="36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/api/crm/accounting-summary</w:t>
            </w:r>
          </w:p>
        </w:tc>
        <w:tc>
          <w:tcPr>
            <w:tcW w:type="pct" w:w="5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Чете: оборот/плащания/разходи/печалба</w:t>
            </w:r>
          </w:p>
        </w:tc>
      </w:tr>
      <w:t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GET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/api/crm/sales-summary</w:t>
            </w:r>
          </w:p>
        </w:tc>
        <w:tc>
          <w:tcPr>
            <w:tcW w:type="pct" w:w="5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Чете: pipeline + follow-up състояние</w:t>
            </w:r>
          </w:p>
        </w:tc>
      </w:tr>
      <w:tr>
        <w:tc>
          <w:tcPr>
            <w:tcW w:type="pct" w:w="1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GET</w:t>
            </w:r>
          </w:p>
        </w:tc>
        <w:tc>
          <w:tcPr>
            <w:tcW w:type="pct" w:w="36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/api/crm/manual-review</w:t>
            </w:r>
          </w:p>
        </w:tc>
        <w:tc>
          <w:tcPr>
            <w:tcW w:type="pct" w:w="5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Чете: активни за проверка (?status=needs_user)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6.1 POST /api/crm/activity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Find-or-create контакт + (по избор) идемпотентна активност + patch на follow-up полета.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Може да подадеш и </w:t>
      </w:r>
      <w:r>
        <w:rPr>
          <w:rFonts w:ascii="Consolas" w:cs="Consolas" w:eastAsia="Consolas" w:hAnsi="Consolas"/>
          <w:sz w:val="20"/>
          <w:szCs w:val="20"/>
        </w:rPr>
        <w:t xml:space="preserve">contact_id</w:t>
      </w:r>
      <w:r>
        <w:rPr>
          <w:rFonts w:ascii="Calibri" w:cs="Calibri" w:eastAsia="Calibri" w:hAnsi="Calibri"/>
          <w:sz w:val="22"/>
          <w:szCs w:val="22"/>
        </w:rPr>
        <w:t xml:space="preserve"> директно вместо email/phone — така се правят </w:t>
      </w:r>
      <w:r>
        <w:rPr>
          <w:rFonts w:ascii="Consolas" w:cs="Consolas" w:eastAsia="Consolas" w:hAnsi="Consolas"/>
          <w:sz w:val="19"/>
          <w:szCs w:val="19"/>
        </w:rPr>
        <w:t xml:space="preserve">set-stage / set-followup / add-note</w:t>
      </w:r>
      <w:r>
        <w:rPr>
          <w:rFonts w:ascii="Calibri" w:cs="Calibri" w:eastAsia="Calibri" w:hAnsi="Calibri"/>
          <w:sz w:val="22"/>
          <w:szCs w:val="22"/>
        </w:rPr>
        <w:t xml:space="preserve"> по известен контакт.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"email": "client@firma.bg",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"full_name": "Иван Иванов",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"activity_type": "email_sent",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"title": "Изпратен имейл: оферта",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"body": "...",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"occurred_at": "2026-06-04T09:00:00Z",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"dedupe_key": "gmail:1899abc",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"followup_status": "sent_offer",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"next_followup_at": "2026-06-07T09:00:00Z",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"mark_heard": false,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"stage": "offer_sent"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spacing w:after="100" w:line="276"/>
      </w:pPr>
      <w:r>
        <w:rPr>
          <w:rFonts w:ascii="Consolas" w:cs="Consolas" w:eastAsia="Consolas" w:hAnsi="Consolas"/>
          <w:sz w:val="20"/>
          <w:szCs w:val="20"/>
        </w:rPr>
        <w:t xml:space="preserve">mark_heard: true</w:t>
      </w:r>
      <w:r>
        <w:rPr>
          <w:rFonts w:ascii="Calibri" w:cs="Calibri" w:eastAsia="Calibri" w:hAnsi="Calibri"/>
          <w:sz w:val="22"/>
          <w:szCs w:val="22"/>
        </w:rPr>
        <w:t xml:space="preserve"> слага </w:t>
      </w:r>
      <w:r>
        <w:rPr>
          <w:rFonts w:ascii="Consolas" w:cs="Consolas" w:eastAsia="Consolas" w:hAnsi="Consolas"/>
          <w:sz w:val="20"/>
          <w:szCs w:val="20"/>
        </w:rPr>
        <w:t xml:space="preserve">last_heard_from_at = now()</w:t>
      </w:r>
      <w:r>
        <w:rPr>
          <w:rFonts w:ascii="Calibri" w:cs="Calibri" w:eastAsia="Calibri" w:hAnsi="Calibri"/>
          <w:sz w:val="22"/>
          <w:szCs w:val="22"/>
        </w:rPr>
        <w:t xml:space="preserve"> и спира контакта да се води просрочен.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→ </w:t>
      </w:r>
      <w:r>
        <w:rPr>
          <w:rFonts w:ascii="Consolas" w:cs="Consolas" w:eastAsia="Consolas" w:hAnsi="Consolas"/>
          <w:color w:val="1E7F43"/>
          <w:sz w:val="18"/>
          <w:szCs w:val="18"/>
        </w:rPr>
        <w:t xml:space="preserve">{ "ok": true, "contact_id": "...", "activity_id": "...", "created": true }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6.2 POST /api/crm/invoice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"client_email": "client@firma.bg",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"client_name": "Фирма ООД",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"invoice_number": "1000000123",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"invoice_type": "invoice",   // invoice|proforma|credit_note|gps_fee|demo_fee|service_fee|other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"issue_date": "2026-06-01",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"due_date": "2026-06-15",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"amount_net": 100, "vat_amount": 20, "amount_gross": 120,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"currency": "EUR",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"service_type": "GPS месечен",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"status": "awaiting_payment",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"source": "gmail_sent",      // manual|gmail_sent|accountant_email|hermes|uploaded_pdf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"source_email_id": "gmail:1899abc",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"source_pdf_name": "factura.pdf"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Резолва </w:t>
      </w:r>
      <w:r>
        <w:rPr>
          <w:rFonts w:ascii="Consolas" w:cs="Consolas" w:eastAsia="Consolas" w:hAnsi="Consolas"/>
          <w:sz w:val="20"/>
          <w:szCs w:val="20"/>
        </w:rPr>
        <w:t xml:space="preserve">contact_id</w:t>
      </w:r>
      <w:r>
        <w:rPr>
          <w:rFonts w:ascii="Calibri" w:cs="Calibri" w:eastAsia="Calibri" w:hAnsi="Calibri"/>
          <w:sz w:val="22"/>
          <w:szCs w:val="22"/>
        </w:rPr>
        <w:t xml:space="preserve"> по </w:t>
      </w:r>
      <w:r>
        <w:rPr>
          <w:rFonts w:ascii="Consolas" w:cs="Consolas" w:eastAsia="Consolas" w:hAnsi="Consolas"/>
          <w:sz w:val="20"/>
          <w:szCs w:val="20"/>
        </w:rPr>
        <w:t xml:space="preserve">client_email</w:t>
      </w:r>
      <w:r>
        <w:rPr>
          <w:rFonts w:ascii="Calibri" w:cs="Calibri" w:eastAsia="Calibri" w:hAnsi="Calibri"/>
          <w:sz w:val="22"/>
          <w:szCs w:val="22"/>
        </w:rPr>
        <w:t xml:space="preserve">. Няма контакт → създава </w:t>
      </w:r>
      <w:r>
        <w:rPr>
          <w:rFonts w:ascii="Consolas" w:cs="Consolas" w:eastAsia="Consolas" w:hAnsi="Consolas"/>
          <w:sz w:val="20"/>
          <w:szCs w:val="20"/>
        </w:rPr>
        <w:t xml:space="preserve">missing_contact</w:t>
      </w:r>
      <w:r>
        <w:rPr>
          <w:rFonts w:ascii="Calibri" w:cs="Calibri" w:eastAsia="Calibri" w:hAnsi="Calibri"/>
          <w:sz w:val="22"/>
          <w:szCs w:val="22"/>
        </w:rPr>
        <w:t xml:space="preserve"> за ръчно свързване.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6.3 POST /api/crm/payment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Записва плащане. НЕ маркира фактура като платена — за това е </w:t>
      </w:r>
      <w:r>
        <w:rPr>
          <w:rFonts w:ascii="Consolas" w:cs="Consolas" w:eastAsia="Consolas" w:hAnsi="Consolas"/>
          <w:sz w:val="20"/>
          <w:szCs w:val="20"/>
        </w:rPr>
        <w:t xml:space="preserve">/match-payment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"amount": 120, "currency": "EUR",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"paid_at": "2026-06-05T12:00:00Z",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"counterparty_name": "ФИРМА ООД",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"payment_reference_redacted": "...1234",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"bank_statement_file": "izvlechenie-2026-06.pdf",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"source": "bank_statement",  // bank_statement|payment_email|manual|hermes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"source_email_id": "gmail:18aa",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"invoice_id": null, "contact_id": null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6.4 POST /api/crm/match-payment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B42318"/>
          <w:sz w:val="22"/>
          <w:szCs w:val="22"/>
        </w:rPr>
        <w:t xml:space="preserve">Правило за сигурност</w:t>
      </w:r>
      <w:r>
        <w:rPr>
          <w:rFonts w:ascii="Calibri" w:cs="Calibri" w:eastAsia="Calibri" w:hAnsi="Calibri"/>
          <w:sz w:val="22"/>
          <w:szCs w:val="22"/>
        </w:rPr>
        <w:t xml:space="preserve">: никога не маркира фактура платена само по сума — нужни са ≥2 независими сигнала И точно 1 кандидат-фактура, иначе → ръчна проверка.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"payment_id": "&lt;uuid&gt;",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"invoice_id": "&lt;uuid&gt;",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"signals": 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  "name_match": true,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  "invoice_number_match": true,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  "exact_amount_match": true,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  "description_match": false,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  "contact_match": true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"candidate_invoice_count": 1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→ auto-match: </w:t>
      </w:r>
      <w:r>
        <w:rPr>
          <w:rFonts w:ascii="Consolas" w:cs="Consolas" w:eastAsia="Consolas" w:hAnsi="Consolas"/>
          <w:color w:val="1E7F43"/>
          <w:sz w:val="18"/>
          <w:szCs w:val="18"/>
        </w:rPr>
        <w:t xml:space="preserve">{ "decision": "auto_match", "confidence": "high", "invoice_status": "paid" }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→ иначе: </w:t>
      </w:r>
      <w:r>
        <w:rPr>
          <w:rFonts w:ascii="Consolas" w:cs="Consolas" w:eastAsia="Consolas" w:hAnsi="Consolas"/>
          <w:color w:val="B42318"/>
          <w:sz w:val="18"/>
          <w:szCs w:val="18"/>
        </w:rPr>
        <w:t xml:space="preserve">{ "decision": "manual_review", "blockers": ["amount_only"], "manual_review_id": "..." }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6.5 POST /api/crm/manual-review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"type": "payment_match",   // invoice_match|payment_match|missing_contact|ambiguous_pdf|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                           // email_parse_error|bank_statement_error|duplicate_invoice|recurring_billing_issue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"title": "Неясно плащане 240 EUR",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"description": "...",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"related_contact_id": null, "related_invoice_id": null, "related_payment_id": null,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"severity": "medium"       // low|medium|high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Жизнен цикъл на статуса: </w:t>
      </w:r>
      <w:r>
        <w:rPr>
          <w:rFonts w:ascii="Consolas" w:cs="Consolas" w:eastAsia="Consolas" w:hAnsi="Consolas"/>
          <w:sz w:val="19"/>
          <w:szCs w:val="19"/>
        </w:rPr>
        <w:t xml:space="preserve">open → needs_user</w:t>
      </w:r>
      <w:r>
        <w:rPr>
          <w:rFonts w:ascii="Calibri" w:cs="Calibri" w:eastAsia="Calibri" w:hAnsi="Calibri"/>
          <w:sz w:val="22"/>
          <w:szCs w:val="22"/>
        </w:rPr>
        <w:t xml:space="preserve"> (чака решение от Ивайло) или </w:t>
      </w:r>
      <w:r>
        <w:rPr>
          <w:rFonts w:ascii="Consolas" w:cs="Consolas" w:eastAsia="Consolas" w:hAnsi="Consolas"/>
          <w:sz w:val="19"/>
          <w:szCs w:val="19"/>
        </w:rPr>
        <w:t xml:space="preserve">blocked</w:t>
      </w:r>
      <w:r>
        <w:rPr>
          <w:rFonts w:ascii="Calibri" w:cs="Calibri" w:eastAsia="Calibri" w:hAnsi="Calibri"/>
          <w:sz w:val="22"/>
          <w:szCs w:val="22"/>
        </w:rPr>
        <w:t xml:space="preserve"> (спънка) → </w:t>
      </w:r>
      <w:r>
        <w:rPr>
          <w:rFonts w:ascii="Consolas" w:cs="Consolas" w:eastAsia="Consolas" w:hAnsi="Consolas"/>
          <w:sz w:val="19"/>
          <w:szCs w:val="19"/>
        </w:rPr>
        <w:t xml:space="preserve">resolved / ignored</w:t>
      </w:r>
      <w:r>
        <w:rPr>
          <w:rFonts w:ascii="Calibri" w:cs="Calibri" w:eastAsia="Calibri" w:hAnsi="Calibri"/>
          <w:sz w:val="22"/>
          <w:szCs w:val="22"/>
        </w:rPr>
        <w:t xml:space="preserve">. Дедуп: не създава втори активен елемент (open/needs_user/blocked) за същия проблем.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Дневен преглед (само четене): </w:t>
      </w:r>
      <w:r>
        <w:rPr>
          <w:rFonts w:ascii="Consolas" w:cs="Consolas" w:eastAsia="Consolas" w:hAnsi="Consolas"/>
          <w:sz w:val="19"/>
          <w:szCs w:val="19"/>
        </w:rPr>
        <w:t xml:space="preserve">GET /api/crm/manual-review?status=needs_user</w:t>
      </w:r>
      <w:r>
        <w:rPr>
          <w:rFonts w:ascii="Calibri" w:cs="Calibri" w:eastAsia="Calibri" w:hAnsi="Calibri"/>
          <w:sz w:val="22"/>
          <w:szCs w:val="22"/>
        </w:rPr>
        <w:t xml:space="preserve"> — връща активните за проверка със заглавия (без сурово описание), с </w:t>
      </w:r>
      <w:r>
        <w:rPr>
          <w:rFonts w:ascii="Consolas" w:cs="Consolas" w:eastAsia="Consolas" w:hAnsi="Consolas"/>
          <w:sz w:val="19"/>
          <w:szCs w:val="19"/>
        </w:rPr>
        <w:t xml:space="preserve">limit/offset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6.6 POST /api/crm/recurring-service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"contact_id": "&lt;uuid&gt;",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"service_type": "gps",     // gps|crm|automation|hosting|maintenance|ads|other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"amount": 30, "currency": "EUR",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"billing_period": "monthly", "billing_day": 1,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"active": true,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"excluded_from_auto_send": false,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"excluded_reason": null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Borima Trans (край след май 2026): </w:t>
      </w:r>
      <w:r>
        <w:rPr>
          <w:rFonts w:ascii="Consolas" w:cs="Consolas" w:eastAsia="Consolas" w:hAnsi="Consolas"/>
          <w:sz w:val="19"/>
          <w:szCs w:val="19"/>
        </w:rPr>
        <w:t xml:space="preserve">active:false, excluded_from_auto_send:true</w:t>
      </w:r>
      <w:r>
        <w:rPr>
          <w:rFonts w:ascii="Calibri" w:cs="Calibri" w:eastAsia="Calibri" w:hAnsi="Calibri"/>
          <w:sz w:val="22"/>
          <w:szCs w:val="22"/>
        </w:rPr>
        <w:t xml:space="preserve"> — спира бъдещи GPS фактури, историята остава.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6.7 POST /api/crm/expense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"supplier_name": "Кръстьо счетоводител",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"category": "accountant",  // accountant|hosting|ads|gps_hardware|software|office|salary|tax|bank_fee|other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"invoice_number": "...",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"amount_net": 100, "vat_amount": 20, "amount_gross": 120,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"currency": "EUR",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"expense_date": "2026-06-01", "due_date": "2026-06-15",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"status": "unpaid",        // unpaid|paid|partially_paid|cancelled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"source": "accountant_email", "source_email_id": "gmail:...", "contact_id": null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6.8 POST /api/crm/document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Документ (PDF/снимка/талон/извлечение) + OCR; свързва се към контакт/фактура/плащане/разход. Несвързаните → ръчна проверка.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"doc_type": "invoice",     // invoice|proforma|receipt|bank_statement|contract|photo|gps_protocol|other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"title": "Фактура 1000123", "file_name": "factura.pdf",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"storage_path": "crm-documents/...",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"ocr_text": "извлечен текст…",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"extracted": { "invoice_number": "1000123", "amount_gross": 120 },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"match_confidence": "high", // low|medium|high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"client_email": "client@firma.bg",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"invoice_id": null, "payment_id": null, "expense_id": null,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"source": "hermes", "source_email_id": "gmail:..."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6.9 POST /api/crm/meta-ads-report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Сутрешният анализ на рекламите. Upsert по </w:t>
      </w:r>
      <w:r>
        <w:rPr>
          <w:rFonts w:ascii="Consolas" w:cs="Consolas" w:eastAsia="Consolas" w:hAnsi="Consolas"/>
          <w:sz w:val="20"/>
          <w:szCs w:val="20"/>
        </w:rPr>
        <w:t xml:space="preserve">(report_date, campaign)</w:t>
      </w:r>
      <w:r>
        <w:rPr>
          <w:rFonts w:ascii="Calibri" w:cs="Calibri" w:eastAsia="Calibri" w:hAnsi="Calibri"/>
          <w:sz w:val="22"/>
          <w:szCs w:val="22"/>
        </w:rPr>
        <w:t xml:space="preserve">. CPL се смята авто от spend/leads, ако липсва.</w:t>
      </w:r>
    </w:p>
    <w:p>
      <w:pPr>
        <w:pBdr>
          <w:top w:val="single" w:color="D7DEE5" w:sz="4"/>
          <w:bottom w:val="single" w:color="D7DEE5" w:sz="4"/>
          <w:left w:val="single" w:color="0B6E99" w:sz="12"/>
          <w:right w:val="single" w:color="D7DEE5" w:sz="4"/>
        </w:pBdr>
        <w:shd w:fill="F3F5F7" w:color="auto" w:val="clear"/>
        <w:spacing w:after="140" w:before="60"/>
      </w:pPr>
      <w:r>
        <w:rPr>
          <w:rFonts w:ascii="Consolas" w:cs="Consolas" w:eastAsia="Consolas" w:hAnsi="Consolas"/>
          <w:color w:val="1B2733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"report_date": "2026-06-04", "campaign": "Лийдове · Юни",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"spend": 100, "leads": 20, "cpl": 5,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"impressions": 12000, "clicks": 240, "ctr": 2.0, "currency": "EUR",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  "quality_notes": "…", "recommendations": "…", "raw": {}, "source": "hermes"</w:t>
      </w:r>
      <w:r>
        <w:br/>
      </w:r>
      <w:r>
        <w:rPr>
          <w:rFonts w:ascii="Consolas" w:cs="Consolas" w:eastAsia="Consolas" w:hAnsi="Consolas"/>
          <w:color w:val="1B2733"/>
          <w:sz w:val="18"/>
          <w:szCs w:val="18"/>
        </w:rPr>
        <w:t xml:space="preserve">}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6.10 GET accounting-summary · GET sales-summary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Само четат (Bearer). </w:t>
      </w:r>
      <w:r>
        <w:rPr>
          <w:rFonts w:ascii="Consolas" w:cs="Consolas" w:eastAsia="Consolas" w:hAnsi="Consolas"/>
          <w:sz w:val="20"/>
          <w:szCs w:val="20"/>
        </w:rPr>
        <w:t xml:space="preserve">accounting-summary</w:t>
      </w:r>
      <w:r>
        <w:rPr>
          <w:rFonts w:ascii="Calibri" w:cs="Calibri" w:eastAsia="Calibri" w:hAnsi="Calibri"/>
          <w:sz w:val="22"/>
          <w:szCs w:val="22"/>
        </w:rPr>
        <w:t xml:space="preserve">: оборот/плащания/разходи/печалба/неплатени за текущия месец. </w:t>
      </w:r>
      <w:r>
        <w:rPr>
          <w:rFonts w:ascii="Consolas" w:cs="Consolas" w:eastAsia="Consolas" w:hAnsi="Consolas"/>
          <w:sz w:val="20"/>
          <w:szCs w:val="20"/>
        </w:rPr>
        <w:t xml:space="preserve">sales-summary</w:t>
      </w:r>
      <w:r>
        <w:rPr>
          <w:rFonts w:ascii="Calibri" w:cs="Calibri" w:eastAsia="Calibri" w:hAnsi="Calibri"/>
          <w:sz w:val="22"/>
          <w:szCs w:val="22"/>
        </w:rPr>
        <w:t xml:space="preserve">: pipeline + follow-up състояние.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7. Пари и валута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Валута по подразбиране е </w:t>
      </w:r>
      <w:r>
        <w:rPr>
          <w:rFonts w:ascii="Calibri" w:cs="Calibri" w:eastAsia="Calibri" w:hAnsi="Calibri"/>
          <w:b/>
          <w:bCs/>
          <w:color w:val="1E7F43"/>
          <w:sz w:val="22"/>
          <w:szCs w:val="22"/>
        </w:rPr>
        <w:t xml:space="preserve">EUR</w:t>
      </w:r>
      <w:r>
        <w:rPr>
          <w:rFonts w:ascii="Calibri" w:cs="Calibri" w:eastAsia="Calibri" w:hAnsi="Calibri"/>
          <w:sz w:val="22"/>
          <w:szCs w:val="22"/>
        </w:rPr>
        <w:t xml:space="preserve"> навсякъде — фактури, плащания, разходи, абонаменти, GPS, Meta.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Винаги подавай </w:t>
      </w:r>
      <w:r>
        <w:rPr>
          <w:rFonts w:ascii="Consolas" w:cs="Consolas" w:eastAsia="Consolas" w:hAnsi="Consolas"/>
          <w:sz w:val="20"/>
          <w:szCs w:val="20"/>
        </w:rPr>
        <w:t xml:space="preserve">amount_gross</w:t>
      </w:r>
      <w:r>
        <w:rPr>
          <w:rFonts w:ascii="Calibri" w:cs="Calibri" w:eastAsia="Calibri" w:hAnsi="Calibri"/>
          <w:sz w:val="22"/>
          <w:szCs w:val="22"/>
        </w:rPr>
        <w:t xml:space="preserve"> (с ДДС). </w:t>
      </w:r>
      <w:r>
        <w:rPr>
          <w:rFonts w:ascii="Consolas" w:cs="Consolas" w:eastAsia="Consolas" w:hAnsi="Consolas"/>
          <w:sz w:val="20"/>
          <w:szCs w:val="20"/>
        </w:rPr>
        <w:t xml:space="preserve">amount_net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vat_amount</w:t>
      </w:r>
      <w:r>
        <w:rPr>
          <w:rFonts w:ascii="Calibri" w:cs="Calibri" w:eastAsia="Calibri" w:hAnsi="Calibri"/>
          <w:sz w:val="22"/>
          <w:szCs w:val="22"/>
        </w:rPr>
        <w:t xml:space="preserve"> са по избор.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BGN → EUR по </w:t>
      </w:r>
      <w:r>
        <w:rPr>
          <w:rFonts w:ascii="Calibri" w:cs="Calibri" w:eastAsia="Calibri" w:hAnsi="Calibri"/>
          <w:b/>
          <w:bCs/>
          <w:color w:val="0B6E99"/>
          <w:sz w:val="22"/>
          <w:szCs w:val="22"/>
        </w:rPr>
        <w:t xml:space="preserve">фиксиран курс 1 EUR = 1.95583 BGN</w:t>
      </w:r>
      <w:r>
        <w:rPr>
          <w:rFonts w:ascii="Calibri" w:cs="Calibri" w:eastAsia="Calibri" w:hAnsi="Calibri"/>
          <w:sz w:val="22"/>
          <w:szCs w:val="22"/>
        </w:rPr>
        <w:t xml:space="preserve"> (официалният паритет). Не ползвай дневни курсове.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Оригиналът се пази автоматично</w:t>
      </w:r>
      <w:r>
        <w:rPr>
          <w:rFonts w:ascii="Calibri" w:cs="Calibri" w:eastAsia="Calibri" w:hAnsi="Calibri"/>
          <w:sz w:val="22"/>
          <w:szCs w:val="22"/>
        </w:rPr>
        <w:t xml:space="preserve"> — фактури/плащания/разходи имат полета </w:t>
      </w:r>
      <w:r>
        <w:rPr>
          <w:rFonts w:ascii="Consolas" w:cs="Consolas" w:eastAsia="Consolas" w:hAnsi="Consolas"/>
          <w:sz w:val="19"/>
          <w:szCs w:val="19"/>
        </w:rPr>
        <w:t xml:space="preserve">original_amount, original_currency, fx_rate, fx_source</w:t>
      </w:r>
      <w:r>
        <w:rPr>
          <w:rFonts w:ascii="Calibri" w:cs="Calibri" w:eastAsia="Calibri" w:hAnsi="Calibri"/>
          <w:sz w:val="22"/>
          <w:szCs w:val="22"/>
        </w:rPr>
        <w:t xml:space="preserve">. Нищо от документа не се губи.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За валута извън EUR/BGN</w:t>
      </w:r>
      <w:r>
        <w:rPr>
          <w:rFonts w:ascii="Calibri" w:cs="Calibri" w:eastAsia="Calibri" w:hAnsi="Calibri"/>
          <w:sz w:val="22"/>
          <w:szCs w:val="22"/>
        </w:rPr>
        <w:t xml:space="preserve"> подай </w:t>
      </w:r>
      <w:r>
        <w:rPr>
          <w:rFonts w:ascii="Consolas" w:cs="Consolas" w:eastAsia="Consolas" w:hAnsi="Consolas"/>
          <w:sz w:val="20"/>
          <w:szCs w:val="20"/>
        </w:rPr>
        <w:t xml:space="preserve">fx_rate</w:t>
      </w:r>
      <w:r>
        <w:rPr>
          <w:rFonts w:ascii="Calibri" w:cs="Calibri" w:eastAsia="Calibri" w:hAnsi="Calibri"/>
          <w:sz w:val="22"/>
          <w:szCs w:val="22"/>
        </w:rPr>
        <w:t xml:space="preserve"> (единици от валутата за 1 EUR); иначе сумата се пази непреобразувана и се маркира за проверка.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8. Имейли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Welcome имейлите се пращат от ПРИЛОЖЕНИЕТО</w:t>
      </w:r>
      <w:r>
        <w:rPr>
          <w:rFonts w:ascii="Calibri" w:cs="Calibri" w:eastAsia="Calibri" w:hAnsi="Calibri"/>
          <w:sz w:val="22"/>
          <w:szCs w:val="22"/>
        </w:rPr>
        <w:t xml:space="preserve"> (Resend, от </w:t>
      </w:r>
      <w:r>
        <w:rPr>
          <w:rFonts w:ascii="Consolas" w:cs="Consolas" w:eastAsia="Consolas" w:hAnsi="Consolas"/>
          <w:sz w:val="20"/>
          <w:szCs w:val="20"/>
        </w:rPr>
        <w:t xml:space="preserve">ivailo@promarketing.pw</w:t>
      </w:r>
      <w:r>
        <w:rPr>
          <w:rFonts w:ascii="Calibri" w:cs="Calibri" w:eastAsia="Calibri" w:hAnsi="Calibri"/>
          <w:sz w:val="22"/>
          <w:szCs w:val="22"/>
        </w:rPr>
        <w:t xml:space="preserve">, reply-to </w:t>
      </w:r>
      <w:r>
        <w:rPr>
          <w:rFonts w:ascii="Consolas" w:cs="Consolas" w:eastAsia="Consolas" w:hAnsi="Consolas"/>
          <w:sz w:val="20"/>
          <w:szCs w:val="20"/>
        </w:rPr>
        <w:t xml:space="preserve">ivailopetev38@gmail.com</w:t>
      </w:r>
      <w:r>
        <w:rPr>
          <w:rFonts w:ascii="Calibri" w:cs="Calibri" w:eastAsia="Calibri" w:hAnsi="Calibri"/>
          <w:sz w:val="22"/>
          <w:szCs w:val="22"/>
        </w:rPr>
        <w:t xml:space="preserve">) за нови лийдове от Meta и сайта. Hermes стои настрана.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Нов имейл шаблон / кампания</w:t>
      </w:r>
      <w:r>
        <w:rPr>
          <w:rFonts w:ascii="Calibri" w:cs="Calibri" w:eastAsia="Calibri" w:hAnsi="Calibri"/>
          <w:sz w:val="22"/>
          <w:szCs w:val="22"/>
        </w:rPr>
        <w:t xml:space="preserve">: първо preview към </w:t>
      </w:r>
      <w:r>
        <w:rPr>
          <w:rFonts w:ascii="Consolas" w:cs="Consolas" w:eastAsia="Consolas" w:hAnsi="Consolas"/>
          <w:sz w:val="20"/>
          <w:szCs w:val="20"/>
        </w:rPr>
        <w:t xml:space="preserve">ivailopetev38@gmail.com</w:t>
      </w:r>
      <w:r>
        <w:rPr>
          <w:rFonts w:ascii="Calibri" w:cs="Calibri" w:eastAsia="Calibri" w:hAnsi="Calibri"/>
          <w:sz w:val="22"/>
          <w:szCs w:val="22"/>
        </w:rPr>
        <w:t xml:space="preserve">, чакай „да“, чак тогава към реален получател.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Hermes записва изпратените имейли като активност (</w:t>
      </w:r>
      <w:r>
        <w:rPr>
          <w:rFonts w:ascii="Consolas" w:cs="Consolas" w:eastAsia="Consolas" w:hAnsi="Consolas"/>
          <w:sz w:val="20"/>
          <w:szCs w:val="20"/>
        </w:rPr>
        <w:t xml:space="preserve">activity_type: email_sent</w:t>
      </w:r>
      <w:r>
        <w:rPr>
          <w:rFonts w:ascii="Calibri" w:cs="Calibri" w:eastAsia="Calibri" w:hAnsi="Calibri"/>
          <w:sz w:val="22"/>
          <w:szCs w:val="22"/>
        </w:rPr>
        <w:t xml:space="preserve">) с </w:t>
      </w:r>
      <w:r>
        <w:rPr>
          <w:rFonts w:ascii="Consolas" w:cs="Consolas" w:eastAsia="Consolas" w:hAnsi="Consolas"/>
          <w:sz w:val="20"/>
          <w:szCs w:val="20"/>
        </w:rPr>
        <w:t xml:space="preserve">dedupe_key</w:t>
      </w:r>
      <w:r>
        <w:rPr>
          <w:rFonts w:ascii="Calibri" w:cs="Calibri" w:eastAsia="Calibri" w:hAnsi="Calibri"/>
          <w:sz w:val="22"/>
          <w:szCs w:val="22"/>
        </w:rPr>
        <w:t xml:space="preserve">, за да са видими в профила.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Технически интерлок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/api/email/send</w:t>
      </w:r>
      <w:r>
        <w:rPr>
          <w:rFonts w:ascii="Calibri" w:cs="Calibri" w:eastAsia="Calibri" w:hAnsi="Calibri"/>
          <w:sz w:val="22"/>
          <w:szCs w:val="22"/>
        </w:rPr>
        <w:t xml:space="preserve"> с токен към НЕ-собственик изисква </w:t>
      </w:r>
      <w:r>
        <w:rPr>
          <w:rFonts w:ascii="Consolas" w:cs="Consolas" w:eastAsia="Consolas" w:hAnsi="Consolas"/>
          <w:sz w:val="19"/>
          <w:szCs w:val="19"/>
        </w:rPr>
        <w:t xml:space="preserve">approved:true</w:t>
      </w:r>
      <w:r>
        <w:rPr>
          <w:rFonts w:ascii="Calibri" w:cs="Calibri" w:eastAsia="Calibri" w:hAnsi="Calibri"/>
          <w:sz w:val="22"/>
          <w:szCs w:val="22"/>
        </w:rPr>
        <w:t xml:space="preserve">. Preview към собственика е свободно; welcome авто-имейлите ползват отделен път.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9. Ритъм на автоматизациите</w:t>
      </w:r>
    </w:p>
    <w:tbl>
      <w:tblPr>
        <w:tblW w:type="pct" w:w="100%"/>
        <w:tblBorders>
          <w:top w:val="single" w:color="C9D2DA" w:sz="2"/>
          <w:left w:val="single" w:color="C9D2DA" w:sz="2"/>
          <w:bottom w:val="single" w:color="C9D2DA" w:sz="2"/>
          <w:right w:val="single" w:color="C9D2DA" w:sz="2"/>
          <w:insideH w:val="single" w:color="E2E8EE" w:sz="2"/>
          <w:insideV w:val="single" w:color="E2E8EE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B6E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Кога</w:t>
            </w:r>
          </w:p>
        </w:tc>
        <w:tc>
          <w:tcPr>
            <w:tcW w:type="pct" w:w="48%"/>
            <w:shd w:fill="0B6E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Какво</w:t>
            </w:r>
          </w:p>
        </w:tc>
        <w:tc>
          <w:tcPr>
            <w:tcW w:type="pct" w:w="30%"/>
            <w:shd w:fill="0B6E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на всеки 15 мин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Gmail → CRM монитор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/activity</w:t>
            </w:r>
          </w:p>
        </w:tc>
      </w:tr>
      <w:tr>
        <w:tc>
          <w:tcPr>
            <w:tcW w:type="pct" w:w="2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на всеки 2 ч</w:t>
            </w:r>
          </w:p>
        </w:tc>
        <w:tc>
          <w:tcPr>
            <w:tcW w:type="pct" w:w="48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Фактури/плащания ledger</w:t>
            </w:r>
          </w:p>
        </w:tc>
        <w:tc>
          <w:tcPr>
            <w:tcW w:type="pct" w:w="3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/invoice, /payment, /match-payment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1–5 число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Месечни банкови извлечения към счетоводител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(имейл)</w:t>
            </w:r>
          </w:p>
        </w:tc>
      </w:tr>
      <w:tr>
        <w:tc>
          <w:tcPr>
            <w:tcW w:type="pct" w:w="2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1–7 число</w:t>
            </w:r>
          </w:p>
        </w:tc>
        <w:tc>
          <w:tcPr>
            <w:tcW w:type="pct" w:w="48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Месечни GPS фактури (без excluded)</w:t>
            </w:r>
          </w:p>
        </w:tc>
        <w:tc>
          <w:tcPr>
            <w:tcW w:type="pct" w:w="3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/invoice (gps_fee)</w:t>
            </w:r>
          </w:p>
        </w:tc>
      </w:tr>
      <w:t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1–8 число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Реконсилиация от извлечения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/payment + /match-payment</w:t>
            </w:r>
          </w:p>
        </w:tc>
      </w:tr>
      <w:tr>
        <w:tc>
          <w:tcPr>
            <w:tcW w:type="pct" w:w="22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всяка сутрин</w:t>
            </w:r>
          </w:p>
        </w:tc>
        <w:tc>
          <w:tcPr>
            <w:tcW w:type="pct" w:w="48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Meta анализ</w:t>
            </w:r>
          </w:p>
        </w:tc>
        <w:tc>
          <w:tcPr>
            <w:tcW w:type="pct" w:w="30%"/>
            <w:shd w:fill="F7F9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2733"/>
                <w:sz w:val="19"/>
                <w:szCs w:val="19"/>
              </w:rPr>
              <w:t xml:space="preserve">/meta-ads-report</w:t>
            </w:r>
          </w:p>
        </w:tc>
      </w:tr>
    </w:tbl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10. GPS модул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Устройствата и събитията (монтаж/демонтаж/преместване) се водят в админ панела „GPS устройства“. За Hermes са важни две неща: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Месечни GPS такси</w:t>
      </w:r>
      <w:r>
        <w:rPr>
          <w:rFonts w:ascii="Calibri" w:cs="Calibri" w:eastAsia="Calibri" w:hAnsi="Calibri"/>
          <w:sz w:val="22"/>
          <w:szCs w:val="22"/>
        </w:rPr>
        <w:t xml:space="preserve"> се фактурират през </w:t>
      </w:r>
      <w:r>
        <w:rPr>
          <w:rFonts w:ascii="Consolas" w:cs="Consolas" w:eastAsia="Consolas" w:hAnsi="Consolas"/>
          <w:sz w:val="20"/>
          <w:szCs w:val="20"/>
        </w:rPr>
        <w:t xml:space="preserve">/invoice</w:t>
      </w:r>
      <w:r>
        <w:rPr>
          <w:rFonts w:ascii="Calibri" w:cs="Calibri" w:eastAsia="Calibri" w:hAnsi="Calibri"/>
          <w:sz w:val="22"/>
          <w:szCs w:val="22"/>
        </w:rPr>
        <w:t xml:space="preserve"> с </w:t>
      </w:r>
      <w:r>
        <w:rPr>
          <w:rFonts w:ascii="Consolas" w:cs="Consolas" w:eastAsia="Consolas" w:hAnsi="Consolas"/>
          <w:sz w:val="20"/>
          <w:szCs w:val="20"/>
        </w:rPr>
        <w:t xml:space="preserve">invoice_type: "gps_fee"</w:t>
      </w:r>
      <w:r>
        <w:rPr>
          <w:rFonts w:ascii="Calibri" w:cs="Calibri" w:eastAsia="Calibri" w:hAnsi="Calibri"/>
          <w:sz w:val="22"/>
          <w:szCs w:val="22"/>
        </w:rPr>
        <w:t xml:space="preserve"> — само за активни, не-изключени клиенти.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Изключени клиенти</w:t>
      </w:r>
      <w:r>
        <w:rPr>
          <w:rFonts w:ascii="Calibri" w:cs="Calibri" w:eastAsia="Calibri" w:hAnsi="Calibri"/>
          <w:sz w:val="22"/>
          <w:szCs w:val="22"/>
        </w:rPr>
        <w:t xml:space="preserve"> (напр. Borima Trans, </w:t>
      </w:r>
      <w:r>
        <w:rPr>
          <w:rFonts w:ascii="Consolas" w:cs="Consolas" w:eastAsia="Consolas" w:hAnsi="Consolas"/>
          <w:sz w:val="20"/>
          <w:szCs w:val="20"/>
        </w:rPr>
        <w:t xml:space="preserve">excluded_from_auto_send=true</w:t>
      </w:r>
      <w:r>
        <w:rPr>
          <w:rFonts w:ascii="Calibri" w:cs="Calibri" w:eastAsia="Calibri" w:hAnsi="Calibri"/>
          <w:sz w:val="22"/>
          <w:szCs w:val="22"/>
        </w:rPr>
        <w:t xml:space="preserve">) НЕ получават нови GPS фактури. Историята им остава непокътната.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11. Когато нещо се обърка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Грешка от endpoint (4xx/5xx)</w:t>
      </w:r>
      <w:r>
        <w:rPr>
          <w:rFonts w:ascii="Calibri" w:cs="Calibri" w:eastAsia="Calibri" w:hAnsi="Calibri"/>
          <w:sz w:val="22"/>
          <w:szCs w:val="22"/>
        </w:rPr>
        <w:t xml:space="preserve"> → логни локално (без тайни), опитай по-късно. Не заобикаляй през директен достъп до базата.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Несигурно съвпадение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/manual-review</w:t>
      </w:r>
      <w:r>
        <w:rPr>
          <w:rFonts w:ascii="Calibri" w:cs="Calibri" w:eastAsia="Calibri" w:hAnsi="Calibri"/>
          <w:sz w:val="22"/>
          <w:szCs w:val="22"/>
        </w:rPr>
        <w:t xml:space="preserve">, остави човек да реши.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Не си сигурен дали действие е безопасно</w:t>
      </w:r>
      <w:r>
        <w:rPr>
          <w:rFonts w:ascii="Calibri" w:cs="Calibri" w:eastAsia="Calibri" w:hAnsi="Calibri"/>
          <w:sz w:val="22"/>
          <w:szCs w:val="22"/>
        </w:rPr>
        <w:t xml:space="preserve"> → не го прави; питай Ивайло.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Без безкрайни повторения</w:t>
      </w:r>
      <w:r>
        <w:rPr>
          <w:rFonts w:ascii="Calibri" w:cs="Calibri" w:eastAsia="Calibri" w:hAnsi="Calibri"/>
          <w:sz w:val="22"/>
          <w:szCs w:val="22"/>
        </w:rPr>
        <w:t xml:space="preserve"> — ако нещо се проваля многократно, спри и известѝ.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12. Контролен списък за поддръжка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Всеки ден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Нови имейли → активности; нови фактури/плащания въведени.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Meta анализ изпратен сутринта.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Ръчна проверка: има ли натрупани отворени случаи?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Всяка седмица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Реконсилиация: всички плащания вързани към фактури или в ръчна проверка.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Без дубликати контакти/фактури (дедуп ключовете работят).</w:t>
      </w:r>
    </w:p>
    <w:p>
      <w:pPr>
        <w:pStyle w:val="Heading2"/>
        <w:spacing w:after="80" w:before="220"/>
      </w:pPr>
      <w:r>
        <w:rPr>
          <w:rFonts w:ascii="Calibri" w:cs="Calibri" w:eastAsia="Calibri" w:hAnsi="Calibri"/>
          <w:b/>
          <w:bCs/>
          <w:color w:val="0F1A2B"/>
          <w:sz w:val="26"/>
          <w:szCs w:val="26"/>
        </w:rPr>
        <w:t xml:space="preserve">Всеки месец (1–8 число)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GPS/абонаментни фактури издадени (без изключени клиенти).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Банкови извлечения към счетоводител.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rFonts w:ascii="Calibri" w:cs="Calibri" w:eastAsia="Calibri" w:hAnsi="Calibri"/>
          <w:sz w:val="22"/>
          <w:szCs w:val="22"/>
        </w:rPr>
        <w:t xml:space="preserve">Преглед на оборот/печалба през </w:t>
      </w:r>
      <w:r>
        <w:rPr>
          <w:rFonts w:ascii="Consolas" w:cs="Consolas" w:eastAsia="Consolas" w:hAnsi="Consolas"/>
          <w:sz w:val="20"/>
          <w:szCs w:val="20"/>
        </w:rPr>
        <w:t xml:space="preserve">accounting-summary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B6E99"/>
          <w:sz w:val="32"/>
          <w:szCs w:val="32"/>
        </w:rPr>
        <w:t xml:space="preserve">13. Накратко (закачи на стената)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Чети → структурирай → пиши само през API с идемпотентен ключ → при съмнение в ръчна проверка → всичко в EUR → не пращай имейли без одобрение → не пипай база/код/деплой.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473"/>
        <w:sz w:val="16"/>
        <w:szCs w:val="16"/>
      </w:rPr>
      <w:t xml:space="preserve">ProMarketing LTD · Хермес инструкции · стр. </w:t>
    </w:r>
    <w:r>
      <w:rPr>
        <w:rFonts w:ascii="Calibri" w:cs="Calibri" w:eastAsia="Calibri" w:hAnsi="Calibri"/>
        <w:color w:val="5A64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0B6E9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rPr>
        <w:b/>
        <w:bCs/>
        <w:color w:val="B423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Хермес — пълни инструкции</dc:title>
  <dc:creator>ProMarketing LTD</dc:creator>
  <dc:description>Оперативен наръчник за Hermes (CRM на ProMarketing)</dc:description>
  <cp:lastModifiedBy>Un-named</cp:lastModifiedBy>
  <cp:revision>1</cp:revision>
  <dcterms:created xsi:type="dcterms:W3CDTF">2026-06-04T14:52:20.923Z</dcterms:created>
  <dcterms:modified xsi:type="dcterms:W3CDTF">2026-06-04T14:52:20.924Z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