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left"/>
      </w:pPr>
      <w:r>
        <w:rPr>
          <w:rFonts w:ascii="맑은 고딕" w:cs="맑은 고딕" w:eastAsia="맑은 고딕" w:hAnsi="맑은 고딕"/>
          <w:b/>
          <w:bCs/>
          <w:color w:val="1F3A5F"/>
          <w:sz w:val="56"/>
          <w:szCs w:val="56"/>
        </w:rPr>
        <w:t xml:space="preserve">반응형외피</w:t>
      </w:r>
    </w:p>
    <w:p>
      <w:pPr>
        <w:spacing w:after="600"/>
      </w:pPr>
      <w:r>
        <w:rPr>
          <w:rFonts w:ascii="맑은 고딕" w:cs="맑은 고딕" w:eastAsia="맑은 고딕" w:hAnsi="맑은 고딕"/>
          <w:sz w:val="30"/>
          <w:szCs w:val="30"/>
        </w:rPr>
        <w:t xml:space="preserve">친환경 · 에너지 절약형 건물을 위한 외부 반응형 루버 제안 보고서</w:t>
      </w:r>
    </w:p>
    <w:p>
      <w:pPr>
        <w:spacing w:after="100" w:line="300"/>
      </w:pPr>
      <w:r>
        <w:rPr>
          <w:rFonts w:ascii="맑은 고딕" w:cs="맑은 고딕" w:eastAsia="맑은 고딕" w:hAnsi="맑은 고딕"/>
          <w:color w:val="666666"/>
        </w:rPr>
        <w:t xml:space="preserve">제안 보고서 · 초안 v0.7 (친환경판) · 일사량은 팀 Radiance 층별 결과(1784 1~28층 평균), 단가 · 창 면적은 임시값</w:t>
      </w:r>
    </w:p>
    <w:p>
      <w:pPr>
        <w:spacing w:after="100" w:line="300"/>
      </w:pPr>
      <w:r>
        <w:rPr>
          <w:rFonts w:ascii="맑은 고딕" w:cs="맑은 고딕" w:eastAsia="맑은 고딕" w:hAnsi="맑은 고딕"/>
          <w:color w:val="666666"/>
        </w:rPr>
        <w:t xml:space="preserve">BIM IT 교육 최종 프로젝트 · 2026년 10월</w:t>
      </w:r>
    </w:p>
    <w:p>
      <w:pPr>
        <w:spacing w:after="100" w:line="300"/>
      </w:pPr>
      <w:r>
        <w:rPr>
          <w:rFonts w:ascii="맑은 고딕" w:cs="맑은 고딕" w:eastAsia="맑은 고딕" w:hAnsi="맑은 고딕"/>
          <w:color w:val="666666"/>
        </w:rPr>
        <w:t xml:space="preserve">작성: 반응형외피 팀 (우정 · 건우 · 서우 · 혜연 · 은미)</w:t>
      </w:r>
    </w:p>
    <w:p>
      <w:pPr>
        <w:spacing w:after="80"/>
      </w:pPr>
    </w:p>
    <w:p>
      <w:pPr>
        <w:shd w:fill="FFF2CC" w:val="clear"/>
        <w:spacing w:after="120" w:before="60"/>
      </w:pPr>
      <w:r>
        <w:rPr>
          <w:rFonts w:ascii="맑은 고딕" w:cs="맑은 고딕" w:eastAsia="맑은 고딕" w:hAnsi="맑은 고딕"/>
          <w:color w:val="7F6000"/>
          <w:sz w:val="19"/>
          <w:szCs w:val="19"/>
        </w:rPr>
        <w:t xml:space="preserve">작성 안내 · 공개 자료를 바탕으로 한 사례 연구입니다. 실제 발주나 특정 주체의 판단과는 관계없습니다. (표지 하단 또는 부록에 반드시 유지)</w:t>
      </w:r>
    </w:p>
    <w:p>
      <w:pPr>
        <w:pageBreakBefore/>
      </w:pPr>
      <w:r>
        <w:rPr>
          <w:rFonts w:ascii="맑은 고딕" w:cs="맑은 고딕" w:eastAsia="맑은 고딕" w:hAnsi="맑은 고딕"/>
          <w:b/>
          <w:bCs/>
          <w:color w:val="1F3A5F"/>
          <w:sz w:val="32"/>
          <w:szCs w:val="32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hd w:fill="FFF2CC" w:val="clear"/>
        <w:spacing w:after="120" w:before="60"/>
      </w:pPr>
      <w:r>
        <w:rPr>
          <w:rFonts w:ascii="맑은 고딕" w:cs="맑은 고딕" w:eastAsia="맑은 고딕" w:hAnsi="맑은 고딕"/>
          <w:color w:val="7F6000"/>
          <w:sz w:val="19"/>
          <w:szCs w:val="19"/>
        </w:rPr>
        <w:t xml:space="preserve">작성 안내 · Word에서 목차를 오른쪽 클릭 → 필드 업데이트를 하면 장 제목이 채워집니다.</w:t>
      </w:r>
    </w:p>
    <w:p>
      <w:pPr>
        <w:pStyle w:val="Heading1"/>
        <w:pageBreakBefore/>
      </w:pPr>
      <w:r>
        <w:rPr>
          <w:rFonts w:ascii="맑은 고딕" w:cs="맑은 고딕" w:eastAsia="맑은 고딕" w:hAnsi="맑은 고딕"/>
        </w:rPr>
        <w:t xml:space="preserve">1. 검토 개요</w:t>
      </w:r>
    </w:p>
    <w:p>
      <w:pPr>
        <w:shd w:fill="FFF2CC" w:val="clear"/>
        <w:spacing w:after="120" w:before="60"/>
      </w:pPr>
      <w:r>
        <w:rPr>
          <w:rFonts w:ascii="맑은 고딕" w:cs="맑은 고딕" w:eastAsia="맑은 고딕" w:hAnsi="맑은 고딕"/>
          <w:color w:val="7F6000"/>
          <w:sz w:val="19"/>
          <w:szCs w:val="19"/>
        </w:rPr>
        <w:t xml:space="preserve">작성 안내 · 담당 은미 · 4일차 초안 · 1~2쪽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1.1 검토 배경과 목적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2050 탄소중립 목표에 따라 건물도 처음부터 에너지를 적게 쓰도록 지어야 한다. 제로에너지건축물 인증 의무는 공공에서 민간으로 넓어지고 있고 [대상 · 시기 출처 확인], 에너지절약 설계기준에도 단열과 차양 같은 외피 설계가 반영된다 [해당 항목 확인].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유리 커튼월 건물은 미관이 뛰어나지만 햇빛이 유리를 그대로 지나 실내에서 열이 되어 냉방 전력을 키운다. 이 보고서는 냉방기를 키우기 전에 외피가 햇빛을 덜 받도록, 해를 따라 날을 돌리는 외부 수직 루버(반응형외피)를 제안하고 그 에너지 · 탄소 효과와 비용을 검토한다.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1.2 선례: 그린팩토리와 1784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그린팩토리(2010)는 유리 안쪽에 전동 수직 루버를 두어 외관 연출이 뛰어나지만, 햇빛이 유리를 지난 뒤 막기 때문에 열이 실내에 남는다. 바로 옆 1784(2022)는 루버를 단열유리 바깥으로 옮겨 입면 방위와 시간에 따라 운영한다(출처: 건축사신문 「네이버 1784, 이렇게 설계됐다」). 이 보고서는 1784의 운영 방식을 출발점으로 삼았다.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1.3 검토 대안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93"/>
        <w:gridCol w:w="3746"/>
        <w:gridCol w:w="3387"/>
      </w:tblGrid>
      <w:tr>
        <w:trPr>
          <w:tblHeader/>
        </w:trPr>
        <w:tc>
          <w:tcPr>
            <w:tcW w:type="dxa" w:w="189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대안</w:t>
            </w:r>
          </w:p>
        </w:tc>
        <w:tc>
          <w:tcPr>
            <w:tcW w:type="dxa" w:w="3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  <w:tc>
          <w:tcPr>
            <w:tcW w:type="dxa" w:w="338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189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시공 전 (일반 통유리)</w:t>
            </w:r>
          </w:p>
        </w:tc>
        <w:tc>
          <w:tcPr>
            <w:tcW w:type="dxa" w:w="3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루버가 없는 유리 입면</w:t>
            </w:r>
          </w:p>
        </w:tc>
        <w:tc>
          <w:tcPr>
            <w:tcW w:type="dxa" w:w="338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비교 기준</w:t>
            </w:r>
          </w:p>
        </w:tc>
      </w:tr>
      <w:tr>
        <w:tc>
          <w:tcPr>
            <w:tcW w:type="dxa" w:w="189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내부 반응형 루버</w:t>
            </w:r>
          </w:p>
        </w:tc>
        <w:tc>
          <w:tcPr>
            <w:tcW w:type="dxa" w:w="3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유리 안쪽에 설치한 전동 루버 (그린팩토리형)</w:t>
            </w:r>
          </w:p>
        </w:tc>
        <w:tc>
          <w:tcPr>
            <w:tcW w:type="dxa" w:w="338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1784와 같은 운영 규칙 적용</w:t>
            </w:r>
          </w:p>
        </w:tc>
      </w:tr>
      <w:tr>
        <w:tc>
          <w:tcPr>
            <w:tcW w:type="dxa" w:w="189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외부 고정 루버</w:t>
            </w:r>
          </w:p>
        </w:tc>
        <w:tc>
          <w:tcPr>
            <w:tcW w:type="dxa" w:w="3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바깥에 고정 각도 루버 추가</w:t>
            </w:r>
          </w:p>
        </w:tc>
        <w:tc>
          <w:tcPr>
            <w:tcW w:type="dxa" w:w="338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고정 각도: [  ]°</w:t>
            </w:r>
          </w:p>
        </w:tc>
      </w:tr>
      <w:tr>
        <w:tc>
          <w:tcPr>
            <w:tcW w:type="dxa" w:w="189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외부 반응형 루버</w:t>
            </w:r>
          </w:p>
        </w:tc>
        <w:tc>
          <w:tcPr>
            <w:tcW w:type="dxa" w:w="3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바깥에 1784식 운영 규칙으로 움직이는 루버 추가 (1784형)</w:t>
            </w:r>
          </w:p>
        </w:tc>
        <w:tc>
          <w:tcPr>
            <w:tcW w:type="dxa" w:w="338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구동장치·제어 포함</w:t>
            </w:r>
          </w:p>
        </w:tc>
      </w:tr>
    </w:tbl>
    <w:p>
      <w:pPr>
        <w:spacing w:after="100" w:line="300"/>
      </w:pPr>
      <w:r>
        <w:rPr>
          <w:rFonts w:ascii="맑은 고딕" w:cs="맑은 고딕" w:eastAsia="맑은 고딕" w:hAnsi="맑은 고딕"/>
          <w:color w:val="666666"/>
          <w:sz w:val="19"/>
          <w:szCs w:val="19"/>
        </w:rPr>
        <w:t xml:space="preserve">내부 반응형과 외부 반응형을 비교하면 위치의 효과, 외부 고정과 외부 반응형을 비교하면 방식의 효과를 볼 수 있다.</w:t>
      </w:r>
    </w:p>
    <w:p>
      <w:pPr>
        <w:spacing w:after="100" w:line="300"/>
      </w:pPr>
      <w:r>
        <w:rPr>
          <w:rFonts w:ascii="맑은 고딕" w:cs="맑은 고딕" w:eastAsia="맑은 고딕" w:hAnsi="맑은 고딕"/>
          <w:color w:val="666666"/>
          <w:sz w:val="19"/>
          <w:szCs w:val="19"/>
        </w:rPr>
        <w:t xml:space="preserve">필름 등 유리 후처리 대안은 검토 범위에 넣지 않았다.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1.4 핵심 결론 (요약)</w:t>
      </w:r>
    </w:p>
    <w:p>
      <w:pPr>
        <w:shd w:fill="FFF2CC" w:val="clear"/>
        <w:spacing w:after="120" w:before="60"/>
      </w:pPr>
      <w:r>
        <w:rPr>
          <w:rFonts w:ascii="맑은 고딕" w:cs="맑은 고딕" w:eastAsia="맑은 고딕" w:hAnsi="맑은 고딕"/>
          <w:color w:val="7F6000"/>
          <w:sz w:val="19"/>
          <w:szCs w:val="19"/>
        </w:rPr>
        <w:t xml:space="preserve">작성 안내 · 엑셀 13_탄소·계절효과 · 14_Radiance(팀) ⑦ 기준. 모든 숫자는 1784 1~28층 평균(팀 Radiance 층별 결과: 주변 그림자를 층마다 적용 · 실제 날씨), 창 1,000㎡(동 300 · 남 400 · 서 300, 임시) 기준. 단가 · 창 면적이 바뀌면 다시 옮길 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외부 반응형(겨울 모드)은 통유리 대비 순 전력을 연 약 36.9 MWh, 탄소를 연 약 17.0 tCO₂ 줄여(1784 1~28층 평균) 세 대안 중 효과가 가장 크다 (내부 반응형 23.0 MWh · 10.6 t). 외부 고정(0°)은 겨울 햇빛까지 막아 순 전력이 오히려 14.5 MWh 늘어난다.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여름(6~9월) 창 일사를 통유리 대비 68% 줄이고(274 → 88 kWh/㎡, 1~28층 평균 · 창 면적 가중), 겨울 모드에서는 난방일(성남 10/30~4/17)에 날을 해와 나란히 돌려 겨울(11~3월) 햇빛을 76% 받는다(현재 규칙대로면 28%). 겨울 모드가 없으면 난방 손실 때문에 외부 반응형의 순 절감이 0.1 MWh로 사라지므로, 겨울 모드가 이 제안의 핵심이다.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공사비는 12.9억, 연 전기요금 절감은 약 554만 원(난방 증가분 포함), 유지관리비는 연 약 3,075만 원(구동장치 교체 포함)으로 60년 안에 회수되지 않는다. 이 제안은 투자 회수가 아니라 에너지 · 탄소 목표와 인증을 위한 성능 투자로 보며, 30년 기준 탄소 1톤을 줄이는 데 약 253만 원이 든다(1784 1~28층 평균).</w:t>
      </w:r>
    </w:p>
    <w:p>
      <w:pPr>
        <w:pStyle w:val="Heading1"/>
        <w:pageBreakBefore/>
      </w:pPr>
      <w:r>
        <w:rPr>
          <w:rFonts w:ascii="맑은 고딕" w:cs="맑은 고딕" w:eastAsia="맑은 고딕" w:hAnsi="맑은 고딕"/>
        </w:rPr>
        <w:t xml:space="preserve">2. 대상 건물과 현황</w:t>
      </w:r>
    </w:p>
    <w:p>
      <w:pPr>
        <w:shd w:fill="FFF2CC" w:val="clear"/>
        <w:spacing w:after="120" w:before="60"/>
      </w:pPr>
      <w:r>
        <w:rPr>
          <w:rFonts w:ascii="맑은 고딕" w:cs="맑은 고딕" w:eastAsia="맑은 고딕" w:hAnsi="맑은 고딕"/>
          <w:color w:val="7F6000"/>
          <w:sz w:val="19"/>
          <w:szCs w:val="19"/>
        </w:rPr>
        <w:t xml:space="preserve">작성 안내 · 담당 은미(글) · 우정(그림) · 6일차 · 그림: 건물 외관, 분석 입면, 대표 실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2.1 대상 건물</w:t>
      </w:r>
    </w:p>
    <w:p>
      <w:pPr>
        <w:spacing w:after="100"/>
      </w:pPr>
      <w:r>
        <w:rPr>
          <w:rFonts w:ascii="맑은 고딕" w:cs="맑은 고딕" w:eastAsia="맑은 고딕" w:hAnsi="맑은 고딕"/>
          <w:color w:val="C00000"/>
        </w:rPr>
        <w:t xml:space="preserve">[그린팩토리 위치(37.35936°N, 127.10502°E), 규모, 커튼월 구성]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2.2 분석 입면과 대표 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4"/>
        <w:gridCol w:w="3356"/>
        <w:gridCol w:w="3356"/>
      </w:tblGrid>
      <w:tr>
        <w:trPr>
          <w:tblHeader/>
        </w:trPr>
        <w:tc>
          <w:tcPr>
            <w:tcW w:type="dxa" w:w="23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33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  <w:tc>
          <w:tcPr>
            <w:tcW w:type="dxa" w:w="33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근거</w:t>
            </w:r>
          </w:p>
        </w:tc>
      </w:tr>
      <w:tr>
        <w:tc>
          <w:tcPr>
            <w:tcW w:type="dxa" w:w="23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분석 입면</w:t>
            </w:r>
          </w:p>
        </w:tc>
        <w:tc>
          <w:tcPr>
            <w:tcW w:type="dxa" w:w="33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[방위, 면적 ㎡]</w:t>
            </w:r>
          </w:p>
        </w:tc>
        <w:tc>
          <w:tcPr>
            <w:tcW w:type="dxa" w:w="33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1_입력값</w:t>
            </w:r>
          </w:p>
        </w:tc>
      </w:tr>
      <w:tr>
        <w:tc>
          <w:tcPr>
            <w:tcW w:type="dxa" w:w="23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대표 실</w:t>
            </w:r>
          </w:p>
        </w:tc>
        <w:tc>
          <w:tcPr>
            <w:tcW w:type="dxa" w:w="33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[위치, 면적 ㎡]</w:t>
            </w:r>
          </w:p>
        </w:tc>
        <w:tc>
          <w:tcPr>
            <w:tcW w:type="dxa" w:w="33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서우 대표 실 조건표</w:t>
            </w:r>
          </w:p>
        </w:tc>
      </w:tr>
      <w:tr>
        <w:tc>
          <w:tcPr>
            <w:tcW w:type="dxa" w:w="23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대표일</w:t>
            </w:r>
          </w:p>
        </w:tc>
        <w:tc>
          <w:tcPr>
            <w:tcW w:type="dxa" w:w="33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춘분 3/21 · 하지 6/21 · 추분 9/23 · 동지 12/21 (확정 필요)</w:t>
            </w:r>
          </w:p>
        </w:tc>
        <w:tc>
          <w:tcPr>
            <w:tcW w:type="dxa" w:w="33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혜연</w:t>
            </w:r>
          </w:p>
        </w:tc>
      </w:tr>
    </w:tbl>
    <w:p>
      <w:pPr>
        <w:pStyle w:val="Heading2"/>
      </w:pPr>
      <w:r>
        <w:rPr>
          <w:rFonts w:ascii="맑은 고딕" w:cs="맑은 고딕" w:eastAsia="맑은 고딕" w:hAnsi="맑은 고딕"/>
        </w:rPr>
        <w:t xml:space="preserve">2.3 내부 루버의 역할과 한계</w:t>
      </w:r>
    </w:p>
    <w:p>
      <w:pPr>
        <w:spacing w:after="100"/>
      </w:pPr>
      <w:r>
        <w:rPr>
          <w:rFonts w:ascii="맑은 고딕" w:cs="맑은 고딕" w:eastAsia="맑은 고딕" w:hAnsi="맑은 고딕"/>
          <w:color w:val="C00000"/>
        </w:rPr>
        <w:t xml:space="preserve">[연출 기능은 유지되지만 일사 열을 유리 안쪽에서 막아 한계가 있음. 그림 삽입]</w:t>
      </w:r>
    </w:p>
    <w:p>
      <w:pPr>
        <w:pStyle w:val="Heading1"/>
        <w:pageBreakBefore/>
      </w:pPr>
      <w:r>
        <w:rPr>
          <w:rFonts w:ascii="맑은 고딕" w:cs="맑은 고딕" w:eastAsia="맑은 고딕" w:hAnsi="맑은 고딕"/>
        </w:rPr>
        <w:t xml:space="preserve">3. 운영 방식과 검증</w:t>
      </w:r>
    </w:p>
    <w:p>
      <w:pPr>
        <w:shd w:fill="FFF2CC" w:val="clear"/>
        <w:spacing w:after="120" w:before="60"/>
      </w:pPr>
      <w:r>
        <w:rPr>
          <w:rFonts w:ascii="맑은 고딕" w:cs="맑은 고딕" w:eastAsia="맑은 고딕" w:hAnsi="맑은 고딕"/>
          <w:color w:val="7F6000"/>
          <w:sz w:val="19"/>
          <w:szCs w:val="19"/>
        </w:rPr>
        <w:t xml:space="preserve">작성 안내 · 담당 혜연 · 6일차 · 은미는 취합·편집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3.1 반응형 운영 규칙</w:t>
      </w:r>
    </w:p>
    <w:p>
      <w:pPr>
        <w:spacing w:after="100"/>
      </w:pPr>
      <w:r>
        <w:rPr>
          <w:rFonts w:ascii="맑은 고딕" w:cs="맑은 고딕" w:eastAsia="맑은 고딕" w:hAnsi="맑은 고딕"/>
          <w:color w:val="C00000"/>
        </w:rPr>
        <w:t xml:space="preserve">[태양 방위와 입면 정면의 방위차가 컷오프 이하이고 고도 5° 이상이면 닫고, 아니면 연다. 컷오프: 춘분 30° / 하지 60° / 추분 45° / 동지 30° (팀 가정값)]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3.2 1784 재현·검증 결과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1784는 실제 개폐 수치를 공개하지 않아, 계산 자체를 세 단계로 검산했다. ① 태양 위치를 NOAA 공식으로 따로 계산해 290개 시점을 비교한 결과 고도 · 방위 오차 0.6° 이내(하지 남중고도 76.1° 일치), ② 운영 규칙으로 다시 판정한 1,160건이 모두 일치, ③ 날 각도는 평면 기하 공식(90° − 2 × 기운 각도)과 0.005° 차이였다. 1784와는 방위와 시간에 따라 운영한다는 패턴이 같다.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3.3 한계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1784 실제 개폐 수치가 공개되지 않아 숫자로 비교하지 못함 (현장 관찰 · 운영사 문의로 보완)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웹 간이식은 맑은 날 직달만 다루지만, 에너지 효과는 팀 Radiance(주변 건물 325개 그림자 · 산란 · 반사 · 월평균 날씨 포함)로 계산했다. 외부 반응형 순 절감은 간이식 45.8 · Radiance 36.9 MWh(1~28층 평균)로 같은 방향이며, 간이식은 흐린 날 · 그림자를 빼 크게 나온다.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일사량은 3 · 5 · 9 · 15 · 20 · 25층 면 중앙 1㎡의 Radiance 값을 1~28층으로 보간해 평균한 값이다. 층마다 주변 그림자가 달라 동면은 9층(냉방기 감소율 66%)보다 고층(71~72%)에서 효과가 크다 — 평균 69%. 9층 값만 쓰면 동면 냉방 절감을 약 33% 작게 잡는다.</w:t>
      </w:r>
    </w:p>
    <w:p>
      <w:pPr>
        <w:pStyle w:val="Heading1"/>
        <w:pageBreakBefore/>
      </w:pPr>
      <w:r>
        <w:rPr>
          <w:rFonts w:ascii="맑은 고딕" w:cs="맑은 고딕" w:eastAsia="맑은 고딕" w:hAnsi="맑은 고딕"/>
        </w:rPr>
        <w:t xml:space="preserve">4. 에너지 · 탄소 효과</w:t>
      </w:r>
    </w:p>
    <w:p>
      <w:pPr>
        <w:shd w:fill="FFF2CC" w:val="clear"/>
        <w:spacing w:after="120" w:before="60"/>
      </w:pPr>
      <w:r>
        <w:rPr>
          <w:rFonts w:ascii="맑은 고딕" w:cs="맑은 고딕" w:eastAsia="맑은 고딕" w:hAnsi="맑은 고딕"/>
          <w:color w:val="7F6000"/>
          <w:sz w:val="19"/>
          <w:szCs w:val="19"/>
        </w:rPr>
        <w:t xml:space="preserve">작성 안내 · 담당 혜연(일사·냉방) · 서우(채광·조명) · 5~6일차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4.1 일사·냉방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680"/>
        <w:gridCol w:w="1680"/>
        <w:gridCol w:w="1680"/>
        <w:gridCol w:w="1686"/>
      </w:tblGrid>
      <w:tr>
        <w:trPr>
          <w:tblHeader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연간 (대표일 환산)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시공 전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내부 반응형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외부 고정</w:t>
            </w:r>
          </w:p>
        </w:tc>
        <w:tc>
          <w:tcPr>
            <w:tcW w:type="dxa" w:w="16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외부 반응형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냉방기 창 일사량 (kWh/㎡, 6~9월, 1~28층 평균)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274.2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190.5 (가정)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164.5</w:t>
            </w:r>
          </w:p>
        </w:tc>
        <w:tc>
          <w:tcPr>
            <w:tcW w:type="dxa" w:w="16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88.3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통유리 대비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70%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60%</w:t>
            </w:r>
          </w:p>
        </w:tc>
        <w:tc>
          <w:tcPr>
            <w:tcW w:type="dxa" w:w="16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32%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냉방 전력 (MWh/년)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88.5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61.5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53.1</w:t>
            </w:r>
          </w:p>
        </w:tc>
        <w:tc>
          <w:tcPr>
            <w:tcW w:type="dxa" w:w="16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28.5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냉방 전력 절감 (MWh/년)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27.0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35.4</w:t>
            </w:r>
          </w:p>
        </w:tc>
        <w:tc>
          <w:tcPr>
            <w:tcW w:type="dxa" w:w="16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60.0</w:t>
            </w:r>
          </w:p>
        </w:tc>
      </w:tr>
    </w:tbl>
    <w:p>
      <w:pPr>
        <w:spacing w:after="100" w:line="300"/>
      </w:pPr>
      <w:r>
        <w:rPr>
          <w:rFonts w:ascii="맑은 고딕" w:cs="맑은 고딕" w:eastAsia="맑은 고딕" w:hAnsi="맑은 고딕"/>
          <w:color w:val="666666"/>
          <w:sz w:val="19"/>
          <w:szCs w:val="19"/>
        </w:rPr>
        <w:t xml:space="preserve">일사량: 팀 Radiance 층별 solar_result (1784 타워 3 · 5 · 9 · 15 · 20 · 25층 면 중앙, 주변 건물 325개 그림자를 층 높이마다 적용, 서울(성남) TMY 월평균 시간별, 날 폭 300 / 간격 350 / 반사율 0.5, 날짜별 컷오프 + 해가 반 이상 막히면 열림) → 1~28층 평균, 동 · 남 · 서 창 면적 가중. 내부 반응형은 Radiance 계산이 없어, 외부 반응형과 같은 시간에 닫히고 막은 햇빛의 55%가 실내에 남는다고 가정(통유리 − 0.45 × (통유리 − 외부 반응형)).</w:t>
      </w:r>
    </w:p>
    <w:p>
      <w:pPr>
        <w:spacing w:after="100" w:line="300"/>
      </w:pPr>
      <w:r>
        <w:rPr>
          <w:rFonts w:ascii="맑은 고딕" w:cs="맑은 고딕" w:eastAsia="맑은 고딕" w:hAnsi="맑은 고딕"/>
          <w:color w:val="666666"/>
          <w:sz w:val="19"/>
          <w:szCs w:val="19"/>
        </w:rPr>
        <w:t xml:space="preserve">※ 냉방 전력은 창 일사량 × 창 면적(1,000㎡, 임시) × 냉방 부하/일사 1.13 ÷ 냉방 COP 3.5로 환산했다. 1.13은 팀 EnergyPlus 민감도(1784 9층 서남 모서리 방: 창에 닿는 일사 1 kWh 감소 → 냉방 부하 1.13 kWh 감소)이며, 세 대안을 같은 방식으로 비교한 상대 비교이다.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4.2 채광·조명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680"/>
        <w:gridCol w:w="1680"/>
        <w:gridCol w:w="1680"/>
        <w:gridCol w:w="1686"/>
      </w:tblGrid>
      <w:tr>
        <w:trPr>
          <w:tblHeader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연간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시공 전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내부 반응형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외부 고정</w:t>
            </w:r>
          </w:p>
        </w:tc>
        <w:tc>
          <w:tcPr>
            <w:tcW w:type="dxa" w:w="16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외부 반응형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조명 전력 증가 (MWh/년)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16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</w:tbl>
    <w:p>
      <w:pPr>
        <w:spacing w:after="100" w:line="300"/>
      </w:pPr>
      <w:r>
        <w:rPr>
          <w:rFonts w:ascii="맑은 고딕" w:cs="맑은 고딕" w:eastAsia="맑은 고딕" w:hAnsi="맑은 고딕"/>
          <w:color w:val="666666"/>
          <w:sz w:val="19"/>
          <w:szCs w:val="19"/>
        </w:rPr>
        <w:t xml:space="preserve">팀 조도 분석(9층 서남쪽 모서리 방, Radiance): 반응형은 창가의 강한 직사광을 크게 줄여 눈부심을 낮추지만, 목표 500 lx 이상 면적이 89~100%에서 57~98%로 줄어 일부 시간에 조명이 필요하다. 조명 증가분은 가정값이며 서우 조명 자료로 보정한다.</w:t>
      </w:r>
    </w:p>
    <w:p>
      <w:pPr>
        <w:spacing w:after="100"/>
      </w:pPr>
      <w:r>
        <w:rPr>
          <w:rFonts w:ascii="맑은 고딕" w:cs="맑은 고딕" w:eastAsia="맑은 고딕" w:hAnsi="맑은 고딕"/>
          <w:color w:val="C00000"/>
        </w:rPr>
        <w:t xml:space="preserve">[실내 시공 전/후 비교 이미지, 루버를 닫으면 어두워지지 않는지에 대한 설명]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4.3 계절별 창 일사 비율과 겨울 모드 (통유리 = 100%, 1784 1~28층 평균)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7"/>
        <w:gridCol w:w="1757"/>
        <w:gridCol w:w="1757"/>
        <w:gridCol w:w="1757"/>
        <w:gridCol w:w="1757"/>
      </w:tblGrid>
      <w:tr>
        <w:trPr>
          <w:tblHeader/>
        </w:trPr>
        <w:tc>
          <w:tcPr>
            <w:tcW w:type="dxa" w:w="19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기간</w:t>
            </w:r>
          </w:p>
        </w:tc>
        <w:tc>
          <w:tcPr>
            <w:tcW w:type="dxa" w:w="17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통유리</w:t>
            </w:r>
          </w:p>
        </w:tc>
        <w:tc>
          <w:tcPr>
            <w:tcW w:type="dxa" w:w="17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외부 고정 (날 0°)</w:t>
            </w:r>
          </w:p>
        </w:tc>
        <w:tc>
          <w:tcPr>
            <w:tcW w:type="dxa" w:w="17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외부 반응형 (규칙대로)</w:t>
            </w:r>
          </w:p>
        </w:tc>
        <w:tc>
          <w:tcPr>
            <w:tcW w:type="dxa" w:w="17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외부 반응형 + 겨울 모드 (해와 나란히)</w:t>
            </w:r>
          </w:p>
        </w:tc>
      </w:tr>
      <w:tr>
        <w:tc>
          <w:tcPr>
            <w:tcW w:type="dxa" w:w="19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여름 6~9월</w:t>
            </w:r>
          </w:p>
        </w:tc>
        <w:tc>
          <w:tcPr>
            <w:tcW w:type="dxa" w:w="17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  <w:tc>
          <w:tcPr>
            <w:tcW w:type="dxa" w:w="17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60%</w:t>
            </w:r>
          </w:p>
        </w:tc>
        <w:tc>
          <w:tcPr>
            <w:tcW w:type="dxa" w:w="17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32%</w:t>
            </w:r>
          </w:p>
        </w:tc>
        <w:tc>
          <w:tcPr>
            <w:tcW w:type="dxa" w:w="17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32%</w:t>
            </w:r>
          </w:p>
        </w:tc>
      </w:tr>
      <w:tr>
        <w:tc>
          <w:tcPr>
            <w:tcW w:type="dxa" w:w="19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겨울 11~3월</w:t>
            </w:r>
          </w:p>
        </w:tc>
        <w:tc>
          <w:tcPr>
            <w:tcW w:type="dxa" w:w="17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  <w:tc>
          <w:tcPr>
            <w:tcW w:type="dxa" w:w="17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53%</w:t>
            </w:r>
          </w:p>
        </w:tc>
        <w:tc>
          <w:tcPr>
            <w:tcW w:type="dxa" w:w="17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28%</w:t>
            </w:r>
          </w:p>
        </w:tc>
        <w:tc>
          <w:tcPr>
            <w:tcW w:type="dxa" w:w="17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76%</w:t>
            </w:r>
          </w:p>
        </w:tc>
      </w:tr>
      <w:tr>
        <w:tc>
          <w:tcPr>
            <w:tcW w:type="dxa" w:w="19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순 전력 절감 (MWh/년)</w:t>
            </w:r>
          </w:p>
        </w:tc>
        <w:tc>
          <w:tcPr>
            <w:tcW w:type="dxa" w:w="17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7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−14.5</w:t>
            </w:r>
          </w:p>
        </w:tc>
        <w:tc>
          <w:tcPr>
            <w:tcW w:type="dxa" w:w="17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0.1</w:t>
            </w:r>
          </w:p>
        </w:tc>
        <w:tc>
          <w:tcPr>
            <w:tcW w:type="dxa" w:w="17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36.9</w:t>
            </w:r>
          </w:p>
        </w:tc>
      </w:tr>
    </w:tbl>
    <w:p>
      <w:pPr>
        <w:spacing w:after="100" w:line="300"/>
      </w:pPr>
      <w:r>
        <w:rPr>
          <w:rFonts w:ascii="맑은 고딕" w:cs="맑은 고딕" w:eastAsia="맑은 고딕" w:hAnsi="맑은 고딕"/>
          <w:color w:val="666666"/>
          <w:sz w:val="19"/>
          <w:szCs w:val="19"/>
        </w:rPr>
        <w:t xml:space="preserve">팀 Radiance 층별 solar_result(겨울 모드 켬 / 끔, 1~28층 평균, 동 · 남 · 서 창 면적 가중). 고정 루버(0°)는 여름 햇빛을 60% 들이면서 겨울 햇빛은 47%를 막는다. 반응형을 규칙대로만 돌리면 겨울 남면 한낮을 닫아 겨울 햇빛을 28%만 받아 순 절감이 0.1 MWh로 사라진다. 겨울 모드(팀 v9: 난방일에 날을 해와 나란히 눕히고, 해가 낮고 정면에 가까운 눈부신 시각과 비스듬한 해는 0°)를 켜면 겨울 햇빛을 76% 받아 순 절감이 36.9 MWh가 된다.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4.4 순 전력 절감과 탄소 감축 (통유리 대비, 연간, 1784 1~28층 평균)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040"/>
        <w:gridCol w:w="2040"/>
        <w:gridCol w:w="2046"/>
      </w:tblGrid>
      <w:tr>
        <w:trPr>
          <w:tblHeader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내부 반응형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외부 고정</w:t>
            </w:r>
          </w:p>
        </w:tc>
        <w:tc>
          <w:tcPr>
            <w:tcW w:type="dxa" w:w="20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외부 반응형 (겨울 모드)</w:t>
            </w:r>
          </w:p>
        </w:tc>
      </w:tr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냉방 전력 절감 (MWh)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27.0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35.4</w:t>
            </w:r>
          </w:p>
        </w:tc>
        <w:tc>
          <w:tcPr>
            <w:tcW w:type="dxa" w:w="20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60.0</w:t>
            </w:r>
          </w:p>
        </w:tc>
      </w:tr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조명 전력 증가 (MWh)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20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겨울 난방 전력 증가 (MWh)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35.9</w:t>
            </w:r>
          </w:p>
        </w:tc>
        <w:tc>
          <w:tcPr>
            <w:tcW w:type="dxa" w:w="20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18.1</w:t>
            </w:r>
          </w:p>
        </w:tc>
      </w:tr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순 전력 절감 (MWh)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23.0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−14.5</w:t>
            </w:r>
          </w:p>
        </w:tc>
        <w:tc>
          <w:tcPr>
            <w:tcW w:type="dxa" w:w="20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36.9</w:t>
            </w:r>
          </w:p>
        </w:tc>
      </w:tr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탄소 감축 (tCO₂/년)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10.6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−6.7</w:t>
            </w:r>
          </w:p>
        </w:tc>
        <w:tc>
          <w:tcPr>
            <w:tcW w:type="dxa" w:w="20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17.0</w:t>
            </w:r>
          </w:p>
        </w:tc>
      </w:tr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30년 탄소 감축 (tCO₂)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317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−200</w:t>
            </w:r>
          </w:p>
        </w:tc>
        <w:tc>
          <w:tcPr>
            <w:tcW w:type="dxa" w:w="20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510</w:t>
            </w:r>
          </w:p>
        </w:tc>
      </w:tr>
    </w:tbl>
    <w:p>
      <w:pPr>
        <w:spacing w:after="100" w:line="300"/>
      </w:pPr>
      <w:r>
        <w:rPr>
          <w:rFonts w:ascii="맑은 고딕" w:cs="맑은 고딕" w:eastAsia="맑은 고딕" w:hAnsi="맑은 고딕"/>
          <w:color w:val="666666"/>
          <w:sz w:val="19"/>
          <w:szCs w:val="19"/>
        </w:rPr>
        <w:t xml:space="preserve">엑셀 13_탄소·계절효과 시트 · 전력 배출계수 0.46 tCO₂/MWh 가정 [고시값 확인] · 난방은 히트펌프 COP 3, 난방기 11~3월(151일), Radiance 층별 일사량(실제 날씨 반영, 1~28층 평균) 기준. 창 일사가 1 kWh 줄면 난방 부하가 0.56 kWh 늘어난다고 보았다(팀 EnergyPlus 민감도 0.48~0.65의 중간값, 1784 9층 서남 모서리 방). 에너지 숫자는 추정이며 난방은 ±20% 범위로 본다.</w:t>
      </w:r>
    </w:p>
    <w:p>
      <w:pPr>
        <w:pStyle w:val="Heading1"/>
        <w:pageBreakBefore/>
      </w:pPr>
      <w:r>
        <w:rPr>
          <w:rFonts w:ascii="맑은 고딕" w:cs="맑은 고딕" w:eastAsia="맑은 고딕" w:hAnsi="맑은 고딕"/>
        </w:rPr>
        <w:t xml:space="preserve">5. 비용과 인센티브</w:t>
      </w:r>
    </w:p>
    <w:p>
      <w:pPr>
        <w:shd w:fill="FFF2CC" w:val="clear"/>
        <w:spacing w:after="120" w:before="60"/>
      </w:pPr>
      <w:r>
        <w:rPr>
          <w:rFonts w:ascii="맑은 고딕" w:cs="맑은 고딕" w:eastAsia="맑은 고딕" w:hAnsi="맑은 고딕"/>
          <w:color w:val="7F6000"/>
          <w:sz w:val="19"/>
          <w:szCs w:val="19"/>
        </w:rPr>
        <w:t xml:space="preserve">작성 안내 · 담당 은미 · 모든 표는 엑셀(7~11, 13번 시트)에서 복사. 숫자를 손으로 고치지 말 것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이 장은 비용을 숨기지 않고 보여 주기 위한 것이다. 반응형외피는 전기요금 절감만으로 회수되는 투자가 아니라, 에너지 · 탄소 목표와 친환경 인증을 위한 성능 투자로 본다. 팀 Radiance 층별 값(1784 1~28층 평균)으로 계산하면 외부 반응형의 연 에너지 절감은 약 554만 원(난방 증가분 포함), 유지관리비는 연 약 3,075만 원으로 60년 안에 회수되지 않는다(약 87년). 유지관리비 = 루버 시스템비(날 · 프레임 · 구동 · 설치) × 연 3%(일반 건물 2~4%의 중간) + 보호 유리 청소 · 점검 연 1% + 구동장치 교체(보호 유리 안 10년 / 노출 5년마다) + 앱 운영비. 보호 유리를 빼면 공사비는 5.65억 줄지만 구동장치를 5년마다 바꿔야 해 약 85년, 단가까지 최소 수준(×0.6)이면 약 70년이다. 30년 누적으로는 보호 유리가 약 4.45억 불리하나, 강풍 때 날을 멈춰야 하는 시간과 고층 안전은 숫자에 넣지 않았다. 탄소 1톤을 줄이는 데 드는 공사비는 외부 반응형 약 253만 원, 내부 반응형 약 202만 원이다(30년 기준, 단가 임시값). 외부 고정(0°)은 순 감축이 마이너스라 산정하지 않는다.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5.1 공사비 산출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00"/>
        <w:gridCol w:w="1450"/>
        <w:gridCol w:w="1450"/>
        <w:gridCol w:w="1426"/>
      </w:tblGrid>
      <w:tr>
        <w:trPr>
          <w:tblHeader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산출 근거</w:t>
            </w:r>
          </w:p>
        </w:tc>
        <w:tc>
          <w:tcPr>
            <w:tcW w:type="dxa" w:w="1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내부 반응형</w:t>
            </w:r>
          </w:p>
        </w:tc>
        <w:tc>
          <w:tcPr>
            <w:tcW w:type="dxa" w:w="1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외부 고정</w:t>
            </w:r>
          </w:p>
        </w:tc>
        <w:tc>
          <w:tcPr>
            <w:tcW w:type="dxa" w:w="1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외부 반응형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루버 자재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루버 면적 × ㎡당 단가</w:t>
            </w:r>
          </w:p>
        </w:tc>
        <w:tc>
          <w:tcPr>
            <w:tcW w:type="dxa" w:w="1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지지 프레임·부속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루버 면적 × ㎡당 단가</w:t>
            </w:r>
          </w:p>
        </w:tc>
        <w:tc>
          <w:tcPr>
            <w:tcW w:type="dxa" w:w="1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구동장치·센서·제어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유닛 수 × 단가 + 제어</w:t>
            </w:r>
          </w:p>
        </w:tc>
        <w:tc>
          <w:tcPr>
            <w:tcW w:type="dxa" w:w="1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소프트웨어(앱) 개발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수동 작동 앱 개발비 (반응형만)</w:t>
            </w:r>
          </w:p>
        </w:tc>
        <w:tc>
          <w:tcPr>
            <w:tcW w:type="dxa" w:w="1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루버 보호 유리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창 면적 × 단가 (외부 반응형, 1784의 바깥 유리와 같은 개념)</w:t>
            </w:r>
          </w:p>
        </w:tc>
        <w:tc>
          <w:tcPr>
            <w:tcW w:type="dxa" w:w="1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설치 공사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설치 면적 × 시공 단가</w:t>
            </w:r>
          </w:p>
        </w:tc>
        <w:tc>
          <w:tcPr>
            <w:tcW w:type="dxa" w:w="1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가설·장비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가설 일수 × 일대</w:t>
            </w:r>
          </w:p>
        </w:tc>
        <w:tc>
          <w:tcPr>
            <w:tcW w:type="dxa" w:w="1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설계·감리 / 예비비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직접 공사비의 [ ]% / [ ]%</w:t>
            </w:r>
          </w:p>
        </w:tc>
        <w:tc>
          <w:tcPr>
            <w:tcW w:type="dxa" w:w="1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총 공사비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</w:tr>
    </w:tbl>
    <w:p>
      <w:pPr>
        <w:spacing w:after="100" w:line="300"/>
      </w:pPr>
      <w:r>
        <w:rPr>
          <w:rFonts w:ascii="맑은 고딕" w:cs="맑은 고딕" w:eastAsia="맑은 고딕" w:hAnsi="맑은 고딕"/>
          <w:color w:val="666666"/>
          <w:sz w:val="19"/>
          <w:szCs w:val="19"/>
        </w:rPr>
        <w:t xml:space="preserve">시공 전(일반 통유리)은 루버가 없어 공사비가 없다. 1784는 비교 대안이 아니라 운영 방식 검증용이다.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5.1.1 인증 인센티브 (신축 / 리모델링)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신축: 취득세 감면(일시)과 재산세 감면. 리모델링: 그린리모델링 이자지원과 재산세 감면. 인증은 건물 전체 성능으로 받으며, 감면율은 지자체 확인이 필요한 가정값이다. 엑셀 11_인센티브 시트에서 복사한다.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내부 반응형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외부 고정</w:t>
            </w:r>
          </w:p>
        </w:tc>
        <w:tc>
          <w:tcPr>
            <w:tcW w:type="dxa" w:w="2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외부 반응형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취득세 감면 (신축, 일시)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2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재산세 감면 (연, 기간 [ ]년)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2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이자지원 (리모델링, 연)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2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</w:tr>
    </w:tbl>
    <w:p>
      <w:pPr>
        <w:spacing w:after="100" w:line="300"/>
      </w:pPr>
      <w:r>
        <w:rPr>
          <w:rFonts w:ascii="맑은 고딕" w:cs="맑은 고딕" w:eastAsia="맑은 고딕" w:hAnsi="맑은 고딕"/>
          <w:color w:val="666666"/>
          <w:sz w:val="19"/>
          <w:szCs w:val="19"/>
        </w:rPr>
        <w:t xml:space="preserve">물량은 Revit 일람표에서 산출했다(우정).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5.2 시공 전·후 비교 (연간)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680"/>
        <w:gridCol w:w="1680"/>
        <w:gridCol w:w="1680"/>
        <w:gridCol w:w="1686"/>
      </w:tblGrid>
      <w:tr>
        <w:trPr>
          <w:tblHeader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시공 전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내부 반응형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외부 고정</w:t>
            </w:r>
          </w:p>
        </w:tc>
        <w:tc>
          <w:tcPr>
            <w:tcW w:type="dxa" w:w="16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외부 반응형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냉방 부하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6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냉방 전기요금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6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조명 전기요금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6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루버 유지관리비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6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연간 순절감액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6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반사광 도달 시간 (확장 시)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6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</w:tr>
    </w:tbl>
    <w:p>
      <w:pPr>
        <w:pStyle w:val="Heading2"/>
      </w:pPr>
      <w:r>
        <w:rPr>
          <w:rFonts w:ascii="맑은 고딕" w:cs="맑은 고딕" w:eastAsia="맑은 고딕" w:hAnsi="맑은 고딕"/>
        </w:rPr>
        <w:t xml:space="preserve">5.3 발주처 이익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040"/>
        <w:gridCol w:w="2040"/>
        <w:gridCol w:w="2046"/>
      </w:tblGrid>
      <w:tr>
        <w:trPr>
          <w:tblHeader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지표 (시공 전 대비)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내부 반응형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외부 고정</w:t>
            </w:r>
          </w:p>
        </w:tc>
        <w:tc>
          <w:tcPr>
            <w:tcW w:type="dxa" w:w="20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외부 반응형</w:t>
            </w:r>
          </w:p>
        </w:tc>
      </w:tr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총 공사비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20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</w:tr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연간 순절감액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20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</w:tr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회수 기간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]년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]년</w:t>
            </w:r>
          </w:p>
        </w:tc>
        <w:tc>
          <w:tcPr>
            <w:tcW w:type="dxa" w:w="20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]년</w:t>
            </w:r>
          </w:p>
        </w:tc>
      </w:tr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수명 기간([  ]년) 누적 순이익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20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</w:tr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투자 수익률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]%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]%</w:t>
            </w:r>
          </w:p>
        </w:tc>
        <w:tc>
          <w:tcPr>
            <w:tcW w:type="dxa" w:w="20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]%</w:t>
            </w:r>
          </w:p>
        </w:tc>
      </w:tr>
    </w:tbl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숫자로 안 잡히는 이익: 외관 변화, 실내 쾌적성, 주변 민원·분쟁 위험 감소(확장 시), 이미 검증된 방식(1784).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5.4 누적 비용 그래프</w:t>
      </w:r>
    </w:p>
    <w:p>
      <w:pPr>
        <w:spacing w:after="100"/>
      </w:pPr>
      <w:r>
        <w:rPr>
          <w:rFonts w:ascii="맑은 고딕" w:cs="맑은 고딕" w:eastAsia="맑은 고딕" w:hAnsi="맑은 고딕"/>
          <w:color w:val="C00000"/>
        </w:rPr>
        <w:t xml:space="preserve">[가로축 연도, 세로축 공사비 + 운영비 누적. 10_누적·민감도 시트 → 건우 디자인]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5.5 민감도</w:t>
      </w:r>
    </w:p>
    <w:p>
      <w:pPr>
        <w:spacing w:after="100"/>
      </w:pPr>
      <w:r>
        <w:rPr>
          <w:rFonts w:ascii="맑은 고딕" w:cs="맑은 고딕" w:eastAsia="맑은 고딕" w:hAnsi="맑은 고딕"/>
          <w:color w:val="C00000"/>
        </w:rPr>
        <w:t xml:space="preserve">[단가 ±30%, 전기요금 ±30%, 유지비 +50%에서도 결론이 유지되는지. 10_누적·민감도 시트 표]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5.6 방위별 회수 기간 (범용 시연)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4"/>
        <w:gridCol w:w="2237"/>
        <w:gridCol w:w="2237"/>
        <w:gridCol w:w="2237"/>
      </w:tblGrid>
      <w:tr>
        <w:trPr>
          <w:tblHeader/>
        </w:trPr>
        <w:tc>
          <w:tcPr>
            <w:tcW w:type="dxa" w:w="23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방위</w:t>
            </w:r>
          </w:p>
        </w:tc>
        <w:tc>
          <w:tcPr>
            <w:tcW w:type="dxa" w:w="22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동향</w:t>
            </w:r>
          </w:p>
        </w:tc>
        <w:tc>
          <w:tcPr>
            <w:tcW w:type="dxa" w:w="22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남향</w:t>
            </w:r>
          </w:p>
        </w:tc>
        <w:tc>
          <w:tcPr>
            <w:tcW w:type="dxa" w:w="22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서향</w:t>
            </w:r>
          </w:p>
        </w:tc>
      </w:tr>
      <w:tr>
        <w:tc>
          <w:tcPr>
            <w:tcW w:type="dxa" w:w="23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스케줄 닫힘 시간(h/일)</w:t>
            </w:r>
          </w:p>
        </w:tc>
        <w:tc>
          <w:tcPr>
            <w:tcW w:type="dxa" w:w="22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22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22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</w:tr>
      <w:tr>
        <w:tc>
          <w:tcPr>
            <w:tcW w:type="dxa" w:w="23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회수 기간(년)</w:t>
            </w:r>
          </w:p>
        </w:tc>
        <w:tc>
          <w:tcPr>
            <w:tcW w:type="dxa" w:w="22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22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22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</w:tr>
    </w:tbl>
    <w:p>
      <w:pPr>
        <w:pStyle w:val="Heading1"/>
        <w:pageBreakBefore/>
      </w:pPr>
      <w:r>
        <w:rPr>
          <w:rFonts w:ascii="맑은 고딕" w:cs="맑은 고딕" w:eastAsia="맑은 고딕" w:hAnsi="맑은 고딕"/>
        </w:rPr>
        <w:t xml:space="preserve">6. 부가 검토 — 주변 아파트 반사광 (확장 시)</w:t>
      </w:r>
    </w:p>
    <w:p>
      <w:pPr>
        <w:shd w:fill="FFF2CC" w:val="clear"/>
        <w:spacing w:after="120" w:before="60"/>
      </w:pPr>
      <w:r>
        <w:rPr>
          <w:rFonts w:ascii="맑은 고딕" w:cs="맑은 고딕" w:eastAsia="맑은 고딕" w:hAnsi="맑은 고딕"/>
          <w:color w:val="7F6000"/>
          <w:sz w:val="19"/>
          <w:szCs w:val="19"/>
        </w:rPr>
        <w:t xml:space="preserve">작성 안내 · 5일차 아침 판단 회의에서 진행 여부 결정. 보류하면 "향후 과제" 한 문단으로 대체</w:t>
      </w:r>
    </w:p>
    <w:p>
      <w:pPr>
        <w:spacing w:after="100"/>
      </w:pPr>
      <w:r>
        <w:rPr>
          <w:rFonts w:ascii="맑은 고딕" w:cs="맑은 고딕" w:eastAsia="맑은 고딕" w:hAnsi="맑은 고딕"/>
          <w:color w:val="C00000"/>
        </w:rPr>
        <w:t xml:space="preserve">[유리 바깥면 반사광이 주변 아파트 단지에 닿는지, 외부 반응형 루버가 이를 줄이는지]</w:t>
      </w:r>
    </w:p>
    <w:p>
      <w:pPr>
        <w:pStyle w:val="Heading1"/>
        <w:pageBreakBefore/>
      </w:pPr>
      <w:r>
        <w:rPr>
          <w:rFonts w:ascii="맑은 고딕" w:cs="맑은 고딕" w:eastAsia="맑은 고딕" w:hAnsi="맑은 고딕"/>
        </w:rPr>
        <w:t xml:space="preserve">7. 결론과 권고</w:t>
      </w:r>
    </w:p>
    <w:p>
      <w:pPr>
        <w:shd w:fill="FFF2CC" w:val="clear"/>
        <w:spacing w:after="120" w:before="60"/>
      </w:pPr>
      <w:r>
        <w:rPr>
          <w:rFonts w:ascii="맑은 고딕" w:cs="맑은 고딕" w:eastAsia="맑은 고딕" w:hAnsi="맑은 고딕"/>
          <w:color w:val="7F6000"/>
          <w:sz w:val="19"/>
          <w:szCs w:val="19"/>
        </w:rPr>
        <w:t xml:space="preserve">작성 안내 · 담당 은미 · 6일차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결론: 해를 따라 날을 돌리는 외부 수직 루버는 통유리 대비 연 약 36.9 MWh, 탄소 약 17.0 tCO₂(30년 약 510 t)를 줄여(1784 1~28층 평균) 검토한 대안 중 에너지 · 탄소 효과가 가장 크다. 여름 창 일사를 68% 줄이고, 겨울 모드(난방일 해와 나란히)로 겨울 햇빛을 76% 받아들인다. 주변 건물 그림자에 가려진 층 · 시간에는 열어 두어 조망과 채광을 지킨다.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권고: 에너지 성능과 탄소 감축이 우선인 신축 · 리모델링에는 외부 반응형(겨울 모드 포함)을 권한다. 외부 고정 0°는 겨울 손실 때문에 순 효과가 마이너스이고, 고정 45°는 여름 성능은 비슷하지만 겨울 햇빛과 조망을 늘 가린다. 북면은 직사광이 거의 없어 루버를 달지 않는다.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비용: 공사비 12.9억은 전기요금만으로 60년 안에 회수되지 않는다(약 87년). 보호 유리 제외 · 단가 절감으로 비용을 낮추고(약 70~85년), 탄소 1톤당 비용(약 253만 원, 30년 기준)과 제로에너지건축물 · 녹색건축 인증 인센티브로 판단한다.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유의사항 및 향후 과제: 창 면적 · 단가는 임시값이며 Revit 물량 · 견적으로 교체한다. 일사량은 Radiance 6개 층(3~25층)을 보간한 1~28층 평균이다. 내부 반응형은 Radiance 계산이 없어 가정값(같은 시간에 닫히고 막은 햇빛의 55%가 실내에)을 쓰고, 냉방 1.13 · 난방 0.56은 한 방(9층 서남 모서리)의 EnergyPlus 민감도라 다른 건물에는 간이 추정이다. 보호 유리가 있을 때의 난방기 일사(겨울 손실)는 아직 계산하지 않았다. 겨울 모드의 눈부심 대책(실내 블라인드 등)과 1784 실제 운영과의 비교는 보완 과제다.</w:t>
      </w:r>
    </w:p>
    <w:p>
      <w:pPr>
        <w:pStyle w:val="Heading1"/>
        <w:pageBreakBefore/>
      </w:pPr>
      <w:r>
        <w:rPr>
          <w:rFonts w:ascii="맑은 고딕" w:cs="맑은 고딕" w:eastAsia="맑은 고딕" w:hAnsi="맑은 고딕"/>
        </w:rPr>
        <w:t xml:space="preserve">8. 부록</w:t>
      </w:r>
    </w:p>
    <w:p>
      <w:pPr>
        <w:shd w:fill="FFF2CC" w:val="clear"/>
        <w:spacing w:after="120" w:before="60"/>
      </w:pPr>
      <w:r>
        <w:rPr>
          <w:rFonts w:ascii="맑은 고딕" w:cs="맑은 고딕" w:eastAsia="맑은 고딕" w:hAnsi="맑은 고딕"/>
          <w:color w:val="7F6000"/>
          <w:sz w:val="19"/>
          <w:szCs w:val="19"/>
        </w:rPr>
        <w:t xml:space="preserve">작성 안내 · 담당 은미 · 가정값과 출처는 엑셀 2_단가조사, 3_차폐·냉방환산에서 복사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8.1 가정값과 출처</w:t>
      </w:r>
    </w:p>
    <w:tbl>
      <w:tblPr>
        <w:tblW w:type="dxa" w:w="902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4"/>
        <w:gridCol w:w="1929"/>
        <w:gridCol w:w="1929"/>
        <w:gridCol w:w="2565"/>
      </w:tblGrid>
      <w:tr>
        <w:trPr>
          <w:tblHeader/>
        </w:trPr>
        <w:tc>
          <w:tcPr>
            <w:tcW w:type="dxa" w:w="26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19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기준값</w:t>
            </w:r>
          </w:p>
        </w:tc>
        <w:tc>
          <w:tcPr>
            <w:tcW w:type="dxa" w:w="19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범위</w:t>
            </w:r>
          </w:p>
        </w:tc>
        <w:tc>
          <w:tcPr>
            <w:tcW w:type="dxa" w:w="256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출처</w:t>
            </w:r>
          </w:p>
        </w:tc>
      </w:tr>
      <w:tr>
        <w:tc>
          <w:tcPr>
            <w:tcW w:type="dxa" w:w="26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루버 자재 단가</w:t>
            </w:r>
          </w:p>
        </w:tc>
        <w:tc>
          <w:tcPr>
            <w:tcW w:type="dxa" w:w="19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9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256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</w:tr>
      <w:tr>
        <w:tc>
          <w:tcPr>
            <w:tcW w:type="dxa" w:w="26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구동 유닛 단가</w:t>
            </w:r>
          </w:p>
        </w:tc>
        <w:tc>
          <w:tcPr>
            <w:tcW w:type="dxa" w:w="19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9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256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</w:tr>
      <w:tr>
        <w:tc>
          <w:tcPr>
            <w:tcW w:type="dxa" w:w="26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전기요금</w:t>
            </w:r>
          </w:p>
        </w:tc>
        <w:tc>
          <w:tcPr>
            <w:tcW w:type="dxa" w:w="19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9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256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</w:tr>
      <w:tr>
        <w:tc>
          <w:tcPr>
            <w:tcW w:type="dxa" w:w="26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차양계수</w:t>
            </w:r>
          </w:p>
        </w:tc>
        <w:tc>
          <w:tcPr>
            <w:tcW w:type="dxa" w:w="19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9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256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</w:tr>
      <w:tr>
        <w:tc>
          <w:tcPr>
            <w:tcW w:type="dxa" w:w="26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COP</w:t>
            </w:r>
          </w:p>
        </w:tc>
        <w:tc>
          <w:tcPr>
            <w:tcW w:type="dxa" w:w="19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9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256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</w:tr>
      <w:tr>
        <w:tc>
          <w:tcPr>
            <w:tcW w:type="dxa" w:w="26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컷오프</w:t>
            </w:r>
          </w:p>
        </w:tc>
        <w:tc>
          <w:tcPr>
            <w:tcW w:type="dxa" w:w="19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30/60/45/30°</w:t>
            </w:r>
          </w:p>
        </w:tc>
        <w:tc>
          <w:tcPr>
            <w:tcW w:type="dxa" w:w="19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±15° 민감도</w:t>
            </w:r>
          </w:p>
        </w:tc>
        <w:tc>
          <w:tcPr>
            <w:tcW w:type="dxa" w:w="256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팀 가정</w:t>
            </w:r>
          </w:p>
        </w:tc>
      </w:tr>
    </w:tbl>
    <w:p>
      <w:pPr>
        <w:pStyle w:val="Heading2"/>
      </w:pPr>
      <w:r>
        <w:rPr>
          <w:rFonts w:ascii="맑은 고딕" w:cs="맑은 고딕" w:eastAsia="맑은 고딕" w:hAnsi="맑은 고딕"/>
        </w:rPr>
        <w:t xml:space="preserve">8.2 도구의 적용 범위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</w:rPr>
        <w:t xml:space="preserve">이 도구가 다루는 것은 직사각형 유리 입면, 수직 루버, 국내 기후, 간이 냉방 산정이다. 모든 건물에 적용 가능하다고 말하지 않는다.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8.3 하지 않은 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필름 등 유리 후처리, 루버 형태 최적화, 밝기(휘도) 계산, 법적 판단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88888"/>
        <w:sz w:val="17"/>
        <w:szCs w:val="17"/>
      </w:rPr>
      <w:t xml:space="preserve">반응형외피 · 발주처 보고서 · </w:t>
    </w:r>
    <w:r>
      <w:rPr>
        <w:rFonts w:ascii="맑은 고딕" w:cs="맑은 고딕" w:eastAsia="맑은 고딕" w:hAnsi="맑은 고딕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맑은 고딕" w:cs="맑은 고딕" w:eastAsia="맑은 고딕" w:hAnsi="맑은 고딕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맑은 고딕" w:cs="맑은 고딕" w:eastAsia="맑은 고딕" w:hAnsi="맑은 고딕"/>
      <w:b/>
      <w:bCs/>
      <w:color w:val="2F5496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2026-10-13T05:36:45.737Z</dcterms:created>
  <dcterms:modified xsi:type="dcterms:W3CDTF">2026-10-13T05:36:45.738Z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