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E6D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rFonts w:ascii="Benton Sans Book" w:hAnsi="Benton Sans Book" w:eastAsia="Benton Sans Book" w:cs="Benton Sans Book"/>
          <w:color w:val="000000"/>
          <w:sz w:val="28"/>
          <w:szCs w:val="28"/>
        </w:rPr>
        <w:t>The Anatomy of a Eurovision Finalist: Structural, Linguistic, and Performative Trends (1998–2012)</w:t>
      </w:r>
    </w:p>
    <w:p w14:paraId="26E289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Benton Sans Book" w:hAnsi="Benton Sans Book" w:eastAsia="Benton Sans Book" w:cs="Benton Sans Book"/>
          <w:b/>
          <w:bCs/>
          <w:color w:val="FF0000"/>
          <w:sz w:val="16"/>
          <w:szCs w:val="16"/>
          <w:lang w:val="en-US" w:eastAsia="zh-CN"/>
        </w:rPr>
      </w:pPr>
    </w:p>
    <w:p w14:paraId="00F362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Benton Sans Book" w:hAnsi="Benton Sans Book" w:eastAsia="Benton Sans Book" w:cs="Benton Sans Book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 w:ascii="Benton Sans Book" w:hAnsi="Benton Sans Book" w:eastAsia="Benton Sans Book" w:cs="Benton Sans Book"/>
          <w:b/>
          <w:bCs/>
          <w:color w:val="FF0000"/>
          <w:sz w:val="16"/>
          <w:szCs w:val="16"/>
          <w:lang w:val="en-US" w:eastAsia="zh-CN"/>
        </w:rPr>
        <w:t>Key➕Timesignature</w:t>
      </w:r>
      <w:bookmarkStart w:id="0" w:name="_GoBack"/>
      <w:bookmarkEnd w:id="0"/>
    </w:p>
    <w:p w14:paraId="5F9D0EB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Tableau Book" w:hAnsi="Tableau Book" w:eastAsia="Tableau Book" w:cs="Tableau Book"/>
          <w:color w:val="666666"/>
          <w:sz w:val="16"/>
          <w:szCs w:val="16"/>
        </w:rPr>
      </w:pPr>
      <w:r>
        <w:rPr>
          <w:rFonts w:ascii="Benton Sans Book" w:hAnsi="Benton Sans Book" w:eastAsia="Benton Sans Book" w:cs="Benton Sans Book"/>
          <w:b/>
          <w:bCs/>
          <w:color w:val="000000"/>
          <w:sz w:val="16"/>
          <w:szCs w:val="16"/>
        </w:rPr>
        <w:t>(1) Structural DNA: Time Signatures and Keys in Eurovision Final Entries</w:t>
      </w:r>
    </w:p>
    <w:p w14:paraId="37C3EE7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  <w:t>Mainstream Time Signatures + Major Keys = Pop Music Paradigm</w:t>
      </w:r>
    </w:p>
    <w:p w14:paraId="4AC34AA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Most works adopt a 4/4 time signature combined with major keys such as A, D, or E major, creating clear melodies and a strong sense of rhythm, making them easy to perform and popularize.</w:t>
      </w:r>
    </w:p>
    <w:p w14:paraId="7250B4E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This results in a typical pop music style, emphasizing "listenability" and stage performance appeal.</w:t>
      </w:r>
    </w:p>
    <w:p w14:paraId="46F5D68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  <w:t>Uncommon Time Signatures × Rare Keys = Differentiated Expression</w:t>
      </w:r>
    </w:p>
    <w:p w14:paraId="6E050EF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Using unconventional time signatures like 3/4 or 5/4, or rare keys such as G minor or B minor, conveys ethnic characteristics or experimental styles.</w:t>
      </w:r>
    </w:p>
    <w:p w14:paraId="04980C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These choices reflect the artist’s strategy to create a unique stage presence.</w:t>
      </w:r>
    </w:p>
    <w:p w14:paraId="4213D1B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  <w:t>Unknown Data: Freedom and Exploration in Creation</w:t>
      </w:r>
    </w:p>
    <w:p w14:paraId="2EA7893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There are 166 works without specified time signatures or keys, which may involve modal music, shifting meters, or non-traditional harmonic systems.</w:t>
      </w:r>
    </w:p>
    <w:p w14:paraId="0D8AB96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ableau Book" w:hAnsi="Tableau Book" w:eastAsia="Tableau Book" w:cs="Tableau Book"/>
          <w:color w:val="666666"/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This suggests a higher degree of creative freedom and stylistic diversity.</w:t>
      </w:r>
    </w:p>
    <w:p w14:paraId="27D6D77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  <w:t xml:space="preserve">The choice of key and time signature is not only a technical component of musical style, but also a deeper reflection of the contestant’s creative intentions, cultural background, and strategic stage positioning. </w:t>
      </w:r>
    </w:p>
    <w:p w14:paraId="01E7F82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Benton Sans Book" w:hAnsi="Benton Sans Book" w:eastAsia="Benton Sans Book" w:cs="Benton Sans Book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 w:ascii="Benton Sans Book" w:hAnsi="Benton Sans Book" w:eastAsia="Benton Sans Book" w:cs="Benton Sans Book"/>
          <w:b/>
          <w:bCs/>
          <w:color w:val="FF0000"/>
          <w:sz w:val="16"/>
          <w:szCs w:val="16"/>
          <w:lang w:val="en-US" w:eastAsia="zh-CN"/>
        </w:rPr>
        <w:t>language➕Group or Solo</w:t>
      </w:r>
    </w:p>
    <w:p w14:paraId="750DEED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ableau Book" w:hAnsi="Tableau Book" w:eastAsia="Tableau Book" w:cs="Tableau Book"/>
          <w:color w:val="666666"/>
          <w:sz w:val="16"/>
          <w:szCs w:val="16"/>
        </w:rPr>
      </w:pPr>
      <w:r>
        <w:rPr>
          <w:rFonts w:ascii="Benton Sans Book" w:hAnsi="Benton Sans Book" w:eastAsia="Benton Sans Book" w:cs="Benton Sans Book"/>
          <w:b/>
          <w:bCs/>
          <w:color w:val="B07AA1"/>
          <w:sz w:val="16"/>
          <w:szCs w:val="16"/>
        </w:rPr>
        <w:t>(2) Language and Performance: Between Mainstream Appeal and Artistic Identity</w:t>
      </w:r>
    </w:p>
    <w:p w14:paraId="7664294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  <w:t>The Dominance of English Highlights Communicative Power</w:t>
      </w:r>
    </w:p>
    <w:p w14:paraId="29D6889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A total of 472 songs were performed in English, accounting for approximately 73%.</w:t>
      </w:r>
    </w:p>
    <w:p w14:paraId="3581E9D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Non-English entries are often used to showcase national culture and express local identity.</w:t>
      </w:r>
    </w:p>
    <w:p w14:paraId="4452BB8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  <w:t>Group Performances Are More Popular</w:t>
      </w:r>
    </w:p>
    <w:p w14:paraId="4B27710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Group acts make up 422 entries, significantly more than solo performances (153 entries).</w:t>
      </w:r>
    </w:p>
    <w:p w14:paraId="082623D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ableau Book" w:hAnsi="Tableau Book" w:eastAsia="Tableau Book" w:cs="Tableau Book"/>
          <w:color w:val="666666"/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The group format helps create a vibrant stage atmosphere and enhances both visual and auditory impact.</w:t>
      </w:r>
    </w:p>
    <w:p w14:paraId="2B4FE0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>Language and performance formats reflect the contestants’ strategic decisions on stage:</w:t>
      </w:r>
    </w:p>
    <w:p w14:paraId="3F386AB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sz w:val="16"/>
          <w:szCs w:val="16"/>
        </w:rPr>
      </w:pP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 xml:space="preserve">The combination of </w:t>
      </w:r>
      <w:r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  <w:t>"</w:t>
      </w:r>
      <w:r>
        <w:rPr>
          <w:rFonts w:hint="default" w:ascii="Benton Sans Book" w:hAnsi="Benton Sans Book" w:eastAsia="Benton Sans Book" w:cs="Benton Sans Book"/>
          <w:color w:val="000000"/>
          <w:sz w:val="16"/>
          <w:szCs w:val="16"/>
        </w:rPr>
        <w:t xml:space="preserve">English + Group Performance" represents a widespread trend, while non-mainstream choices emphasize diversity and cultural identity. </w:t>
      </w:r>
    </w:p>
    <w:p w14:paraId="4BE7470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default" w:ascii="Benton Sans Book" w:hAnsi="Benton Sans Book" w:eastAsia="Benton Sans Book" w:cs="Benton Sans Book"/>
          <w:b/>
          <w:bCs/>
          <w:color w:val="000000"/>
          <w:sz w:val="16"/>
          <w:szCs w:val="16"/>
        </w:rPr>
      </w:pPr>
    </w:p>
    <w:p w14:paraId="256695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Benton Sans 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bleau 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BF52A8"/>
    <w:rsid w:val="97BF52A8"/>
    <w:rsid w:val="FFCFA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2025-04-23T22:30:00Z</dcterms:created>
  <dc:creator>WPS_1731056132</dc:creator>
  <cp:lastModifiedBy>WPS_1731056132</cp:lastModifiedBy>
  <dcterms:modified xsi:type="dcterms:W3CDTF">2025-04-23T22:36:39Z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57475BCC8B5F630C675D096818FF5C5E_43</vt:lpwstr>
  </property>
</Properties>
</file>