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Real-Time</w:t>
      </w:r>
      <w:r>
        <w:t xml:space="preserve"> </w:t>
      </w:r>
      <w:r>
        <w:t xml:space="preserve">Routing</w:t>
      </w:r>
      <w:r>
        <w:t xml:space="preserve"> </w:t>
      </w:r>
      <w:r>
        <w:t xml:space="preserve">of</w:t>
      </w:r>
      <w:r>
        <w:t xml:space="preserve"> </w:t>
      </w:r>
      <w:r>
        <w:t xml:space="preserve">Suspected</w:t>
      </w:r>
      <w:r>
        <w:t xml:space="preserve"> </w:t>
      </w:r>
      <w:r>
        <w:t xml:space="preserve">Stroke</w:t>
      </w:r>
      <w:r>
        <w:t xml:space="preserve"> </w:t>
      </w:r>
      <w:r>
        <w:t xml:space="preserve">Patients:</w:t>
      </w:r>
      <w:r>
        <w:t xml:space="preserve"> </w:t>
      </w:r>
      <w:r>
        <w:t xml:space="preserve">An</w:t>
      </w:r>
      <w:r>
        <w:t xml:space="preserve"> </w:t>
      </w:r>
      <w:r>
        <w:t xml:space="preserve">MDP</w:t>
      </w:r>
      <w:r>
        <w:t xml:space="preserve"> </w:t>
      </w:r>
      <w:r>
        <w:t xml:space="preserve">Policy</w:t>
      </w:r>
      <w:r>
        <w:t xml:space="preserve"> </w:t>
      </w:r>
      <w:r>
        <w:t xml:space="preserve">and</w:t>
      </w:r>
      <w:r>
        <w:t xml:space="preserve"> </w:t>
      </w:r>
      <w:r>
        <w:t xml:space="preserve">Its</w:t>
      </w:r>
      <w:r>
        <w:t xml:space="preserve"> </w:t>
      </w:r>
      <w:r>
        <w:t xml:space="preserve">Decision-Tree</w:t>
      </w:r>
      <w:r>
        <w:t xml:space="preserve"> </w:t>
      </w:r>
      <w:r>
        <w:t xml:space="preserve">Distillation</w:t>
      </w:r>
    </w:p>
    <w:bookmarkStart w:id="20" w:name="abstract"/>
    <w:p>
      <w:pPr>
        <w:pStyle w:val="Heading1"/>
      </w:pPr>
      <w:r>
        <w:t xml:space="preserve">Abstract</w:t>
      </w:r>
    </w:p>
    <w:p>
      <w:pPr>
        <w:pStyle w:val="FirstParagraph"/>
      </w:pPr>
      <w:r>
        <w:t xml:space="preserve">Emergency medical services (EMS) must choose a destination hospital for a suspected stroke patient within minutes, without knowing the stroke subtype, and the choice determines whether time-critical treatment is reached in time. We formulate this dispatch decision as a Markov decision process (MDP) over patient location, time since symptom onset, and subtype uncertainty, with hospitals classified by on-site capability (endovascular thrombectomy, intravenous thrombolysis, or neither), road travel times from a routing engine, inter-facility transfer, and published in-hospital treatment intervals. The MDP is solved online by depth-two forward search, and the policy is distilled into a shallow decision tree that EMS crews can apply without computation. In 10 replicates of 1,000 simulated patients in the San Francisco Bay Area, the MDP policy raised the mean probability of an excellent 90-day outcome (modified Rankin Scale 0–1) from 0.374 under nearest-hospital routing to 0.403 (paired difference 0.029, 95% CI 0.028–0.030), with the largest gains far from thrombectomy centers and no systematic loss in well-served areas; a one-split decision tree recovered 99.8% of this gain. Results were robust to travel-time error, and a routing decision took 18 ms. In Rhode Island the policy matched the state’s single-center protocol while distributing load across nine hospitals.</w:t>
      </w:r>
    </w:p>
    <w:bookmarkEnd w:id="20"/>
    <w:bookmarkStart w:id="21" w:name="note-to-practitioners"/>
    <w:p>
      <w:pPr>
        <w:pStyle w:val="Heading1"/>
      </w:pPr>
      <w:r>
        <w:t xml:space="preserve">Note to Practitioners</w:t>
      </w:r>
    </w:p>
    <w:p>
      <w:pPr>
        <w:pStyle w:val="FirstParagraph"/>
      </w:pPr>
      <w:r>
        <w:t xml:space="preserve">This paper was motivated by a routing problem that EMS agencies face every day: an ambulance crew with a suspected stroke patient must pick a hospital in minutes, while the information that determines the right choice, the stroke subtype, is unavailable until the patient reaches a scanner. Most regions resolve this with a fixed rule, such as nearest hospital or nearest comprehensive center. We show how to compute the destination that maximizes the expected probability of a good outcome, accounting for travel times, each hospital’s treatment capability, the possibility of an onward transfer, and the time already elapsed since onset. The computed policy is then approximated by a decision tree with a handful of branches on quantities a dispatcher already has (time since onset and drive times to the nearest center of each type), so it can be printed on a card or embedded in a dispatch system without any optimization at run time. In two U.S. regions the tree recovers almost all of the benefit of the full optimization. The hospital list and travel-time engine are inputs, so the method transfers to a new region by changing data, not code, and can be re-run when hospital designations change. Limitations: the model assumes hospitals have capacity for the patients routed to them, uses one set of in-hospital treatment intervals per hospital type, and has been evaluated in simulation rather than against observed patient outcomes; a prospective evaluation with an EMS agency is the natural next step.</w:t>
      </w:r>
    </w:p>
    <w:bookmarkEnd w:id="21"/>
    <w:bookmarkStart w:id="22" w:name="index-terms"/>
    <w:p>
      <w:pPr>
        <w:pStyle w:val="Heading1"/>
      </w:pPr>
      <w:r>
        <w:t xml:space="preserve">Index Terms</w:t>
      </w:r>
    </w:p>
    <w:p>
      <w:pPr>
        <w:pStyle w:val="FirstParagraph"/>
      </w:pPr>
      <w:r>
        <w:t xml:space="preserve">Markov decision processes, emergency medical services, stroke, healthcare automation, decision trees.</w:t>
      </w:r>
    </w:p>
    <w:bookmarkEnd w:id="22"/>
    <w:bookmarkStart w:id="23" w:name="introduction"/>
    <w:p>
      <w:pPr>
        <w:pStyle w:val="Heading1"/>
      </w:pPr>
      <w:r>
        <w:t xml:space="preserve">Introduction</w:t>
      </w:r>
    </w:p>
    <w:p>
      <w:pPr>
        <w:pStyle w:val="FirstParagraph"/>
      </w:pPr>
      <w:r>
        <w:t xml:space="preserve">Ambulance routing for suspected stroke is a time-critical decision made under uncertainty, and protocols vary considerably across the United States. In parts of California the absence of a coordinated routing framework means patients are often transported to the nearest hospital by default, which can delay access to definitive care. Rhode Island offers a contrasting case study in severity-based routing, directing suspected large-vessel-occlusion patients to a single comprehensive stroke center, which has been shown to shorten times to treatment </w:t>
      </w:r>
      <w:r>
        <w:t xml:space="preserve">(Jayaraman et al. 2023)</w:t>
      </w:r>
      <w:r>
        <w:t xml:space="preserve">. That approach is not practical in larger or denser regions, where travel distances grow and a single center would be overwhelmed. Between these two fixed rules lies a decision that can be computed: given where the patient is, how long it has been since onset, and what each reachable hospital can do, which destination maximizes the expected outcome?</w:t>
      </w:r>
    </w:p>
    <w:p>
      <w:pPr>
        <w:pStyle w:val="BodyText"/>
      </w:pPr>
      <w:r>
        <w:t xml:space="preserve">The urgency is well quantified: approximately 1.9 million neurons are lost for every minute that treatment is delayed </w:t>
      </w:r>
      <w:r>
        <w:t xml:space="preserve">(Saver 2006)</w:t>
      </w:r>
      <w:r>
        <w:t xml:space="preserve">. Delivering the right treatment is complicated by the range of subtypes a patient may have. Large-vessel occlusion (LVO) is treated with endovascular thrombectomy (EVT), available only at a subset of hospitals, and with intravenous thrombolysis; non-LVO ischemic stroke (nLVO) is treated with thrombolysis alone; intracerebral hemorrhage requires neither, and a share of positive prehospital screens are stroke mimics. We therefore classify hospitals by what they can do on arrival: EVT-capable centers, thrombolysis-capable centers, and acute-care hospitals with no stroke certification. The subtype is unknown at pickup and becomes known only after imaging at the first hospital, so the destination choice is a decision under uncertainty whose consequences include a possible second journey.</w:t>
      </w:r>
    </w:p>
    <w:p>
      <w:pPr>
        <w:pStyle w:val="BodyText"/>
      </w:pPr>
      <w:r>
        <w:t xml:space="preserve">Framed this way, prehospital stroke routing is a sequential decision problem with a well-defined state, a small discrete action set and a quantitative objective, rather than a matter of clinical judgment alone. Every quantity the decision depends on is available to a dispatch system in real time: the ambulance’s position, the onset time reported by the caller, road travel times from a routing engine, and a table of hospital capabilities. The barrier to deployment is not data but a policy that can be computed inside the dispatch window and explained to the crew that applies it. This paper provides both: a Markov decision process (MDP) policy solved online, and its distillation into a decision tree that needs no computation at all.</w:t>
      </w:r>
    </w:p>
    <w:p>
      <w:pPr>
        <w:pStyle w:val="BodyText"/>
      </w:pPr>
      <w:r>
        <w:t xml:space="preserve">Our contributions are as follows. (i) An MDP formulation of prehospital stroke routing that marginalizes over subtype uncertainty at the first decision, models one inter-facility transfer with published in-hospital intervals (door-to-needle, door-to-puncture and door-in-door-out), and uses road-network travel times from an open routing engine. (ii) An interpretable decision-tree policy, selected by a depth sweep on held-out patients, that recovers 99.8% of the MDP’s gain over nearest-hospital routing with a single split. (iii) An evaluation in two regions with ten replicates each, including comparison with the bypass protocols actually in use, stratification by neighborhood income and urbanicity, sensitivity to travel-time error, in-hospital intervals and the definition of EVT capability, and measured per-decision latency. The remainder of the paper reviews related work (Section </w:t>
      </w:r>
      <w:hyperlink w:anchor="sec:related">
        <w:r>
          <w:rPr>
            <w:rStyle w:val="Hyperlink"/>
          </w:rPr>
          <w:t xml:space="preserve">2</w:t>
        </w:r>
      </w:hyperlink>
      <w:r>
        <w:t xml:space="preserve">), states the problem (Section </w:t>
      </w:r>
      <w:hyperlink w:anchor="sec:problem">
        <w:r>
          <w:rPr>
            <w:rStyle w:val="Hyperlink"/>
          </w:rPr>
          <w:t xml:space="preserve">3</w:t>
        </w:r>
      </w:hyperlink>
      <w:r>
        <w:t xml:space="preserve">), describes the solution method (Section </w:t>
      </w:r>
      <w:hyperlink w:anchor="sec:method">
        <w:r>
          <w:rPr>
            <w:rStyle w:val="Hyperlink"/>
          </w:rPr>
          <w:t xml:space="preserve">4</w:t>
        </w:r>
      </w:hyperlink>
      <w:r>
        <w:t xml:space="preserve">) and the experimental setup (Section </w:t>
      </w:r>
      <w:hyperlink w:anchor="sec:setup">
        <w:r>
          <w:rPr>
            <w:rStyle w:val="Hyperlink"/>
          </w:rPr>
          <w:t xml:space="preserve">5</w:t>
        </w:r>
      </w:hyperlink>
      <w:r>
        <w:t xml:space="preserve">), reports results (Section </w:t>
      </w:r>
      <w:hyperlink w:anchor="sec:results">
        <w:r>
          <w:rPr>
            <w:rStyle w:val="Hyperlink"/>
          </w:rPr>
          <w:t xml:space="preserve">6</w:t>
        </w:r>
      </w:hyperlink>
      <w:r>
        <w:t xml:space="preserve">) and discusses limitations (Section </w:t>
      </w:r>
      <w:hyperlink w:anchor="sec:discussion">
        <w:r>
          <w:rPr>
            <w:rStyle w:val="Hyperlink"/>
          </w:rPr>
          <w:t xml:space="preserve">7</w:t>
        </w:r>
      </w:hyperlink>
      <w:r>
        <w:t xml:space="preserve">).</w:t>
      </w:r>
    </w:p>
    <w:bookmarkEnd w:id="23"/>
    <w:bookmarkStart w:id="28" w:name="sec:related"/>
    <w:p>
      <w:pPr>
        <w:pStyle w:val="Heading1"/>
      </w:pPr>
      <w:r>
        <w:t xml:space="preserve">Related Work</w:t>
      </w:r>
    </w:p>
    <w:bookmarkStart w:id="24" w:name="stroke-transport-modeling"/>
    <w:p>
      <w:pPr>
        <w:pStyle w:val="Heading2"/>
      </w:pPr>
      <w:r>
        <w:t xml:space="preserve">Stroke transport modeling</w:t>
      </w:r>
    </w:p>
    <w:p>
      <w:pPr>
        <w:pStyle w:val="FirstParagraph"/>
      </w:pPr>
      <w:r>
        <w:t xml:space="preserve">Recent studies collectively highlight the difficulty of a universal stroke routing protocol given the diversity of patients and hospital capabilities. Schlemm</w:t>
      </w:r>
      <w:r>
        <w:t xml:space="preserve"> </w:t>
      </w:r>
      <w:r>
        <w:rPr>
          <w:iCs/>
          <w:i/>
        </w:rPr>
        <w:t xml:space="preserve">et al.</w:t>
      </w:r>
      <w:r>
        <w:t xml:space="preserve"> </w:t>
      </w:r>
      <w:r>
        <w:t xml:space="preserve">(Schlemm et al. 2017)</w:t>
      </w:r>
      <w:r>
        <w:t xml:space="preserve"> </w:t>
      </w:r>
      <w:r>
        <w:t xml:space="preserve">and Al Fatah</w:t>
      </w:r>
      <w:r>
        <w:t xml:space="preserve"> </w:t>
      </w:r>
      <w:r>
        <w:rPr>
          <w:iCs/>
          <w:i/>
        </w:rPr>
        <w:t xml:space="preserve">et al.</w:t>
      </w:r>
      <w:r>
        <w:t xml:space="preserve"> </w:t>
      </w:r>
      <w:r>
        <w:t xml:space="preserve">(Al Fatah et al. 2018)</w:t>
      </w:r>
      <w:r>
        <w:t xml:space="preserve"> </w:t>
      </w:r>
      <w:r>
        <w:t xml:space="preserve">propose strategic routing models, using prehospital severity scales and agent-based simulation to weigh stroke severity against transport times, and Maas</w:t>
      </w:r>
      <w:r>
        <w:t xml:space="preserve"> </w:t>
      </w:r>
      <w:r>
        <w:rPr>
          <w:iCs/>
          <w:i/>
        </w:rPr>
        <w:t xml:space="preserve">et al.</w:t>
      </w:r>
      <w:r>
        <w:t xml:space="preserve"> </w:t>
      </w:r>
      <w:r>
        <w:t xml:space="preserve">(Maas et al. 2020)</w:t>
      </w:r>
      <w:r>
        <w:t xml:space="preserve"> </w:t>
      </w:r>
      <w:r>
        <w:t xml:space="preserve">stress region-specific pathway design, contrasting drip-and-ship with mothership. Holodinsky</w:t>
      </w:r>
      <w:r>
        <w:t xml:space="preserve"> </w:t>
      </w:r>
      <w:r>
        <w:rPr>
          <w:iCs/>
          <w:i/>
        </w:rPr>
        <w:t xml:space="preserve">et al.</w:t>
      </w:r>
      <w:r>
        <w:t xml:space="preserve"> </w:t>
      </w:r>
      <w:r>
        <w:t xml:space="preserve">(Holodinsky et al. 2018)</w:t>
      </w:r>
      <w:r>
        <w:t xml:space="preserve"> </w:t>
      </w:r>
      <w:r>
        <w:t xml:space="preserve">model the probability of a good outcome as a function of onset-to-treatment time for each subtype under both pathways and map the better pathway for a region; their outcome functions are the reward model used here. The randomized RACECAT trial </w:t>
      </w:r>
      <w:r>
        <w:t xml:space="preserve">(Pérez de la Ossa et al. 2022)</w:t>
      </w:r>
      <w:r>
        <w:t xml:space="preserve"> </w:t>
      </w:r>
      <w:r>
        <w:t xml:space="preserve">found that direct transport of suspected LVO patients to a thrombectomy center was not superior to transport to the nearest local center across a whole region, which is the clinical motivation for a patient-specific policy rather than a fixed bypass rule. These models answer the question for a region or a pathway; we answer it for an individual patient at dispatch time, with the subtype uncertainty and the transfer stage inside one formulation.</w:t>
      </w:r>
    </w:p>
    <w:bookmarkEnd w:id="24"/>
    <w:bookmarkStart w:id="25" w:name="X3698aec588e017dbde7e7a8f33a0492a8e9111f"/>
    <w:p>
      <w:pPr>
        <w:pStyle w:val="Heading2"/>
      </w:pPr>
      <w:r>
        <w:t xml:space="preserve">Operations research for stroke networks and EMS</w:t>
      </w:r>
    </w:p>
    <w:p>
      <w:pPr>
        <w:pStyle w:val="FirstParagraph"/>
      </w:pPr>
      <w:r>
        <w:t xml:space="preserve">Ardestani-Jaafari and Kucukyazici </w:t>
      </w:r>
      <w:r>
        <w:t xml:space="preserve">(Ardestani-Jaafari and Kucukyazici 2022)</w:t>
      </w:r>
      <w:r>
        <w:t xml:space="preserve"> </w:t>
      </w:r>
      <w:r>
        <w:t xml:space="preserve">optimize inter-facility transfer protocols for a regional stroke network, choosing network-level rules offline and evaluating them for Quebec. Their object is the protocol; ours is the per-patient dispatch decision, solved online, and the two are complementary: a protocol of their class could be used as a comparator in our framework, and our policy could be the dispatch layer beneath their transfer rules. Zachrison</w:t>
      </w:r>
      <w:r>
        <w:t xml:space="preserve"> </w:t>
      </w:r>
      <w:r>
        <w:rPr>
          <w:iCs/>
          <w:i/>
        </w:rPr>
        <w:t xml:space="preserve">et al.</w:t>
      </w:r>
      <w:r>
        <w:t xml:space="preserve"> </w:t>
      </w:r>
      <w:r>
        <w:t xml:space="preserve">(Zachrison et al. 2026)</w:t>
      </w:r>
      <w:r>
        <w:t xml:space="preserve"> </w:t>
      </w:r>
      <w:r>
        <w:t xml:space="preserve">take a decision-analytic approach to the same per-patient destination question, simulating 400,000 patient-location scenarios in the northeastern United States with hospital-specific treatment times; their model chooses between the two consensus pathways for a given patient, whereas ours searches over every reachable hospital and the subsequent transfer, and is distilled for use without computation. More broadly, MDPs and approximate dynamic programming have been applied to ambulance redeployment and dispatch </w:t>
      </w:r>
      <w:r>
        <w:t xml:space="preserve">(Maxwell et al. 2010)</w:t>
      </w:r>
      <w:r>
        <w:t xml:space="preserve">, where the state is the fleet rather than the patient. Capacity-aware models of receiving centers (queueing for angiography suites and beds) exist in the operations literature; we do not model capacity (Section </w:t>
      </w:r>
      <w:hyperlink w:anchor="sec:discussion">
        <w:r>
          <w:rPr>
            <w:rStyle w:val="Hyperlink"/>
          </w:rPr>
          <w:t xml:space="preserve">7</w:t>
        </w:r>
      </w:hyperlink>
      <w:r>
        <w:t xml:space="preserve">) and treat the spread of patients across hospitals as a qualitative indication only.</w:t>
      </w:r>
    </w:p>
    <w:bookmarkEnd w:id="25"/>
    <w:bookmarkStart w:id="26" w:name="interpretable-policies-for-deployment"/>
    <w:p>
      <w:pPr>
        <w:pStyle w:val="Heading2"/>
      </w:pPr>
      <w:r>
        <w:t xml:space="preserve">Interpretable policies for deployment</w:t>
      </w:r>
    </w:p>
    <w:p>
      <w:pPr>
        <w:pStyle w:val="FirstParagraph"/>
      </w:pPr>
      <w:r>
        <w:t xml:space="preserve">A computed policy is only deployable in an ambulance if the crew can apply and explain it. Policy distillation into decision trees </w:t>
      </w:r>
      <w:r>
        <w:t xml:space="preserve">(Bastani, Pu, and Solar-Lezama 2018)</w:t>
      </w:r>
      <w:r>
        <w:t xml:space="preserve"> </w:t>
      </w:r>
      <w:r>
        <w:t xml:space="preserve">trains a tree on the actions of a stronger policy and verifies the tree against it; clinical decision rules have long taken the same form. Our tree is trained on the MDP’s own labels, evaluated against the MDP on patients never used for training, and its depth is chosen by a sweep that trades leaves against the share of the MDP’s gain that the tree recovers.</w:t>
      </w:r>
    </w:p>
    <w:bookmarkEnd w:id="26"/>
    <w:bookmarkStart w:id="27" w:name="what-this-paper-adds"/>
    <w:p>
      <w:pPr>
        <w:pStyle w:val="Heading2"/>
      </w:pPr>
      <w:r>
        <w:t xml:space="preserve">What this paper adds</w:t>
      </w:r>
    </w:p>
    <w:p>
      <w:pPr>
        <w:pStyle w:val="FirstParagraph"/>
      </w:pPr>
      <w:r>
        <w:t xml:space="preserve">Relative to the stroke-transport models, we provide a per-patient policy that handles subtype uncertainty and transfer within a single formulation, and evaluate it with replicates, stratification by neighborhood income and urbanicity, and sensitivity analyses. Relative to the operations literature, the policy is online, interpretable and measured for latency. Relative to the clinical literature, hospital capability is defined by verified certification with a sensitivity analysis for uncertified thrombectomy sites, and in-hospital intervals are taken from current registry benchmarks rather than assumed.</w:t>
      </w:r>
    </w:p>
    <w:bookmarkEnd w:id="27"/>
    <w:bookmarkEnd w:id="28"/>
    <w:bookmarkStart w:id="36" w:name="sec:problem"/>
    <w:p>
      <w:pPr>
        <w:pStyle w:val="Heading1"/>
      </w:pPr>
      <w:r>
        <w:t xml:space="preserve">Problem Formulation</w:t>
      </w:r>
    </w:p>
    <w:p>
      <w:pPr>
        <w:pStyle w:val="FirstParagraph"/>
      </w:pPr>
      <w:r>
        <w:t xml:space="preserve">We model prehospital stroke triage as a Markov decision process (MDP) </w:t>
      </w:r>
      <w:r>
        <w:t xml:space="preserve">(Bellman 1957; Kochenderfer, Wheeler, and Wray 2022)</w:t>
      </w:r>
      <w:r>
        <w:t xml:space="preserve"> </w:t>
      </w:r>
      <w:r>
        <w:t xml:space="preserve">defined by a state space, an action space, a transition model, and a reward function. The objective is a policy, a mapping from states to actions, that maximizes expected reward. Here the horizon is short, an initial transport and at most one inter-facility transfer, and the reward is a single terminal quantity: the probability of a good outcome once the patient’s care pathway is complete.</w:t>
      </w:r>
    </w:p>
    <w:bookmarkStart w:id="29" w:name="hospital-capability-tiers"/>
    <w:p>
      <w:pPr>
        <w:pStyle w:val="Heading2"/>
      </w:pPr>
      <w:r>
        <w:t xml:space="preserve">Hospital capability tiers</w:t>
      </w:r>
    </w:p>
    <w:p>
      <w:pPr>
        <w:pStyle w:val="FirstParagraph"/>
      </w:pPr>
      <w:r>
        <w:t xml:space="preserve">Hospitals are classified by what they can do for a stroke patient on arrival, not by certification label alone. An</w:t>
      </w:r>
      <w:r>
        <w:t xml:space="preserve"> </w:t>
      </w:r>
      <w:r>
        <w:rPr>
          <w:iCs/>
          <w:i/>
        </w:rPr>
        <w:t xml:space="preserve">EVT-capable center</w:t>
      </w:r>
      <w:r>
        <w:t xml:space="preserve"> </w:t>
      </w:r>
      <w:r>
        <w:t xml:space="preserve">performs endovascular thrombectomy on site; in the primary analysis this means a Joint Commission Comprehensive or Thrombectomy-Capable Stroke Center, a DNV Comprehensive Stroke Center, or a hospital designated for thrombectomy by its county EMS agency. A</w:t>
      </w:r>
      <w:r>
        <w:t xml:space="preserve"> </w:t>
      </w:r>
      <w:r>
        <w:rPr>
          <w:iCs/>
          <w:i/>
        </w:rPr>
        <w:t xml:space="preserve">thrombolysis-capable center</w:t>
      </w:r>
      <w:r>
        <w:t xml:space="preserve"> </w:t>
      </w:r>
      <w:r>
        <w:t xml:space="preserve">administers intravenous thrombolysis but transfers patients for EVT (Primary, Advanced Primary and Acute Stroke Ready certification). A</w:t>
      </w:r>
      <w:r>
        <w:t xml:space="preserve"> </w:t>
      </w:r>
      <w:r>
        <w:rPr>
          <w:iCs/>
          <w:i/>
        </w:rPr>
        <w:t xml:space="preserve">non-stroke-center hospital</w:t>
      </w:r>
      <w:r>
        <w:t xml:space="preserve"> </w:t>
      </w:r>
      <w:r>
        <w:t xml:space="preserve">has a 24-hour emergency department and no stroke certification; we assume it neither administers thrombolysis nor performs EVT and transfers for both. Section </w:t>
      </w:r>
      <w:hyperlink w:anchor="sec:setup">
        <w:r>
          <w:rPr>
            <w:rStyle w:val="Hyperlink"/>
          </w:rPr>
          <w:t xml:space="preserve">5</w:t>
        </w:r>
      </w:hyperlink>
      <w:r>
        <w:t xml:space="preserve"> </w:t>
      </w:r>
      <w:r>
        <w:t xml:space="preserve">describes how designations were verified, and Section </w:t>
      </w:r>
      <w:hyperlink w:anchor="sec:results">
        <w:r>
          <w:rPr>
            <w:rStyle w:val="Hyperlink"/>
          </w:rPr>
          <w:t xml:space="preserve">6</w:t>
        </w:r>
      </w:hyperlink>
      <w:r>
        <w:t xml:space="preserve"> </w:t>
      </w:r>
      <w:r>
        <w:t xml:space="preserve">reports a sensitivity analysis in which hospitals known to perform thrombectomy without certification are treated as EVT-capable.</w:t>
      </w:r>
    </w:p>
    <w:p>
      <w:pPr>
        <w:pStyle w:val="BodyText"/>
      </w:pPr>
      <w:r>
        <w:t xml:space="preserve">Fig. </w:t>
      </w:r>
      <w:hyperlink w:anchor="fig:mdp">
        <w:r>
          <w:rPr>
            <w:rStyle w:val="Hyperlink"/>
          </w:rPr>
          <w:t xml:space="preserve">[fig:mdp]</w:t>
        </w:r>
      </w:hyperlink>
      <w:r>
        <w:t xml:space="preserve"> </w:t>
      </w:r>
      <w:r>
        <w:t xml:space="preserve">summarizes the states, actions, information flow and timing of the model.</w:t>
      </w:r>
    </w:p>
    <w:bookmarkEnd w:id="29"/>
    <w:bookmarkStart w:id="30" w:name="state-space"/>
    <w:p>
      <w:pPr>
        <w:pStyle w:val="Heading2"/>
      </w:pPr>
      <w:r>
        <w:t xml:space="preserve">State space</w:t>
      </w:r>
    </w:p>
    <w:p>
      <w:pPr>
        <w:pStyle w:val="FirstParagraph"/>
      </w:pPr>
      <w:r>
        <w:t xml:space="preserve">A state</w:t>
      </w:r>
      <w:r>
        <w:t xml:space="preserve"> </w:t>
      </w:r>
      <m:oMath>
        <m:r>
          <m:t>s</m:t>
        </m:r>
        <m:r>
          <m:rPr>
            <m:sty m:val="p"/>
          </m:rPr>
          <m:t>=</m:t>
        </m:r>
        <m:d>
          <m:dPr>
            <m:begChr m:val="("/>
            <m:endChr m:val=")"/>
            <m:sepChr m:val=""/>
            <m:grow/>
          </m:dPr>
          <m:e>
            <m:r>
              <m:rPr>
                <m:sty m:val="p"/>
              </m:rPr>
              <m:t>ℓ</m:t>
            </m:r>
            <m:r>
              <m:rPr>
                <m:sty m:val="p"/>
              </m:rPr>
              <m:t>,</m:t>
            </m:r>
            <m:r>
              <m:t>t</m:t>
            </m:r>
            <m:r>
              <m:rPr>
                <m:sty m:val="p"/>
              </m:rPr>
              <m:t>,</m:t>
            </m:r>
            <m:r>
              <m:t>k</m:t>
            </m:r>
            <m:r>
              <m:rPr>
                <m:sty m:val="p"/>
              </m:rPr>
              <m:t>,</m:t>
            </m:r>
            <m:r>
              <m:t>σ</m:t>
            </m:r>
          </m:e>
        </m:d>
      </m:oMath>
      <w:r>
        <w:t xml:space="preserve"> </w:t>
      </w:r>
      <w:r>
        <w:t xml:space="preserve">comprises the patient’s location</w:t>
      </w:r>
      <w:r>
        <w:t xml:space="preserve"> </w:t>
      </w:r>
      <m:oMath>
        <m:r>
          <m:rPr>
            <m:sty m:val="p"/>
          </m:rPr>
          <m:t>ℓ</m:t>
        </m:r>
      </m:oMath>
      <w:r>
        <w:t xml:space="preserve"> </w:t>
      </w:r>
      <w:r>
        <w:t xml:space="preserve">(a pickup coordinate or a hospital), minutes since symptom onset</w:t>
      </w:r>
      <w:r>
        <w:t xml:space="preserve"> </w:t>
      </w:r>
      <m:oMath>
        <m:r>
          <m:t>t</m:t>
        </m:r>
      </m:oMath>
      <w:r>
        <w:t xml:space="preserve">, whether the subtype is known</w:t>
      </w:r>
      <w:r>
        <w:t xml:space="preserve"> </w:t>
      </w:r>
      <m:oMath>
        <m:r>
          <m:t>k</m:t>
        </m:r>
        <m:r>
          <m:rPr>
            <m:sty m:val="p"/>
          </m:rPr>
          <m:t>∈</m:t>
        </m:r>
        <m:r>
          <m:rPr>
            <m:sty m:val="p"/>
          </m:rPr>
          <m:t>{</m:t>
        </m:r>
        <m:r>
          <m:rPr>
            <m:nor/>
            <m:sty m:val="p"/>
          </m:rPr>
          <m:t>unknown</m:t>
        </m:r>
        <m:r>
          <m:rPr>
            <m:sty m:val="p"/>
          </m:rPr>
          <m:t>,</m:t>
        </m:r>
        <m:r>
          <m:rPr>
            <m:nor/>
            <m:sty m:val="p"/>
          </m:rPr>
          <m:t>known</m:t>
        </m:r>
        <m:r>
          <m:rPr>
            <m:sty m:val="p"/>
          </m:rPr>
          <m:t>}</m:t>
        </m:r>
      </m:oMath>
      <w:r>
        <w:t xml:space="preserve">, and the subtype</w:t>
      </w:r>
      <w:r>
        <w:t xml:space="preserve"> </w:t>
      </w:r>
      <m:oMath>
        <m:r>
          <m:t>σ</m:t>
        </m:r>
        <m:r>
          <m:rPr>
            <m:sty m:val="p"/>
          </m:rPr>
          <m:t>∈</m:t>
        </m:r>
        <m:r>
          <m:rPr>
            <m:sty m:val="p"/>
          </m:rPr>
          <m:t>{</m:t>
        </m:r>
        <m:r>
          <m:rPr>
            <m:nor/>
            <m:sty m:val="p"/>
          </m:rPr>
          <m:t>LVO</m:t>
        </m:r>
        <m:r>
          <m:rPr>
            <m:sty m:val="p"/>
          </m:rPr>
          <m:t>,</m:t>
        </m:r>
        <m:r>
          <m:rPr>
            <m:nor/>
            <m:sty m:val="p"/>
          </m:rPr>
          <m:t>nLVO</m:t>
        </m:r>
        <m:r>
          <m:rPr>
            <m:sty m:val="p"/>
          </m:rPr>
          <m:t>,</m:t>
        </m:r>
        <m:r>
          <m:rPr>
            <m:nor/>
            <m:sty m:val="p"/>
          </m:rPr>
          <m:t>ICH</m:t>
        </m:r>
        <m:r>
          <m:rPr>
            <m:sty m:val="p"/>
          </m:rPr>
          <m:t>,</m:t>
        </m:r>
        <m:r>
          <m:rPr>
            <m:nor/>
            <m:sty m:val="p"/>
          </m:rPr>
          <m:t>mimic</m:t>
        </m:r>
        <m:r>
          <m:rPr>
            <m:sty m:val="p"/>
          </m:rPr>
          <m:t>}</m:t>
        </m:r>
      </m:oMath>
      <w:r>
        <w:t xml:space="preserve">. Pickup locations are sampled from high-resolution population density data </w:t>
      </w:r>
      <w:r>
        <w:t xml:space="preserve">(Meta Data for Good 2019)</w:t>
      </w:r>
      <w:r>
        <w:t xml:space="preserve">, and onset-to-pickup time from 30 to 270 minutes, reflecting typical ranges to EMS contact </w:t>
      </w:r>
      <w:r>
        <w:t xml:space="preserve">(Eddelien et al. 2021)</w:t>
      </w:r>
      <w:r>
        <w:t xml:space="preserve">. The subtype is drawn from the published prevalence of each category among patients with a positive prehospital LVO screen (Los Angeles Motor Scale</w:t>
      </w:r>
      <w:r>
        <w:t xml:space="preserve"> </w:t>
      </w:r>
      <m:oMath>
        <m:r>
          <m:rPr>
            <m:sty m:val="p"/>
          </m:rPr>
          <m:t>≥</m:t>
        </m:r>
        <m:r>
          <m:t>4</m:t>
        </m:r>
      </m:oMath>
      <w:r>
        <w:t xml:space="preserve">) </w:t>
      </w:r>
      <w:r>
        <w:t xml:space="preserve">(Holodinsky et al. 2018)</w:t>
      </w:r>
      <w:r>
        <w:t xml:space="preserve">:</w:t>
      </w:r>
      <w:r>
        <w:t xml:space="preserve"> </w:t>
      </w:r>
      <m:oMath>
        <m:sSub>
          <m:e>
            <m:r>
              <m:t>p</m:t>
            </m:r>
          </m:e>
          <m:sub>
            <m:r>
              <m:rPr>
                <m:nor/>
                <m:sty m:val="p"/>
              </m:rPr>
              <m:t>LVO</m:t>
            </m:r>
          </m:sub>
        </m:sSub>
        <m:r>
          <m:rPr>
            <m:sty m:val="p"/>
          </m:rPr>
          <m:t>=</m:t>
        </m:r>
        <m:r>
          <m:t>0.454</m:t>
        </m:r>
      </m:oMath>
      <w:r>
        <w:t xml:space="preserve">,</w:t>
      </w:r>
      <w:r>
        <w:t xml:space="preserve"> </w:t>
      </w:r>
      <m:oMath>
        <m:sSub>
          <m:e>
            <m:r>
              <m:t>p</m:t>
            </m:r>
          </m:e>
          <m:sub>
            <m:r>
              <m:rPr>
                <m:nor/>
                <m:sty m:val="p"/>
              </m:rPr>
              <m:t>nLVO</m:t>
            </m:r>
          </m:sub>
        </m:sSub>
        <m:r>
          <m:rPr>
            <m:sty m:val="p"/>
          </m:rPr>
          <m:t>=</m:t>
        </m:r>
        <m:r>
          <m:t>0.109</m:t>
        </m:r>
      </m:oMath>
      <w:r>
        <w:t xml:space="preserve">,</w:t>
      </w:r>
      <w:r>
        <w:t xml:space="preserve"> </w:t>
      </w:r>
      <m:oMath>
        <m:sSub>
          <m:e>
            <m:r>
              <m:t>p</m:t>
            </m:r>
          </m:e>
          <m:sub>
            <m:r>
              <m:rPr>
                <m:nor/>
                <m:sty m:val="p"/>
              </m:rPr>
              <m:t>ICH</m:t>
            </m:r>
          </m:sub>
        </m:sSub>
        <m:r>
          <m:rPr>
            <m:sty m:val="p"/>
          </m:rPr>
          <m:t>=</m:t>
        </m:r>
        <m:r>
          <m:t>0.345</m:t>
        </m:r>
      </m:oMath>
      <w:r>
        <w:t xml:space="preserve">,</w:t>
      </w:r>
      <w:r>
        <w:t xml:space="preserve"> </w:t>
      </w:r>
      <m:oMath>
        <m:sSub>
          <m:e>
            <m:r>
              <m:t>p</m:t>
            </m:r>
          </m:e>
          <m:sub>
            <m:r>
              <m:rPr>
                <m:nor/>
                <m:sty m:val="p"/>
              </m:rPr>
              <m:t>mimic</m:t>
            </m:r>
          </m:sub>
        </m:sSub>
        <m:r>
          <m:rPr>
            <m:sty m:val="p"/>
          </m:rPr>
          <m:t>=</m:t>
        </m:r>
        <m:r>
          <m:t>0.092</m:t>
        </m:r>
      </m:oMath>
      <w:r>
        <w:t xml:space="preserve">. The planner never observes the drawn subtype while</w:t>
      </w:r>
      <w:r>
        <w:t xml:space="preserve"> </w:t>
      </w:r>
      <m:oMath>
        <m:r>
          <m:t>k</m:t>
        </m:r>
        <m:r>
          <m:rPr>
            <m:sty m:val="p"/>
          </m:rPr>
          <m:t>=</m:t>
        </m:r>
        <m:r>
          <m:rPr>
            <m:nor/>
            <m:sty m:val="p"/>
          </m:rPr>
          <m:t>unknown</m:t>
        </m:r>
      </m:oMath>
      <w:r>
        <w:t xml:space="preserve">; it reasons over the prior (Section </w:t>
      </w:r>
      <w:hyperlink w:anchor="sec:method">
        <w:r>
          <w:rPr>
            <w:rStyle w:val="Hyperlink"/>
          </w:rPr>
          <w:t xml:space="preserve">4</w:t>
        </w:r>
      </w:hyperlink>
      <w:r>
        <w:t xml:space="preserve">). The subtype becomes known on arrival at any hospital, when imaging is assumed to occur.</w:t>
      </w:r>
    </w:p>
    <w:bookmarkEnd w:id="30"/>
    <w:bookmarkStart w:id="31" w:name="action-space"/>
    <w:p>
      <w:pPr>
        <w:pStyle w:val="Heading2"/>
      </w:pPr>
      <w:r>
        <w:t xml:space="preserve">Action space</w:t>
      </w:r>
    </w:p>
    <w:p>
      <w:pPr>
        <w:pStyle w:val="FirstParagraph"/>
      </w:pPr>
      <w:r>
        <w:t xml:space="preserve">Actions are discrete and location-dependent, and never route a patient to a lower capability tier. From the field, the patient may be transported to any hospital the road network reaches. From a non-stroke-center hospital the options are transfer to a thrombolysis-capable or EVT-capable center, or stay. From a thrombolysis-capable center, transfer to an EVT-capable center or stay. At an EVT-capable center the only action is to stay.</w:t>
      </w:r>
    </w:p>
    <w:bookmarkEnd w:id="31"/>
    <w:bookmarkStart w:id="32" w:name="transition-model"/>
    <w:p>
      <w:pPr>
        <w:pStyle w:val="Heading2"/>
      </w:pPr>
      <w:r>
        <w:t xml:space="preserve">Transition model</w:t>
      </w:r>
    </w:p>
    <w:p>
      <w:pPr>
        <w:pStyle w:val="FirstParagraph"/>
      </w:pPr>
      <w:r>
        <w:t xml:space="preserve">A routing action moves the patient to the chosen hospital and advances the clock by the road travel time</w:t>
      </w:r>
      <w:r>
        <w:t xml:space="preserve"> </w:t>
      </w:r>
      <m:oMath>
        <m:r>
          <m:t>τ</m:t>
        </m:r>
        <m:d>
          <m:dPr>
            <m:begChr m:val="("/>
            <m:endChr m:val=")"/>
            <m:sepChr m:val=""/>
            <m:grow/>
          </m:dPr>
          <m:e>
            <m:r>
              <m:rPr>
                <m:sty m:val="p"/>
              </m:rPr>
              <m:t>ℓ</m:t>
            </m:r>
            <m:r>
              <m:rPr>
                <m:sty m:val="p"/>
              </m:rPr>
              <m:t>,</m:t>
            </m:r>
            <m:r>
              <m:rPr>
                <m:sty m:val="p"/>
              </m:rPr>
              <m:t>ℓ</m:t>
            </m:r>
            <m:r>
              <m:rPr>
                <m:sty m:val="p"/>
              </m:rPr>
              <m:t>′</m:t>
            </m:r>
          </m:e>
        </m:d>
      </m:oMath>
      <w:r>
        <w:t xml:space="preserve"> </w:t>
      </w:r>
      <w:r>
        <w:t xml:space="preserve">obtained from the OpenRouteService routing engine on OpenStreetMap data; a transfer out of a hospital additionally incurs the door-in-door-out interval</w:t>
      </w:r>
      <w:r>
        <w:t xml:space="preserve"> </w:t>
      </w:r>
      <m:oMath>
        <m:sSub>
          <m:e>
            <m:r>
              <m:t>T</m:t>
            </m:r>
          </m:e>
          <m:sub>
            <m:r>
              <m:rPr>
                <m:nor/>
                <m:sty m:val="p"/>
              </m:rPr>
              <m:t>DIDO</m:t>
            </m:r>
          </m:sub>
        </m:sSub>
      </m:oMath>
      <w:r>
        <w:t xml:space="preserve"> </w:t>
      </w:r>
      <w:r>
        <w:t xml:space="preserve">before departure. On arrival the subtype becomes known. Transitions are deterministic given the action; all uncertainty enters through the subtype.</w:t>
      </w:r>
    </w:p>
    <w:bookmarkEnd w:id="32"/>
    <w:bookmarkStart w:id="34" w:name="in-hospital-intervals"/>
    <w:p>
      <w:pPr>
        <w:pStyle w:val="Heading2"/>
      </w:pPr>
      <w:r>
        <w:t xml:space="preserve">In-hospital intervals</w:t>
      </w:r>
    </w:p>
    <w:p>
      <w:pPr>
        <w:pStyle w:val="FirstParagraph"/>
      </w:pPr>
      <w:r>
        <w:t xml:space="preserve">Treatment is not instantaneous on arrival. We model three intervals, one value per interval for all hospitals of a tier, taken from national benchmarks (Table </w:t>
      </w:r>
      <w:hyperlink w:anchor="tab:intervals">
        <w:r>
          <w:rPr>
            <w:rStyle w:val="Hyperlink"/>
          </w:rPr>
          <w:t xml:space="preserve">1</w:t>
        </w:r>
      </w:hyperlink>
      <w:r>
        <w:t xml:space="preserve">): door-to-needle</w:t>
      </w:r>
      <w:r>
        <w:t xml:space="preserve"> </w:t>
      </w:r>
      <m:oMath>
        <m:sSub>
          <m:e>
            <m:r>
              <m:t>T</m:t>
            </m:r>
          </m:e>
          <m:sub>
            <m:r>
              <m:rPr>
                <m:nor/>
                <m:sty m:val="p"/>
              </m:rPr>
              <m:t>DTN</m:t>
            </m:r>
          </m:sub>
        </m:sSub>
      </m:oMath>
      <w:r>
        <w:t xml:space="preserve"> </w:t>
      </w:r>
      <w:r>
        <w:t xml:space="preserve">for thrombolysis; door-to-puncture</w:t>
      </w:r>
      <w:r>
        <w:t xml:space="preserve"> </w:t>
      </w:r>
      <m:oMath>
        <m:sSub>
          <m:e>
            <m:r>
              <m:t>T</m:t>
            </m:r>
          </m:e>
          <m:sub>
            <m:r>
              <m:rPr>
                <m:nor/>
                <m:sty m:val="p"/>
              </m:rPr>
              <m:t>DTP</m:t>
            </m:r>
          </m:sub>
        </m:sSub>
      </m:oMath>
      <w:r>
        <w:t xml:space="preserve"> </w:t>
      </w:r>
      <w:r>
        <w:t xml:space="preserve">for EVT after direct arrival, and a shorter</w:t>
      </w:r>
      <w:r>
        <w:t xml:space="preserve"> </w:t>
      </w:r>
      <m:oMath>
        <m:sSubSup>
          <m:e>
            <m:r>
              <m:t>T</m:t>
            </m:r>
          </m:e>
          <m:sub>
            <m:r>
              <m:rPr>
                <m:nor/>
                <m:sty m:val="p"/>
              </m:rPr>
              <m:t>DTP</m:t>
            </m:r>
          </m:sub>
          <m:sup>
            <m:r>
              <m:rPr>
                <m:nor/>
                <m:sty m:val="p"/>
              </m:rPr>
              <m:t>tr</m:t>
            </m:r>
          </m:sup>
        </m:sSubSup>
      </m:oMath>
      <w:r>
        <w:t xml:space="preserve"> </w:t>
      </w:r>
      <w:r>
        <w:t xml:space="preserve">for a transferred-in patient who arrives already imaged; and door-in-door-out</w:t>
      </w:r>
      <w:r>
        <w:t xml:space="preserve"> </w:t>
      </w:r>
      <m:oMath>
        <m:sSub>
          <m:e>
            <m:r>
              <m:t>T</m:t>
            </m:r>
          </m:e>
          <m:sub>
            <m:r>
              <m:rPr>
                <m:nor/>
                <m:sty m:val="p"/>
              </m:rPr>
              <m:t>DIDO</m:t>
            </m:r>
          </m:sub>
        </m:sSub>
      </m:oMath>
      <w:r>
        <w:t xml:space="preserve"> </w:t>
      </w:r>
      <w:r>
        <w:t xml:space="preserve">at the sending hospital. For a patient arriving directly at an EVT-capable center at onset time</w:t>
      </w:r>
      <w:r>
        <w:t xml:space="preserve"> </w:t>
      </w:r>
      <m:oMath>
        <m:sSub>
          <m:e>
            <m:r>
              <m:t>t</m:t>
            </m:r>
          </m:e>
          <m:sub>
            <m:r>
              <m:t>a</m:t>
            </m:r>
          </m:sub>
        </m:sSub>
      </m:oMath>
      <w:r>
        <w:t xml:space="preserve">, needle time is</w:t>
      </w:r>
      <w:r>
        <w:t xml:space="preserve"> </w:t>
      </w:r>
      <m:oMath>
        <m:sSub>
          <m:e>
            <m:r>
              <m:t>t</m:t>
            </m:r>
          </m:e>
          <m:sub>
            <m:r>
              <m:t>a</m:t>
            </m:r>
          </m:sub>
        </m:sSub>
        <m:r>
          <m:rPr>
            <m:sty m:val="p"/>
          </m:rPr>
          <m:t>+</m:t>
        </m:r>
        <m:sSub>
          <m:e>
            <m:r>
              <m:t>T</m:t>
            </m:r>
          </m:e>
          <m:sub>
            <m:r>
              <m:rPr>
                <m:nor/>
                <m:sty m:val="p"/>
              </m:rPr>
              <m:t>DTN</m:t>
            </m:r>
          </m:sub>
        </m:sSub>
      </m:oMath>
      <w:r>
        <w:t xml:space="preserve"> </w:t>
      </w:r>
      <w:r>
        <w:t xml:space="preserve">and puncture time</w:t>
      </w:r>
      <w:r>
        <w:t xml:space="preserve"> </w:t>
      </w:r>
      <m:oMath>
        <m:sSub>
          <m:e>
            <m:r>
              <m:t>t</m:t>
            </m:r>
          </m:e>
          <m:sub>
            <m:r>
              <m:t>a</m:t>
            </m:r>
          </m:sub>
        </m:sSub>
        <m:r>
          <m:rPr>
            <m:sty m:val="p"/>
          </m:rPr>
          <m:t>+</m:t>
        </m:r>
        <m:sSub>
          <m:e>
            <m:r>
              <m:t>T</m:t>
            </m:r>
          </m:e>
          <m:sub>
            <m:r>
              <m:rPr>
                <m:nor/>
                <m:sty m:val="p"/>
              </m:rPr>
              <m:t>DTP</m:t>
            </m:r>
          </m:sub>
        </m:sSub>
      </m:oMath>
      <w:r>
        <w:t xml:space="preserve">. At a thrombolysis-capable center, needle time is</w:t>
      </w:r>
      <w:r>
        <w:t xml:space="preserve"> </w:t>
      </w:r>
      <m:oMath>
        <m:sSub>
          <m:e>
            <m:r>
              <m:t>t</m:t>
            </m:r>
          </m:e>
          <m:sub>
            <m:r>
              <m:t>a</m:t>
            </m:r>
          </m:sub>
        </m:sSub>
        <m:r>
          <m:rPr>
            <m:sty m:val="p"/>
          </m:rPr>
          <m:t>+</m:t>
        </m:r>
        <m:sSub>
          <m:e>
            <m:r>
              <m:t>T</m:t>
            </m:r>
          </m:e>
          <m:sub>
            <m:r>
              <m:rPr>
                <m:nor/>
                <m:sty m:val="p"/>
              </m:rPr>
              <m:t>DTN</m:t>
            </m:r>
          </m:sub>
        </m:sSub>
      </m:oMath>
      <w:r>
        <w:t xml:space="preserve"> </w:t>
      </w:r>
      <w:r>
        <w:t xml:space="preserve">and, if the patient is transferred to an EVT-capable center at road time</w:t>
      </w:r>
      <w:r>
        <w:t xml:space="preserve"> </w:t>
      </w:r>
      <m:oMath>
        <m:r>
          <m:t>τ</m:t>
        </m:r>
        <m:r>
          <m:rPr>
            <m:sty m:val="p"/>
          </m:rPr>
          <m:t>′</m:t>
        </m:r>
      </m:oMath>
      <w:r>
        <w:t xml:space="preserve">, puncture time is</w:t>
      </w:r>
      <w:r>
        <w:t xml:space="preserve"> </w:t>
      </w:r>
      <m:oMath>
        <m:sSub>
          <m:e>
            <m:r>
              <m:t>t</m:t>
            </m:r>
          </m:e>
          <m:sub>
            <m:r>
              <m:t>a</m:t>
            </m:r>
          </m:sub>
        </m:sSub>
        <m:r>
          <m:rPr>
            <m:sty m:val="p"/>
          </m:rPr>
          <m:t>+</m:t>
        </m:r>
        <m:sSub>
          <m:e>
            <m:r>
              <m:t>T</m:t>
            </m:r>
          </m:e>
          <m:sub>
            <m:r>
              <m:rPr>
                <m:nor/>
                <m:sty m:val="p"/>
              </m:rPr>
              <m:t>DIDO</m:t>
            </m:r>
          </m:sub>
        </m:sSub>
        <m:r>
          <m:rPr>
            <m:sty m:val="p"/>
          </m:rPr>
          <m:t>+</m:t>
        </m:r>
        <m:r>
          <m:t>τ</m:t>
        </m:r>
        <m:r>
          <m:rPr>
            <m:sty m:val="p"/>
          </m:rPr>
          <m:t>′</m:t>
        </m:r>
        <m:r>
          <m:rPr>
            <m:sty m:val="p"/>
          </m:rPr>
          <m:t>+</m:t>
        </m:r>
        <m:sSubSup>
          <m:e>
            <m:r>
              <m:t>T</m:t>
            </m:r>
          </m:e>
          <m:sub>
            <m:r>
              <m:rPr>
                <m:nor/>
                <m:sty m:val="p"/>
              </m:rPr>
              <m:t>DTP</m:t>
            </m:r>
          </m:sub>
          <m:sup>
            <m:r>
              <m:rPr>
                <m:nor/>
                <m:sty m:val="p"/>
              </m:rPr>
              <m:t>tr</m:t>
            </m:r>
          </m:sup>
        </m:sSubSup>
      </m:oMath>
      <w:r>
        <w:t xml:space="preserve">; which center, and whether to transfer at all, is the second decision. At a non-stroke-center hospital both treatments follow a transfer. Inter-facility transfers are not distance-limited; a pair is unreachable only if the road network has no route. For comparison, Holodinsky</w:t>
      </w:r>
      <w:r>
        <w:t xml:space="preserve"> </w:t>
      </w:r>
      <w:r>
        <w:rPr>
          <w:iCs/>
          <w:i/>
        </w:rPr>
        <w:t xml:space="preserve">et al.</w:t>
      </w:r>
      <w:r>
        <w:t xml:space="preserve"> </w:t>
      </w:r>
      <w:r>
        <w:t xml:space="preserve">(Holodinsky et al. 2018)</w:t>
      </w:r>
      <w:r>
        <w:t xml:space="preserve"> </w:t>
      </w:r>
      <w:r>
        <w:t xml:space="preserve">assume door-to-needle 30, door-in-door-out 50 and door-to-puncture 60 (direct) or 30 (transfer) minutes in their base case, and 60 / 120 / 60–90 minutes in their slower scenarios; our base case lies between the two and is anchored to current registry medians and national targets.</w:t>
      </w:r>
    </w:p>
    <w:bookmarkStart w:id="33" w:name="tab:intervals"/>
    <w:p>
      <w:pPr>
        <w:pStyle w:val="TableCaption"/>
      </w:pPr>
      <w:r>
        <w:t xml:space="preserve">In-hospital intervals in the base case (minutes) and the ranges examined in sensitivity analysis.</w:t>
      </w:r>
    </w:p>
    <w:tbl>
      <w:tblPr>
        <w:tblStyle w:val="Table"/>
        <w:tblW w:type="auto" w:w="0"/>
        <w:tblLook w:firstRow="1" w:lastRow="0" w:firstColumn="0" w:lastColumn="0" w:noHBand="0" w:noVBand="0" w:val="0020"/>
        <w:jc w:val="start"/>
        <w:tblCaption w:val="In-hospital intervals in the base case (minutes) and the ranges examined in sensitivity analysis."/>
      </w:tblPr>
      <w:tblGrid>
        <w:gridCol w:w="1980"/>
        <w:gridCol w:w="1980"/>
        <w:gridCol w:w="1980"/>
        <w:gridCol w:w="1980"/>
      </w:tblGrid>
      <w:tr>
        <w:trPr>
          <w:tblHeader w:val="true"/>
        </w:trPr>
        <w:tc>
          <w:tcPr/>
          <w:p>
            <w:pPr>
              <w:pStyle w:val="Compact"/>
              <w:jc w:val="left"/>
            </w:pPr>
            <w:r>
              <w:t xml:space="preserve">Interval</w:t>
            </w:r>
          </w:p>
        </w:tc>
        <w:tc>
          <w:tcPr/>
          <w:p>
            <w:pPr>
              <w:pStyle w:val="Compact"/>
              <w:jc w:val="center"/>
            </w:pPr>
            <w:r>
              <w:t xml:space="preserve">Base</w:t>
            </w:r>
          </w:p>
        </w:tc>
        <w:tc>
          <w:tcPr/>
          <w:p>
            <w:pPr>
              <w:pStyle w:val="Compact"/>
              <w:jc w:val="center"/>
            </w:pPr>
            <w:r>
              <w:t xml:space="preserve">Range</w:t>
            </w:r>
          </w:p>
        </w:tc>
        <w:tc>
          <w:tcPr/>
          <w:p>
            <w:pPr>
              <w:pStyle w:val="Compact"/>
              <w:jc w:val="left"/>
            </w:pPr>
            <w:r>
              <w:t xml:space="preserve">Source</w:t>
            </w:r>
          </w:p>
        </w:tc>
      </w:tr>
      <w:tr>
        <w:tc>
          <w:tcPr/>
          <w:p>
            <w:pPr>
              <w:pStyle w:val="Compact"/>
              <w:jc w:val="left"/>
            </w:pPr>
            <w:r>
              <w:t xml:space="preserve">Door-to-needle</w:t>
            </w:r>
            <w:r>
              <w:t xml:space="preserve"> </w:t>
            </w:r>
            <m:oMath>
              <m:sSub>
                <m:e>
                  <m:r>
                    <m:t>T</m:t>
                  </m:r>
                </m:e>
                <m:sub>
                  <m:r>
                    <m:rPr>
                      <m:nor/>
                      <m:sty m:val="p"/>
                    </m:rPr>
                    <m:t>DTN</m:t>
                  </m:r>
                </m:sub>
              </m:sSub>
            </m:oMath>
          </w:p>
        </w:tc>
        <w:tc>
          <w:tcPr/>
          <w:p>
            <w:pPr>
              <w:pStyle w:val="Compact"/>
              <w:jc w:val="center"/>
            </w:pPr>
            <w:r>
              <w:t xml:space="preserve">45</w:t>
            </w:r>
          </w:p>
        </w:tc>
        <w:tc>
          <w:tcPr/>
          <w:p>
            <w:pPr>
              <w:pStyle w:val="Compact"/>
              <w:jc w:val="center"/>
            </w:pPr>
            <w:r>
              <w:t xml:space="preserve">30–60</w:t>
            </w:r>
          </w:p>
        </w:tc>
        <w:tc>
          <w:tcPr/>
          <w:p>
            <w:pPr>
              <w:pStyle w:val="Compact"/>
              <w:jc w:val="left"/>
            </w:pPr>
            <w:r>
              <w:t xml:space="preserve">Target: Stroke III </w:t>
            </w:r>
            <w:r>
              <w:t xml:space="preserve">(American Heart Association / American Stroke Association 2019)</w:t>
            </w:r>
          </w:p>
        </w:tc>
      </w:tr>
      <w:tr>
        <w:tc>
          <w:tcPr/>
          <w:p>
            <w:pPr>
              <w:pStyle w:val="Compact"/>
              <w:jc w:val="left"/>
            </w:pPr>
            <w:r>
              <w:t xml:space="preserve">Door-to-puncture, direct</w:t>
            </w:r>
            <w:r>
              <w:t xml:space="preserve"> </w:t>
            </w:r>
            <m:oMath>
              <m:sSub>
                <m:e>
                  <m:r>
                    <m:t>T</m:t>
                  </m:r>
                </m:e>
                <m:sub>
                  <m:r>
                    <m:rPr>
                      <m:nor/>
                      <m:sty m:val="p"/>
                    </m:rPr>
                    <m:t>DTP</m:t>
                  </m:r>
                </m:sub>
              </m:sSub>
            </m:oMath>
          </w:p>
        </w:tc>
        <w:tc>
          <w:tcPr/>
          <w:p>
            <w:pPr>
              <w:pStyle w:val="Compact"/>
              <w:jc w:val="center"/>
            </w:pPr>
            <w:r>
              <w:t xml:space="preserve">90</w:t>
            </w:r>
          </w:p>
        </w:tc>
        <w:tc>
          <w:tcPr/>
          <w:p>
            <w:pPr>
              <w:pStyle w:val="Compact"/>
              <w:jc w:val="center"/>
            </w:pPr>
            <w:r>
              <w:t xml:space="preserve">60–120</w:t>
            </w:r>
          </w:p>
        </w:tc>
        <w:tc>
          <w:tcPr/>
          <w:p>
            <w:pPr>
              <w:pStyle w:val="Compact"/>
              <w:jc w:val="left"/>
            </w:pPr>
            <w:r>
              <w:t xml:space="preserve">Target: Stroke III </w:t>
            </w:r>
            <w:r>
              <w:t xml:space="preserve">(American Heart Association / American Stroke Association 2019)</w:t>
            </w:r>
          </w:p>
        </w:tc>
      </w:tr>
      <w:tr>
        <w:tc>
          <w:tcPr/>
          <w:p>
            <w:pPr>
              <w:pStyle w:val="Compact"/>
              <w:jc w:val="left"/>
            </w:pPr>
            <w:r>
              <w:t xml:space="preserve">Door-to-puncture, transfer</w:t>
            </w:r>
            <w:r>
              <w:t xml:space="preserve"> </w:t>
            </w:r>
            <m:oMath>
              <m:sSubSup>
                <m:e>
                  <m:r>
                    <m:t>T</m:t>
                  </m:r>
                </m:e>
                <m:sub>
                  <m:r>
                    <m:rPr>
                      <m:nor/>
                      <m:sty m:val="p"/>
                    </m:rPr>
                    <m:t>DTP</m:t>
                  </m:r>
                </m:sub>
                <m:sup>
                  <m:r>
                    <m:rPr>
                      <m:nor/>
                      <m:sty m:val="p"/>
                    </m:rPr>
                    <m:t>tr</m:t>
                  </m:r>
                </m:sup>
              </m:sSubSup>
            </m:oMath>
          </w:p>
        </w:tc>
        <w:tc>
          <w:tcPr/>
          <w:p>
            <w:pPr>
              <w:pStyle w:val="Compact"/>
              <w:jc w:val="center"/>
            </w:pPr>
            <w:r>
              <w:t xml:space="preserve">60</w:t>
            </w:r>
          </w:p>
        </w:tc>
        <w:tc>
          <w:tcPr/>
          <w:p>
            <w:pPr>
              <w:pStyle w:val="Compact"/>
              <w:jc w:val="center"/>
            </w:pPr>
            <w:r>
              <w:t xml:space="preserve">45–90</w:t>
            </w:r>
          </w:p>
        </w:tc>
        <w:tc>
          <w:tcPr/>
          <w:p>
            <w:pPr>
              <w:pStyle w:val="Compact"/>
              <w:jc w:val="left"/>
            </w:pPr>
            <w:r>
              <w:t xml:space="preserve">Target: Stroke III </w:t>
            </w:r>
            <w:r>
              <w:t xml:space="preserve">(American Heart Association / American Stroke Association 2019)</w:t>
            </w:r>
          </w:p>
        </w:tc>
      </w:tr>
      <w:tr>
        <w:tc>
          <w:tcPr/>
          <w:p>
            <w:pPr>
              <w:pStyle w:val="Compact"/>
              <w:jc w:val="left"/>
            </w:pPr>
            <w:r>
              <w:t xml:space="preserve">Door-in-door-out</w:t>
            </w:r>
            <w:r>
              <w:t xml:space="preserve"> </w:t>
            </w:r>
            <m:oMath>
              <m:sSub>
                <m:e>
                  <m:r>
                    <m:t>T</m:t>
                  </m:r>
                </m:e>
                <m:sub>
                  <m:r>
                    <m:rPr>
                      <m:nor/>
                      <m:sty m:val="p"/>
                    </m:rPr>
                    <m:t>DIDO</m:t>
                  </m:r>
                </m:sub>
              </m:sSub>
            </m:oMath>
          </w:p>
        </w:tc>
        <w:tc>
          <w:tcPr/>
          <w:p>
            <w:pPr>
              <w:pStyle w:val="Compact"/>
              <w:jc w:val="center"/>
            </w:pPr>
            <w:r>
              <w:t xml:space="preserve">121</w:t>
            </w:r>
          </w:p>
        </w:tc>
        <w:tc>
          <w:tcPr/>
          <w:p>
            <w:pPr>
              <w:pStyle w:val="Compact"/>
              <w:jc w:val="center"/>
            </w:pPr>
            <w:r>
              <w:t xml:space="preserve">60–175</w:t>
            </w:r>
          </w:p>
        </w:tc>
        <w:tc>
          <w:tcPr/>
          <w:p>
            <w:pPr>
              <w:pStyle w:val="Compact"/>
              <w:jc w:val="left"/>
            </w:pPr>
            <w:r>
              <w:t xml:space="preserve">GWTG-Stroke median, IQR 89–175 </w:t>
            </w:r>
            <w:r>
              <w:t xml:space="preserve">(Royan et al. 2026)</w:t>
            </w:r>
          </w:p>
        </w:tc>
      </w:tr>
    </w:tbl>
    <w:bookmarkEnd w:id="33"/>
    <w:bookmarkEnd w:id="34"/>
    <w:bookmarkStart w:id="35" w:name="reward"/>
    <w:p>
      <w:pPr>
        <w:pStyle w:val="Heading2"/>
      </w:pPr>
      <w:r>
        <w:t xml:space="preserve">Reward</w:t>
      </w:r>
    </w:p>
    <w:p>
      <w:pPr>
        <w:pStyle w:val="FirstParagraph"/>
      </w:pPr>
      <w:r>
        <w:t xml:space="preserve">The reward is paid once, on the in-hospital decision that ends the episode, and is zero on the first leg. Its value is the probability of a good outcome, defined as an excellent outcome at 90 days (modified Rankin Scale 0–1), following Holodinsky</w:t>
      </w:r>
      <w:r>
        <w:t xml:space="preserve"> </w:t>
      </w:r>
      <w:r>
        <w:rPr>
          <w:iCs/>
          <w:i/>
        </w:rPr>
        <w:t xml:space="preserve">et al.</w:t>
      </w:r>
      <w:r>
        <w:t xml:space="preserve"> </w:t>
      </w:r>
      <w:r>
        <w:t xml:space="preserve">(Holodinsky et al. 2018)</w:t>
      </w:r>
      <w:r>
        <w:t xml:space="preserve">, evaluated at the needle and puncture times that the completed pathway implies: the first hospital</w:t>
      </w:r>
      <w:r>
        <w:t xml:space="preserve"> </w:t>
      </w:r>
      <m:oMath>
        <m:sSub>
          <m:e>
            <m:r>
              <m:t>h</m:t>
            </m:r>
          </m:e>
          <m:sub>
            <m:r>
              <m:t>1</m:t>
            </m:r>
          </m:sub>
        </m:sSub>
      </m:oMath>
      <w:r>
        <w:t xml:space="preserve"> </w:t>
      </w:r>
      <w:r>
        <w:t xml:space="preserve">reached at clock</w:t>
      </w:r>
      <w:r>
        <w:t xml:space="preserve"> </w:t>
      </w:r>
      <m:oMath>
        <m:sSub>
          <m:e>
            <m:r>
              <m:t>t</m:t>
            </m:r>
          </m:e>
          <m:sub>
            <m:r>
              <m:t>1</m:t>
            </m:r>
          </m:sub>
        </m:sSub>
      </m:oMath>
      <w:r>
        <w:t xml:space="preserve">, and the final hospital</w:t>
      </w:r>
      <w:r>
        <w:t xml:space="preserve"> </w:t>
      </w:r>
      <m:oMath>
        <m:sSub>
          <m:e>
            <m:r>
              <m:t>h</m:t>
            </m:r>
          </m:e>
          <m:sub>
            <m:r>
              <m:t>2</m:t>
            </m:r>
          </m:sub>
        </m:sSub>
      </m:oMath>
      <w:r>
        <w:t xml:space="preserve"> </w:t>
      </w:r>
      <w:r>
        <w:t xml:space="preserve">reached at</w:t>
      </w:r>
      <w:r>
        <w:t xml:space="preserve"> </w:t>
      </w:r>
      <m:oMath>
        <m:sSub>
          <m:e>
            <m:r>
              <m:t>t</m:t>
            </m:r>
          </m:e>
          <m:sub>
            <m:r>
              <m:t>2</m:t>
            </m:r>
          </m:sub>
        </m:sSub>
      </m:oMath>
      <w:r>
        <w:t xml:space="preserve"> </w:t>
      </w:r>
      <w:r>
        <w:t xml:space="preserve">(</w:t>
      </w:r>
      <m:oMath>
        <m:sSub>
          <m:e>
            <m:r>
              <m:t>h</m:t>
            </m:r>
          </m:e>
          <m:sub>
            <m:r>
              <m:t>2</m:t>
            </m:r>
          </m:sub>
        </m:sSub>
        <m:r>
          <m:rPr>
            <m:sty m:val="p"/>
          </m:rPr>
          <m:t>=</m:t>
        </m:r>
        <m:sSub>
          <m:e>
            <m:r>
              <m:t>h</m:t>
            </m:r>
          </m:e>
          <m:sub>
            <m:r>
              <m:t>1</m:t>
            </m:r>
          </m:sub>
        </m:sSub>
      </m:oMath>
      <w:r>
        <w:t xml:space="preserve"> </w:t>
      </w:r>
      <w:r>
        <w:t xml:space="preserve">if the patient stays). Thrombolysis is given at the first hospital on the pathway able to give it, so</w:t>
      </w:r>
      <w:r>
        <w:t xml:space="preserve"> </w:t>
      </w:r>
      <m:oMath>
        <m:sSub>
          <m:e>
            <m:r>
              <m:t>t</m:t>
            </m:r>
          </m:e>
          <m:sub>
            <m:r>
              <m:t>n</m:t>
            </m:r>
          </m:sub>
        </m:sSub>
        <m:r>
          <m:rPr>
            <m:sty m:val="p"/>
          </m:rPr>
          <m:t>=</m:t>
        </m:r>
        <m:sSub>
          <m:e>
            <m:r>
              <m:t>t</m:t>
            </m:r>
          </m:e>
          <m:sub>
            <m:r>
              <m:t>1</m:t>
            </m:r>
          </m:sub>
        </m:sSub>
        <m:r>
          <m:rPr>
            <m:sty m:val="p"/>
          </m:rPr>
          <m:t>+</m:t>
        </m:r>
        <m:sSub>
          <m:e>
            <m:r>
              <m:t>T</m:t>
            </m:r>
          </m:e>
          <m:sub>
            <m:r>
              <m:rPr>
                <m:nor/>
                <m:sty m:val="p"/>
              </m:rPr>
              <m:t>DTN</m:t>
            </m:r>
          </m:sub>
        </m:sSub>
      </m:oMath>
      <w:r>
        <w:t xml:space="preserve"> </w:t>
      </w:r>
      <w:r>
        <w:t xml:space="preserve">if</w:t>
      </w:r>
      <w:r>
        <w:t xml:space="preserve"> </w:t>
      </w:r>
      <m:oMath>
        <m:sSub>
          <m:e>
            <m:r>
              <m:t>h</m:t>
            </m:r>
          </m:e>
          <m:sub>
            <m:r>
              <m:t>1</m:t>
            </m:r>
          </m:sub>
        </m:sSub>
      </m:oMath>
      <w:r>
        <w:t xml:space="preserve"> </w:t>
      </w:r>
      <w:r>
        <w:t xml:space="preserve">is thrombolysis- or EVT-capable and</w:t>
      </w:r>
      <w:r>
        <w:t xml:space="preserve"> </w:t>
      </w:r>
      <m:oMath>
        <m:sSub>
          <m:e>
            <m:r>
              <m:t>t</m:t>
            </m:r>
          </m:e>
          <m:sub>
            <m:r>
              <m:t>n</m:t>
            </m:r>
          </m:sub>
        </m:sSub>
        <m:r>
          <m:rPr>
            <m:sty m:val="p"/>
          </m:rPr>
          <m:t>=</m:t>
        </m:r>
        <m:sSub>
          <m:e>
            <m:r>
              <m:t>t</m:t>
            </m:r>
          </m:e>
          <m:sub>
            <m:r>
              <m:t>2</m:t>
            </m:r>
          </m:sub>
        </m:sSub>
        <m:r>
          <m:rPr>
            <m:sty m:val="p"/>
          </m:rPr>
          <m:t>+</m:t>
        </m:r>
        <m:sSub>
          <m:e>
            <m:r>
              <m:t>T</m:t>
            </m:r>
          </m:e>
          <m:sub>
            <m:r>
              <m:rPr>
                <m:nor/>
                <m:sty m:val="p"/>
              </m:rPr>
              <m:t>DTN</m:t>
            </m:r>
          </m:sub>
        </m:sSub>
      </m:oMath>
      <w:r>
        <w:t xml:space="preserve"> </w:t>
      </w:r>
      <w:r>
        <w:t xml:space="preserve">if only</w:t>
      </w:r>
      <w:r>
        <w:t xml:space="preserve"> </w:t>
      </w:r>
      <m:oMath>
        <m:sSub>
          <m:e>
            <m:r>
              <m:t>h</m:t>
            </m:r>
          </m:e>
          <m:sub>
            <m:r>
              <m:t>2</m:t>
            </m:r>
          </m:sub>
        </m:sSub>
      </m:oMath>
      <w:r>
        <w:t xml:space="preserve"> </w:t>
      </w:r>
      <w:r>
        <w:t xml:space="preserve">is; thrombectomy requires an EVT-capable</w:t>
      </w:r>
      <w:r>
        <w:t xml:space="preserve"> </w:t>
      </w:r>
      <m:oMath>
        <m:sSub>
          <m:e>
            <m:r>
              <m:t>h</m:t>
            </m:r>
          </m:e>
          <m:sub>
            <m:r>
              <m:t>2</m:t>
            </m:r>
          </m:sub>
        </m:sSub>
      </m:oMath>
      <w:r>
        <w:t xml:space="preserve">, with</w:t>
      </w:r>
      <w:r>
        <w:t xml:space="preserve"> </w:t>
      </w:r>
      <m:oMath>
        <m:sSub>
          <m:e>
            <m:r>
              <m:t>t</m:t>
            </m:r>
          </m:e>
          <m:sub>
            <m:r>
              <m:t>p</m:t>
            </m:r>
          </m:sub>
        </m:sSub>
        <m:r>
          <m:rPr>
            <m:sty m:val="p"/>
          </m:rPr>
          <m:t>=</m:t>
        </m:r>
        <m:sSub>
          <m:e>
            <m:r>
              <m:t>t</m:t>
            </m:r>
          </m:e>
          <m:sub>
            <m:r>
              <m:t>1</m:t>
            </m:r>
          </m:sub>
        </m:sSub>
        <m:r>
          <m:rPr>
            <m:sty m:val="p"/>
          </m:rPr>
          <m:t>+</m:t>
        </m:r>
        <m:sSub>
          <m:e>
            <m:r>
              <m:t>T</m:t>
            </m:r>
          </m:e>
          <m:sub>
            <m:r>
              <m:rPr>
                <m:nor/>
                <m:sty m:val="p"/>
              </m:rPr>
              <m:t>DTP</m:t>
            </m:r>
          </m:sub>
        </m:sSub>
      </m:oMath>
      <w:r>
        <w:t xml:space="preserve"> </w:t>
      </w:r>
      <w:r>
        <w:t xml:space="preserve">after direct arrival and</w:t>
      </w:r>
      <w:r>
        <w:t xml:space="preserve"> </w:t>
      </w:r>
      <m:oMath>
        <m:sSub>
          <m:e>
            <m:r>
              <m:t>t</m:t>
            </m:r>
          </m:e>
          <m:sub>
            <m:r>
              <m:t>p</m:t>
            </m:r>
          </m:sub>
        </m:sSub>
        <m:r>
          <m:rPr>
            <m:sty m:val="p"/>
          </m:rPr>
          <m:t>=</m:t>
        </m:r>
        <m:sSub>
          <m:e>
            <m:r>
              <m:t>t</m:t>
            </m:r>
          </m:e>
          <m:sub>
            <m:r>
              <m:t>2</m:t>
            </m:r>
          </m:sub>
        </m:sSub>
        <m:r>
          <m:rPr>
            <m:sty m:val="p"/>
          </m:rPr>
          <m:t>+</m:t>
        </m:r>
        <m:sSubSup>
          <m:e>
            <m:r>
              <m:t>T</m:t>
            </m:r>
          </m:e>
          <m:sub>
            <m:r>
              <m:rPr>
                <m:nor/>
                <m:sty m:val="p"/>
              </m:rPr>
              <m:t>DTP</m:t>
            </m:r>
          </m:sub>
          <m:sup>
            <m:r>
              <m:rPr>
                <m:nor/>
                <m:sty m:val="p"/>
              </m:rPr>
              <m:t>tr</m:t>
            </m:r>
          </m:sup>
        </m:sSubSup>
      </m:oMath>
      <w:r>
        <w:t xml:space="preserve"> </w:t>
      </w:r>
      <w:r>
        <w:t xml:space="preserve">after a transfer. For ischemic subtypes the outcome declines with onset-to-treatment time; for hemorrhage and mimics it is constant:</w:t>
      </w:r>
    </w:p>
    <w:p>
      <w:pPr>
        <w:pStyle w:val="BodyText"/>
      </w:pPr>
      <m:oMathPara>
        <m:oMathParaPr>
          <m:jc m:val="center"/>
        </m:oMathParaPr>
        <m:oMath>
          <m:m>
            <m:mPr>
              <m:baseJc m:val="center"/>
              <m:plcHide m:val="on"/>
              <m:mcs>
                <m:mc>
                  <m:mcPr>
                    <m:mcJc m:val="right"/>
                    <m:count m:val="1"/>
                  </m:mcPr>
                </m:mc>
                <m:mc>
                  <m:mcPr>
                    <m:mcJc m:val="left"/>
                    <m:count m:val="1"/>
                  </m:mcPr>
                </m:mc>
              </m:mcs>
            </m:mPr>
            <m:mr>
              <m:e>
                <m:sSub>
                  <m:e>
                    <m:r>
                      <m:t>P</m:t>
                    </m:r>
                  </m:e>
                  <m:sub>
                    <m:r>
                      <m:rPr>
                        <m:nor/>
                        <m:sty m:val="p"/>
                      </m:rPr>
                      <m:t>LVO,IVT</m:t>
                    </m:r>
                  </m:sub>
                </m:sSub>
                <m:d>
                  <m:dPr>
                    <m:begChr m:val="("/>
                    <m:endChr m:val=")"/>
                    <m:sepChr m:val=""/>
                    <m:grow/>
                  </m:dPr>
                  <m:e>
                    <m:sSub>
                      <m:e>
                        <m:r>
                          <m:t>t</m:t>
                        </m:r>
                      </m:e>
                      <m:sub>
                        <m:r>
                          <m:t>n</m:t>
                        </m:r>
                      </m:sub>
                    </m:sSub>
                  </m:e>
                </m:d>
              </m:e>
              <m:e>
                <m:r>
                  <m:rPr>
                    <m:sty m:val="p"/>
                  </m:rPr>
                  <m:t>=</m:t>
                </m:r>
                <m:r>
                  <m:rPr>
                    <m:sty m:val="p"/>
                  </m:rPr>
                  <m:t>max</m:t>
                </m:r>
                <m:r>
                  <m:rPr>
                    <m:sty m:val="p"/>
                  </m:rPr>
                  <m:t>{</m:t>
                </m:r>
                <m:r>
                  <m:t>0.1328</m:t>
                </m:r>
                <m:r>
                  <m:rPr>
                    <m:sty m:val="p"/>
                  </m:rPr>
                  <m:t>,</m:t>
                </m:r>
                <m:r>
                  <m:t> </m:t>
                </m:r>
                <m:r>
                  <m:t>0.2359</m:t>
                </m:r>
                <m:r>
                  <m:rPr>
                    <m:sty m:val="p"/>
                  </m:rPr>
                  <m:t>−</m:t>
                </m:r>
                <m:r>
                  <m:t>4</m:t>
                </m:r>
                <m:r>
                  <m:t>​</m:t>
                </m:r>
                <m:r>
                  <m:rPr>
                    <m:sty m:val="p"/>
                  </m:rPr>
                  <m:t>×</m:t>
                </m:r>
                <m:r>
                  <m:t>​</m:t>
                </m:r>
                <m:sSup>
                  <m:e>
                    <m:r>
                      <m:t>10</m:t>
                    </m:r>
                  </m:e>
                  <m:sup>
                    <m:r>
                      <m:rPr>
                        <m:sty m:val="p"/>
                      </m:rPr>
                      <m:t>−</m:t>
                    </m:r>
                    <m:r>
                      <m:t>4</m:t>
                    </m:r>
                  </m:sup>
                </m:sSup>
                <m:sSub>
                  <m:e>
                    <m:r>
                      <m:t>t</m:t>
                    </m:r>
                  </m:e>
                  <m:sub>
                    <m:r>
                      <m:t>n</m:t>
                    </m:r>
                  </m:sub>
                </m:sSub>
                <m:r>
                  <m:rPr>
                    <m:sty m:val="p"/>
                  </m:rPr>
                  <m:t>+</m:t>
                </m:r>
                <m:r>
                  <m:t>2</m:t>
                </m:r>
                <m:r>
                  <m:t>​</m:t>
                </m:r>
                <m:r>
                  <m:rPr>
                    <m:sty m:val="p"/>
                  </m:rPr>
                  <m:t>×</m:t>
                </m:r>
                <m:r>
                  <m:t>​</m:t>
                </m:r>
                <m:sSup>
                  <m:e>
                    <m:r>
                      <m:t>10</m:t>
                    </m:r>
                  </m:e>
                  <m:sup>
                    <m:r>
                      <m:rPr>
                        <m:sty m:val="p"/>
                      </m:rPr>
                      <m:t>−</m:t>
                    </m:r>
                    <m:r>
                      <m:t>7</m:t>
                    </m:r>
                  </m:sup>
                </m:sSup>
                <m:sSubSup>
                  <m:e>
                    <m:r>
                      <m:t>t</m:t>
                    </m:r>
                  </m:e>
                  <m:sub>
                    <m:r>
                      <m:t>n</m:t>
                    </m:r>
                  </m:sub>
                  <m:sup>
                    <m:r>
                      <m:t>2</m:t>
                    </m:r>
                  </m:sup>
                </m:sSubSup>
                <m:r>
                  <m:rPr>
                    <m:sty m:val="p"/>
                  </m:rPr>
                  <m:t>}</m:t>
                </m:r>
                <m:r>
                  <m:rPr>
                    <m:sty m:val="p"/>
                  </m:rPr>
                  <m:t>,</m:t>
                </m:r>
              </m:e>
            </m:mr>
            <m:mr>
              <m:e>
                <m:sSub>
                  <m:e>
                    <m:r>
                      <m:t>P</m:t>
                    </m:r>
                  </m:e>
                  <m:sub>
                    <m:r>
                      <m:rPr>
                        <m:nor/>
                        <m:sty m:val="p"/>
                      </m:rPr>
                      <m:t>LVO,EVT</m:t>
                    </m:r>
                  </m:sub>
                </m:sSub>
                <m:d>
                  <m:dPr>
                    <m:begChr m:val="("/>
                    <m:endChr m:val=")"/>
                    <m:sepChr m:val=""/>
                    <m:grow/>
                  </m:dPr>
                  <m:e>
                    <m:sSub>
                      <m:e>
                        <m:r>
                          <m:t>t</m:t>
                        </m:r>
                      </m:e>
                      <m:sub>
                        <m:r>
                          <m:t>p</m:t>
                        </m:r>
                      </m:sub>
                    </m:sSub>
                  </m:e>
                </m:d>
              </m:e>
              <m:e>
                <m:r>
                  <m:rPr>
                    <m:sty m:val="p"/>
                  </m:rPr>
                  <m:t>=</m:t>
                </m:r>
                <m:r>
                  <m:rPr>
                    <m:sty m:val="p"/>
                  </m:rPr>
                  <m:t>max</m:t>
                </m:r>
                <m:r>
                  <m:rPr>
                    <m:sty m:val="p"/>
                  </m:rPr>
                  <m:t>{</m:t>
                </m:r>
                <m:r>
                  <m:t>0.129</m:t>
                </m:r>
                <m:r>
                  <m:rPr>
                    <m:sty m:val="p"/>
                  </m:rPr>
                  <m:t>,</m:t>
                </m:r>
                <m:r>
                  <m:t> </m:t>
                </m:r>
                <m:r>
                  <m:t>0.3394</m:t>
                </m:r>
                <m:r>
                  <m:rPr>
                    <m:sty m:val="p"/>
                  </m:rPr>
                  <m:t>−</m:t>
                </m:r>
                <m:r>
                  <m:t>2</m:t>
                </m:r>
                <m:r>
                  <m:t>​</m:t>
                </m:r>
                <m:r>
                  <m:rPr>
                    <m:sty m:val="p"/>
                  </m:rPr>
                  <m:t>×</m:t>
                </m:r>
                <m:r>
                  <m:t>​</m:t>
                </m:r>
                <m:sSup>
                  <m:e>
                    <m:r>
                      <m:t>10</m:t>
                    </m:r>
                  </m:e>
                  <m:sup>
                    <m:r>
                      <m:rPr>
                        <m:sty m:val="p"/>
                      </m:rPr>
                      <m:t>−</m:t>
                    </m:r>
                    <m:r>
                      <m:t>4</m:t>
                    </m:r>
                  </m:sup>
                </m:sSup>
                <m:sSub>
                  <m:e>
                    <m:r>
                      <m:t>t</m:t>
                    </m:r>
                  </m:e>
                  <m:sub>
                    <m:r>
                      <m:t>p</m:t>
                    </m:r>
                  </m:sub>
                </m:sSub>
                <m:r>
                  <m:rPr>
                    <m:sty m:val="p"/>
                  </m:rPr>
                  <m:t>+</m:t>
                </m:r>
                <m:r>
                  <m:t>4</m:t>
                </m:r>
                <m:r>
                  <m:t>​</m:t>
                </m:r>
                <m:r>
                  <m:rPr>
                    <m:sty m:val="p"/>
                  </m:rPr>
                  <m:t>×</m:t>
                </m:r>
                <m:r>
                  <m:t>​</m:t>
                </m:r>
                <m:sSup>
                  <m:e>
                    <m:r>
                      <m:t>10</m:t>
                    </m:r>
                  </m:e>
                  <m:sup>
                    <m:r>
                      <m:rPr>
                        <m:sty m:val="p"/>
                      </m:rPr>
                      <m:t>−</m:t>
                    </m:r>
                    <m:r>
                      <m:t>8</m:t>
                    </m:r>
                  </m:sup>
                </m:sSup>
                <m:sSubSup>
                  <m:e>
                    <m:r>
                      <m:t>t</m:t>
                    </m:r>
                  </m:e>
                  <m:sub>
                    <m:r>
                      <m:t>p</m:t>
                    </m:r>
                  </m:sub>
                  <m:sup>
                    <m:r>
                      <m:t>2</m:t>
                    </m:r>
                  </m:sup>
                </m:sSubSup>
                <m:r>
                  <m:rPr>
                    <m:sty m:val="p"/>
                  </m:rPr>
                  <m:t>}</m:t>
                </m:r>
                <m:r>
                  <m:rPr>
                    <m:sty m:val="p"/>
                  </m:rPr>
                  <m:t>,</m:t>
                </m:r>
              </m:e>
            </m:mr>
            <m:mr>
              <m:e>
                <m:sSub>
                  <m:e>
                    <m:r>
                      <m:t>P</m:t>
                    </m:r>
                  </m:e>
                  <m:sub>
                    <m:r>
                      <m:rPr>
                        <m:nor/>
                        <m:sty m:val="p"/>
                      </m:rPr>
                      <m:t>LVO</m:t>
                    </m:r>
                  </m:sub>
                </m:sSub>
              </m:e>
              <m:e>
                <m:r>
                  <m:rPr>
                    <m:sty m:val="p"/>
                  </m:rPr>
                  <m:t>=</m:t>
                </m:r>
                <m:sSub>
                  <m:e>
                    <m:r>
                      <m:t>P</m:t>
                    </m:r>
                  </m:e>
                  <m:sub>
                    <m:r>
                      <m:rPr>
                        <m:nor/>
                        <m:sty m:val="p"/>
                      </m:rPr>
                      <m:t>LVO,IVT</m:t>
                    </m:r>
                  </m:sub>
                </m:sSub>
                <m:r>
                  <m:rPr>
                    <m:sty m:val="p"/>
                  </m:rPr>
                  <m:t>+</m:t>
                </m:r>
                <m:d>
                  <m:dPr>
                    <m:begChr m:val="("/>
                    <m:endChr m:val=")"/>
                    <m:sepChr m:val=""/>
                    <m:grow/>
                  </m:dPr>
                  <m:e>
                    <m:r>
                      <m:t>1</m:t>
                    </m:r>
                    <m:r>
                      <m:rPr>
                        <m:sty m:val="p"/>
                      </m:rPr>
                      <m:t>−</m:t>
                    </m:r>
                    <m:sSub>
                      <m:e>
                        <m:r>
                          <m:t>P</m:t>
                        </m:r>
                      </m:e>
                      <m:sub>
                        <m:r>
                          <m:rPr>
                            <m:nor/>
                            <m:sty m:val="p"/>
                          </m:rPr>
                          <m:t>LVO,IVT</m:t>
                        </m:r>
                      </m:sub>
                    </m:sSub>
                  </m:e>
                </m:d>
                <m:r>
                  <m:t> </m:t>
                </m:r>
                <m:sSub>
                  <m:e>
                    <m:r>
                      <m:t>P</m:t>
                    </m:r>
                  </m:e>
                  <m:sub>
                    <m:r>
                      <m:rPr>
                        <m:nor/>
                        <m:sty m:val="p"/>
                      </m:rPr>
                      <m:t>LVO,EVT</m:t>
                    </m:r>
                  </m:sub>
                </m:sSub>
                <m:r>
                  <m:rPr>
                    <m:sty m:val="p"/>
                  </m:rPr>
                  <m:t>,</m:t>
                </m:r>
              </m:e>
            </m:mr>
            <m:mr>
              <m:e>
                <m:sSub>
                  <m:e>
                    <m:r>
                      <m:t>P</m:t>
                    </m:r>
                  </m:e>
                  <m:sub>
                    <m:r>
                      <m:rPr>
                        <m:nor/>
                        <m:sty m:val="p"/>
                      </m:rPr>
                      <m:t>nLVO</m:t>
                    </m:r>
                  </m:sub>
                </m:sSub>
                <m:d>
                  <m:dPr>
                    <m:begChr m:val="("/>
                    <m:endChr m:val=")"/>
                    <m:sepChr m:val=""/>
                    <m:grow/>
                  </m:dPr>
                  <m:e>
                    <m:sSub>
                      <m:e>
                        <m:r>
                          <m:t>t</m:t>
                        </m:r>
                      </m:e>
                      <m:sub>
                        <m:r>
                          <m:t>n</m:t>
                        </m:r>
                      </m:sub>
                    </m:sSub>
                  </m:e>
                </m:d>
              </m:e>
              <m:e>
                <m:r>
                  <m:rPr>
                    <m:sty m:val="p"/>
                  </m:rPr>
                  <m:t>=</m:t>
                </m:r>
                <m:r>
                  <m:rPr>
                    <m:sty m:val="p"/>
                  </m:rPr>
                  <m:t>max</m:t>
                </m:r>
                <m:r>
                  <m:rPr>
                    <m:sty m:val="p"/>
                  </m:rPr>
                  <m:t>{</m:t>
                </m:r>
                <m:r>
                  <m:t>0.4622</m:t>
                </m:r>
                <m:r>
                  <m:rPr>
                    <m:sty m:val="p"/>
                  </m:rPr>
                  <m:t>,</m:t>
                </m:r>
                <m:r>
                  <m:t> </m:t>
                </m:r>
                <m:r>
                  <m:t>0.6343</m:t>
                </m:r>
                <m:r>
                  <m:rPr>
                    <m:sty m:val="p"/>
                  </m:rPr>
                  <m:t>−</m:t>
                </m:r>
                <m:r>
                  <m:t>5</m:t>
                </m:r>
                <m:r>
                  <m:t>​</m:t>
                </m:r>
                <m:r>
                  <m:rPr>
                    <m:sty m:val="p"/>
                  </m:rPr>
                  <m:t>×</m:t>
                </m:r>
                <m:r>
                  <m:t>​</m:t>
                </m:r>
                <m:sSup>
                  <m:e>
                    <m:r>
                      <m:t>10</m:t>
                    </m:r>
                  </m:e>
                  <m:sup>
                    <m:r>
                      <m:rPr>
                        <m:sty m:val="p"/>
                      </m:rPr>
                      <m:t>−</m:t>
                    </m:r>
                    <m:r>
                      <m:t>4</m:t>
                    </m:r>
                  </m:sup>
                </m:sSup>
                <m:sSub>
                  <m:e>
                    <m:r>
                      <m:t>t</m:t>
                    </m:r>
                  </m:e>
                  <m:sub>
                    <m:r>
                      <m:t>n</m:t>
                    </m:r>
                  </m:sub>
                </m:sSub>
                <m:r>
                  <m:rPr>
                    <m:sty m:val="p"/>
                  </m:rPr>
                  <m:t>−</m:t>
                </m:r>
                <m:r>
                  <m:t>5</m:t>
                </m:r>
                <m:r>
                  <m:t>​</m:t>
                </m:r>
                <m:r>
                  <m:rPr>
                    <m:sty m:val="p"/>
                  </m:rPr>
                  <m:t>×</m:t>
                </m:r>
                <m:r>
                  <m:t>​</m:t>
                </m:r>
                <m:sSup>
                  <m:e>
                    <m:r>
                      <m:t>10</m:t>
                    </m:r>
                  </m:e>
                  <m:sup>
                    <m:r>
                      <m:rPr>
                        <m:sty m:val="p"/>
                      </m:rPr>
                      <m:t>−</m:t>
                    </m:r>
                    <m:r>
                      <m:t>8</m:t>
                    </m:r>
                  </m:sup>
                </m:sSup>
                <m:sSubSup>
                  <m:e>
                    <m:r>
                      <m:t>t</m:t>
                    </m:r>
                  </m:e>
                  <m:sub>
                    <m:r>
                      <m:t>n</m:t>
                    </m:r>
                  </m:sub>
                  <m:sup>
                    <m:r>
                      <m:t>2</m:t>
                    </m:r>
                  </m:sup>
                </m:sSubSup>
                <m:r>
                  <m:rPr>
                    <m:sty m:val="p"/>
                  </m:rPr>
                  <m:t>}</m:t>
                </m:r>
                <m:r>
                  <m:rPr>
                    <m:sty m:val="p"/>
                  </m:rPr>
                  <m:t>,</m:t>
                </m:r>
              </m:e>
            </m:mr>
            <m:mr>
              <m:e>
                <m:sSub>
                  <m:e>
                    <m:r>
                      <m:t>P</m:t>
                    </m:r>
                  </m:e>
                  <m:sub>
                    <m:r>
                      <m:rPr>
                        <m:nor/>
                        <m:sty m:val="p"/>
                      </m:rPr>
                      <m:t>ICH</m:t>
                    </m:r>
                  </m:sub>
                </m:sSub>
              </m:e>
              <m:e>
                <m:r>
                  <m:rPr>
                    <m:sty m:val="p"/>
                  </m:rPr>
                  <m:t>=</m:t>
                </m:r>
                <m:r>
                  <m:t>0.24</m:t>
                </m:r>
                <m:r>
                  <m:rPr>
                    <m:sty m:val="p"/>
                  </m:rPr>
                  <m:t>,</m:t>
                </m:r>
                <m:r>
                  <m:t>  </m:t>
                </m:r>
                <m:sSub>
                  <m:e>
                    <m:r>
                      <m:t>P</m:t>
                    </m:r>
                  </m:e>
                  <m:sub>
                    <m:r>
                      <m:rPr>
                        <m:nor/>
                        <m:sty m:val="p"/>
                      </m:rPr>
                      <m:t>mimic</m:t>
                    </m:r>
                  </m:sub>
                </m:sSub>
                <m:r>
                  <m:rPr>
                    <m:sty m:val="p"/>
                  </m:rPr>
                  <m:t>=</m:t>
                </m:r>
                <m:r>
                  <m:t>0.90</m:t>
                </m:r>
                <m:r>
                  <m:rPr>
                    <m:sty m:val="p"/>
                  </m:rPr>
                  <m:t>,</m:t>
                </m:r>
              </m:e>
            </m:mr>
          </m:m>
        </m:oMath>
      </m:oMathPara>
    </w:p>
    <w:p>
      <w:pPr>
        <w:pStyle w:val="FirstParagraph"/>
      </w:pPr>
      <w:r>
        <w:t xml:space="preserve">where a treatment that the pathway does not provide contributes its untreated floor (</w:t>
      </w:r>
      <m:oMath>
        <m:sSub>
          <m:e>
            <m:r>
              <m:t>P</m:t>
            </m:r>
          </m:e>
          <m:sub>
            <m:r>
              <m:rPr>
                <m:nor/>
                <m:sty m:val="p"/>
              </m:rPr>
              <m:t>LVO,EVT</m:t>
            </m:r>
          </m:sub>
        </m:sSub>
        <m:r>
          <m:rPr>
            <m:sty m:val="p"/>
          </m:rPr>
          <m:t>=</m:t>
        </m:r>
        <m:r>
          <m:t>0</m:t>
        </m:r>
      </m:oMath>
      <w:r>
        <w:t xml:space="preserve"> </w:t>
      </w:r>
      <w:r>
        <w:t xml:space="preserve">when no thrombectomy is performed), and</w:t>
      </w:r>
      <w:r>
        <w:t xml:space="preserve"> </w:t>
      </w:r>
      <m:oMath>
        <m:sSub>
          <m:e>
            <m:r>
              <m:t>t</m:t>
            </m:r>
          </m:e>
          <m:sub>
            <m:r>
              <m:t>n</m:t>
            </m:r>
          </m:sub>
        </m:sSub>
        <m:r>
          <m:rPr>
            <m:sty m:val="p"/>
          </m:rPr>
          <m:t>,</m:t>
        </m:r>
        <m:sSub>
          <m:e>
            <m:r>
              <m:t>t</m:t>
            </m:r>
          </m:e>
          <m:sub>
            <m:r>
              <m:t>p</m:t>
            </m:r>
          </m:sub>
        </m:sSub>
        <m:r>
          <m:rPr>
            <m:sty m:val="p"/>
          </m:rPr>
          <m:t>≥</m:t>
        </m:r>
        <m:r>
          <m:t>270</m:t>
        </m:r>
      </m:oMath>
      <w:r>
        <w:t xml:space="preserve"> </w:t>
      </w:r>
      <w:r>
        <w:t xml:space="preserve">minutes yield the floor values. Because the reward is paid after imaging, it is always evaluated with the subtype known; subtype uncertainty enters only through the planner’s expectation at the first decision (Section </w:t>
      </w:r>
      <w:hyperlink w:anchor="sec:method">
        <w:r>
          <w:rPr>
            <w:rStyle w:val="Hyperlink"/>
          </w:rPr>
          <w:t xml:space="preserve">4</w:t>
        </w:r>
      </w:hyperlink>
      <w:r>
        <w:t xml:space="preserve">). Paying the reward once, rather than scoring each leg separately, is what makes the planner’s objective and the reported outcome the same quantity.</w:t>
      </w:r>
    </w:p>
    <w:bookmarkEnd w:id="35"/>
    <w:bookmarkEnd w:id="36"/>
    <w:bookmarkStart w:id="40" w:name="sec:method"/>
    <w:p>
      <w:pPr>
        <w:pStyle w:val="Heading1"/>
      </w:pPr>
      <w:r>
        <w:t xml:space="preserve">Solution Method</w:t>
      </w:r>
    </w:p>
    <w:bookmarkStart w:id="37" w:name="online-planning-by-forward-search"/>
    <w:p>
      <w:pPr>
        <w:pStyle w:val="Heading2"/>
      </w:pPr>
      <w:r>
        <w:t xml:space="preserve">Online planning by forward search</w:t>
      </w:r>
    </w:p>
    <w:p>
      <w:pPr>
        <w:pStyle w:val="FirstParagraph"/>
      </w:pPr>
      <w:r>
        <w:t xml:space="preserve">We solve the MDP online with finite-horizon forward search </w:t>
      </w:r>
      <w:r>
        <w:t xml:space="preserve">(Kochenderfer, Wheeler, and Wray 2022)</w:t>
      </w:r>
      <w:r>
        <w:t xml:space="preserve">: from the field state, every reachable hospital is expanded as a first destination, and for each the in-hospital decision is expanded in turn. The horizon is two decisions, the initial destination and one possible transfer, matching standard triage practice. At the first decision the subtype is unknown. Rather than recursing on a sampled subtype, which would let the planner peek at information the crew does not have, the value of a first destination is the prior-weighted sum over subtypes of the best in-hospital decision for that subtype:</w:t>
      </w:r>
    </w:p>
    <w:p>
      <w:pPr>
        <w:pStyle w:val="BodyText"/>
      </w:pPr>
      <m:oMathPara>
        <m:oMathParaPr>
          <m:jc m:val="center"/>
        </m:oMathParaPr>
        <m:oMath>
          <m:r>
            <m:t>V</m:t>
          </m:r>
          <m:d>
            <m:dPr>
              <m:begChr m:val="("/>
              <m:endChr m:val=")"/>
              <m:sepChr m:val=""/>
              <m:grow/>
            </m:dPr>
            <m:e>
              <m:r>
                <m:t>s</m:t>
              </m:r>
            </m:e>
          </m:d>
          <m:r>
            <m:rPr>
              <m:sty m:val="p"/>
            </m:rPr>
            <m:t>=</m:t>
          </m:r>
          <m:limLow>
            <m:e>
              <m:r>
                <m:rPr>
                  <m:sty m:val="p"/>
                </m:rPr>
                <m:t>max</m:t>
              </m:r>
            </m:e>
            <m:lim>
              <m:r>
                <m:t>a</m:t>
              </m:r>
            </m:lim>
          </m:limLow>
          <m:r>
            <m:t> </m:t>
          </m:r>
          <m:nary>
            <m:naryPr>
              <m:chr m:val="∑"/>
              <m:limLoc m:val="undOvr"/>
              <m:subHide m:val="off"/>
              <m:supHide m:val="on"/>
            </m:naryPr>
            <m:sub>
              <m:r>
                <m:t>σ</m:t>
              </m:r>
            </m:sub>
            <m:sup>
              <m:r>
                <m:t>​</m:t>
              </m:r>
            </m:sup>
            <m:e>
              <m:sSub>
                <m:e>
                  <m:r>
                    <m:t>p</m:t>
                  </m:r>
                </m:e>
                <m:sub>
                  <m:r>
                    <m:t>σ</m:t>
                  </m:r>
                </m:sub>
              </m:sSub>
            </m:e>
          </m:nary>
          <m:r>
            <m:t> </m:t>
          </m:r>
          <m:limLow>
            <m:e>
              <m:r>
                <m:rPr>
                  <m:sty m:val="p"/>
                </m:rPr>
                <m:t>max</m:t>
              </m:r>
            </m:e>
            <m:lim>
              <m:r>
                <m:t>a</m:t>
              </m:r>
              <m:r>
                <m:rPr>
                  <m:sty m:val="p"/>
                </m:rPr>
                <m:t>′</m:t>
              </m:r>
            </m:lim>
          </m:limLow>
          <m:r>
            <m:t>R</m:t>
          </m:r>
          <m:d>
            <m:dPr>
              <m:begChr m:val="("/>
              <m:endChr m:val=")"/>
              <m:sepChr m:val=""/>
              <m:grow/>
            </m:dPr>
            <m:e>
              <m:r>
                <m:t>s</m:t>
              </m:r>
              <m:sSub>
                <m:e>
                  <m:r>
                    <m:rPr>
                      <m:sty m:val="p"/>
                    </m:rPr>
                    <m:t>′</m:t>
                  </m:r>
                </m:e>
                <m:sub>
                  <m:r>
                    <m:t>σ</m:t>
                  </m:r>
                </m:sub>
              </m:sSub>
              <m:r>
                <m:rPr>
                  <m:sty m:val="p"/>
                </m:rPr>
                <m:t>,</m:t>
              </m:r>
              <m:r>
                <m:t>a</m:t>
              </m:r>
              <m:r>
                <m:rPr>
                  <m:sty m:val="p"/>
                </m:rPr>
                <m:t>′</m:t>
              </m:r>
              <m:r>
                <m:rPr>
                  <m:sty m:val="p"/>
                </m:rPr>
                <m:t>,</m:t>
              </m:r>
              <m:r>
                <m:t>s</m:t>
              </m:r>
              <m:sSub>
                <m:e>
                  <m:r>
                    <m:rPr>
                      <m:sty m:val="p"/>
                    </m:rPr>
                    <m:t>″</m:t>
                  </m:r>
                </m:e>
                <m:sub>
                  <m:r>
                    <m:t>σ</m:t>
                  </m:r>
                </m:sub>
              </m:sSub>
            </m:e>
          </m:d>
          <m:r>
            <m:rPr>
              <m:sty m:val="p"/>
            </m:rPr>
            <m:t>,</m:t>
          </m:r>
        </m:oMath>
      </m:oMathPara>
    </w:p>
    <w:p>
      <w:pPr>
        <w:pStyle w:val="FirstParagraph"/>
      </w:pPr>
      <w:r>
        <w:t xml:space="preserve">where</w:t>
      </w:r>
      <w:r>
        <w:t xml:space="preserve"> </w:t>
      </w:r>
      <m:oMath>
        <m:r>
          <m:t>s</m:t>
        </m:r>
        <m:sSub>
          <m:e>
            <m:r>
              <m:rPr>
                <m:sty m:val="p"/>
              </m:rPr>
              <m:t>′</m:t>
            </m:r>
          </m:e>
          <m:sub>
            <m:r>
              <m:t>σ</m:t>
            </m:r>
          </m:sub>
        </m:sSub>
      </m:oMath>
      <w:r>
        <w:t xml:space="preserve"> </w:t>
      </w:r>
      <w:r>
        <w:t xml:space="preserve">is the arrival state with subtype</w:t>
      </w:r>
      <w:r>
        <w:t xml:space="preserve"> </w:t>
      </w:r>
      <m:oMath>
        <m:r>
          <m:t>σ</m:t>
        </m:r>
      </m:oMath>
      <w:r>
        <w:t xml:space="preserve"> </w:t>
      </w:r>
      <w:r>
        <w:t xml:space="preserve">revealed and</w:t>
      </w:r>
      <w:r>
        <w:t xml:space="preserve"> </w:t>
      </w:r>
      <m:oMath>
        <m:r>
          <m:t>R</m:t>
        </m:r>
      </m:oMath>
      <w:r>
        <w:t xml:space="preserve"> </w:t>
      </w:r>
      <w:r>
        <w:t xml:space="preserve">is the terminal reward of Section </w:t>
      </w:r>
      <w:hyperlink w:anchor="sec:problem">
        <w:r>
          <w:rPr>
            <w:rStyle w:val="Hyperlink"/>
          </w:rPr>
          <w:t xml:space="preserve">3</w:t>
        </w:r>
      </w:hyperlink>
      <w:r>
        <w:t xml:space="preserve">. The order of maximization and expectation encodes the information structure: the transfer decision is optimized knowing the subtype, the destination decision is optimized before it is known. The action set at each hospital is small (transfer to one of the reachable higher-tier centers, or stay), so the search is exact. Every policy in this paper, the MDP and the fixed rules alike, is scored on the same quantity, the expected outcome of its first destination under the best in-hospital follow-up; the MDP policy is the maximizer of that quantity by construction, so on it the MDP is never below a comparator for any patient. Ties in expected outcome arise only when no pathway reaches treatment inside the outcome window, so that every destination scores the same floor; they are broken toward the more capable hospital, then toward the shorter first leg. The first rule follows current practice for late presenters, some of whom are selected for thrombectomy beyond the window modeled here; the second removes any dependence on the order in which hospitals are listed.</w:t>
      </w:r>
    </w:p>
    <w:p>
      <w:pPr>
        <w:pStyle w:val="BodyText"/>
      </w:pPr>
      <w:r>
        <w:t xml:space="preserve">With</w:t>
      </w:r>
      <w:r>
        <w:t xml:space="preserve"> </w:t>
      </w:r>
      <m:oMath>
        <m:r>
          <m:t>H</m:t>
        </m:r>
      </m:oMath>
      <w:r>
        <w:t xml:space="preserve"> </w:t>
      </w:r>
      <w:r>
        <w:t xml:space="preserve">hospitals the first step has at most</w:t>
      </w:r>
      <w:r>
        <w:t xml:space="preserve"> </w:t>
      </w:r>
      <m:oMath>
        <m:r>
          <m:t>H</m:t>
        </m:r>
      </m:oMath>
      <w:r>
        <w:t xml:space="preserve"> </w:t>
      </w:r>
      <w:r>
        <w:t xml:space="preserve">actions and the second at most</w:t>
      </w:r>
      <w:r>
        <w:t xml:space="preserve"> </w:t>
      </w:r>
      <m:oMath>
        <m:r>
          <m:t>H</m:t>
        </m:r>
      </m:oMath>
      <w:r>
        <w:t xml:space="preserve"> </w:t>
      </w:r>
      <w:r>
        <w:t xml:space="preserve">per subtype, so one decision costs</w:t>
      </w:r>
      <w:r>
        <w:t xml:space="preserve"> </w:t>
      </w:r>
      <m:oMath>
        <m:r>
          <m:t>O</m:t>
        </m:r>
        <m:d>
          <m:dPr>
            <m:begChr m:val="("/>
            <m:endChr m:val=")"/>
            <m:sepChr m:val=""/>
            <m:grow/>
          </m:dPr>
          <m:e>
            <m:sSup>
              <m:e>
                <m:r>
                  <m:t>H</m:t>
                </m:r>
              </m:e>
              <m:sup>
                <m:r>
                  <m:t>2</m:t>
                </m:r>
              </m:sup>
            </m:sSup>
          </m:e>
        </m:d>
      </m:oMath>
      <w:r>
        <w:t xml:space="preserve"> </w:t>
      </w:r>
      <w:r>
        <w:t xml:space="preserve">reward evaluations, each needing at most two travel times. Deeper search is not meaningful, because the episode ends at the in-hospital decision. Travel times from a pickup location to every hospital are obtained in one matrix request to the routing engine and cached for the decision; hospital-to-hospital times are cached across decisions. Measured latency is reported in Section </w:t>
      </w:r>
      <w:hyperlink w:anchor="sec:results">
        <w:r>
          <w:rPr>
            <w:rStyle w:val="Hyperlink"/>
          </w:rPr>
          <w:t xml:space="preserve">6</w:t>
        </w:r>
      </w:hyperlink>
      <w:r>
        <w:t xml:space="preserve">.</w:t>
      </w:r>
    </w:p>
    <w:bookmarkEnd w:id="37"/>
    <w:bookmarkStart w:id="38" w:name="comparator-policies"/>
    <w:p>
      <w:pPr>
        <w:pStyle w:val="Heading2"/>
      </w:pPr>
      <w:r>
        <w:t xml:space="preserve">Comparator policies</w:t>
      </w:r>
    </w:p>
    <w:p>
      <w:pPr>
        <w:pStyle w:val="FirstParagraph"/>
      </w:pPr>
      <w:r>
        <w:t xml:space="preserve">We compare against three fixed rules.</w:t>
      </w:r>
      <w:r>
        <w:t xml:space="preserve"> </w:t>
      </w:r>
      <w:r>
        <w:rPr>
          <w:iCs/>
          <w:i/>
        </w:rPr>
        <w:t xml:space="preserve">Nearest hospital</w:t>
      </w:r>
      <w:r>
        <w:t xml:space="preserve"> </w:t>
      </w:r>
      <w:r>
        <w:t xml:space="preserve">routes to the geographically closest hospital regardless of capability, the default where no triage protocol exists.</w:t>
      </w:r>
      <w:r>
        <w:t xml:space="preserve"> </w:t>
      </w:r>
      <w:r>
        <w:rPr>
          <w:iCs/>
          <w:i/>
        </w:rPr>
        <w:t xml:space="preserve">Nearest EVT-capable center</w:t>
      </w:r>
      <w:r>
        <w:t xml:space="preserve"> </w:t>
      </w:r>
      <w:r>
        <w:t xml:space="preserve">prefers the closest EVT-capable center whenever one is reachable, the protocol implemented in Rhode Island </w:t>
      </w:r>
      <w:r>
        <w:t xml:space="preserve">(Jayaraman et al. 2023)</w:t>
      </w:r>
      <w:r>
        <w:t xml:space="preserve"> </w:t>
      </w:r>
      <w:r>
        <w:t xml:space="preserve">and, for screen-positive patients, in Santa Clara County </w:t>
      </w:r>
      <w:r>
        <w:t xml:space="preserve">(Santa Clara County Emergency Medical Services Agency 2021)</w:t>
      </w:r>
      <w:r>
        <w:t xml:space="preserve">; if none is reachable it falls back to the nearest thrombolysis-capable center, then to any hospital.</w:t>
      </w:r>
      <w:r>
        <w:t xml:space="preserve"> </w:t>
      </w:r>
      <w:r>
        <w:rPr>
          <w:iCs/>
          <w:i/>
        </w:rPr>
        <w:t xml:space="preserve">Nearest stroke center</w:t>
      </w:r>
      <w:r>
        <w:t xml:space="preserve"> </w:t>
      </w:r>
      <w:r>
        <w:t xml:space="preserve">routes to whichever thrombolysis- or EVT-capable center is closest, with the same fallback; this is in effect the San Francisco EMS destination policy </w:t>
      </w:r>
      <w:r>
        <w:t xml:space="preserve">(San Francisco Emergency Medical Services Agency 2020)</w:t>
      </w:r>
      <w:r>
        <w:t xml:space="preserve">. The two heuristics therefore correspond to protocols in current use, and nearest-hospital routing is the lower bound on practice rather than a description of it everywhere.</w:t>
      </w:r>
    </w:p>
    <w:bookmarkEnd w:id="38"/>
    <w:bookmarkStart w:id="39" w:name="X3f3bfec04c0a622c6ba3405385adcb25a4eefce"/>
    <w:p>
      <w:pPr>
        <w:pStyle w:val="Heading2"/>
      </w:pPr>
      <w:r>
        <w:t xml:space="preserve">Distilling the policy into a decision tree</w:t>
      </w:r>
    </w:p>
    <w:p>
      <w:pPr>
        <w:pStyle w:val="FirstParagraph"/>
      </w:pPr>
      <w:r>
        <w:t xml:space="preserve">For use by EMS crews without computation, we approximate the MDP policy with a decision tree. Each simulated patient is labeled with the MDP’s recommended destination, translated into a tier (EVT-capable, thrombolysis-capable, non-stroke-center). Features are time since onset, road travel time to the nearest hospital of each tier, and the pairwise differences and ratios of those travel times. Trees of depth 1 to 10 and an unconstrained tree are trained on 1,000 labeled patients and evaluated on held-out patients never used for training, scoring each tree’s recommended destination with the same reward model and comparing it with the MDP’s recommendation for the same patient. We report, per depth, the mean outcome, the share of the MDP’s gain over nearest-hospital routing that the tree recovers, and the number of leaves, and select the shallowest tree within 1% of the MDP. The tree is a static artifact: it can be printed, embedded in a dispatch system, or read aloud, and it changes only when the hospital table or the travel-time engine does.</w:t>
      </w:r>
    </w:p>
    <w:bookmarkEnd w:id="39"/>
    <w:bookmarkEnd w:id="40"/>
    <w:bookmarkStart w:id="47" w:name="sec:setup"/>
    <w:p>
      <w:pPr>
        <w:pStyle w:val="Heading1"/>
      </w:pPr>
      <w:r>
        <w:t xml:space="preserve">Experimental Setup</w:t>
      </w:r>
    </w:p>
    <w:bookmarkStart w:id="41" w:name="regions-and-hospital-networks"/>
    <w:p>
      <w:pPr>
        <w:pStyle w:val="Heading2"/>
      </w:pPr>
      <w:r>
        <w:t xml:space="preserve">Regions and hospital networks</w:t>
      </w:r>
    </w:p>
    <w:p>
      <w:pPr>
        <w:pStyle w:val="FirstParagraph"/>
      </w:pPr>
      <w:r>
        <w:t xml:space="preserve">We evaluate two regions with different network structures and stroke-system policies: the nine-county San Francisco Bay Area, California, a decentralized system with 11 EVT-capable centers, 44 thrombolysis-capable centers and 6 non-stroke-center hospitals (61 in total), and the state of Rhode Island, a centralized system with one EVT-capable center and eight thrombolysis-capable centers, which has been the focus of stroke policy improvements </w:t>
      </w:r>
      <w:r>
        <w:t xml:space="preserve">(Jayaraman et al. 2023)</w:t>
      </w:r>
      <w:r>
        <w:t xml:space="preserve">. Hospital designations were verified in October 2026 against county EMS agency receiving-facility lists, the Rhode Island Department of Health stroke designation list, certifying-body records and hospital system pages; coordinates were checked against street addresses. Four Bay Area hospitals perform thrombectomy without Comprehensive or Thrombectomy-Capable certification; they are thrombolysis-capable in the primary analysis and EVT-capable in a sensitivity analysis. Designations change (two Bay Area hospitals changed tier in 2026), so the hospital table is an input to the method rather than part of it. Routing protocols also differ within the Bay Area: San Francisco routes to the closest stroke center without severity tiering, Santa Clara County routes screen-positive patients to the closest EVT-capable center, and Marin County transfers LVO patients out of county, often by air.</w:t>
      </w:r>
    </w:p>
    <w:bookmarkEnd w:id="41"/>
    <w:bookmarkStart w:id="42" w:name="simulated-cohorts"/>
    <w:p>
      <w:pPr>
        <w:pStyle w:val="Heading2"/>
      </w:pPr>
      <w:r>
        <w:t xml:space="preserve">Simulated cohorts</w:t>
      </w:r>
    </w:p>
    <w:p>
      <w:pPr>
        <w:pStyle w:val="FirstParagraph"/>
      </w:pPr>
      <w:r>
        <w:t xml:space="preserve">Each replicate samples 1,000 pickup locations without replacement from a population-weighted pool of 10,000 points </w:t>
      </w:r>
      <w:r>
        <w:t xml:space="preserve">(Meta Data for Good 2019)</w:t>
      </w:r>
      <w:r>
        <w:t xml:space="preserve">, draws the subtype from the LAMS-positive prior, and routes every patient under each policy. Onset-to-pickup time, the interval from symptom onset (last known well) through the call to EMS, response and scene time to departure, is drawn from a log-normal distribution with median 90 minutes and log-scale standard deviation 1.28, truncated to 30–270 minutes. The parameters are the onset-to-door quantiles of EMS-attended, EVT-eligible patients in a regional stroke network (median 104, IQR 60–338 minutes) </w:t>
      </w:r>
      <w:r>
        <w:t xml:space="preserve">(Hegenberg et al. 2026)</w:t>
      </w:r>
      <w:r>
        <w:t xml:space="preserve"> </w:t>
      </w:r>
      <w:r>
        <w:t xml:space="preserve">less the U.S. median EMS transport interval of 14 minutes </w:t>
      </w:r>
      <w:r>
        <w:t xml:space="preserve">(Cash et al. 2022; Chari et al. 2022)</w:t>
      </w:r>
      <w:r>
        <w:t xml:space="preserve">; the resulting first-contact times are consistent with LAMS-positive patients in Los Angeles County (median 26 minutes to first medical contact among those treated within 6 hours) </w:t>
      </w:r>
      <w:r>
        <w:t xml:space="preserve">(Bosson et al. 2023)</w:t>
      </w:r>
      <w:r>
        <w:t xml:space="preserve"> </w:t>
      </w:r>
      <w:r>
        <w:t xml:space="preserve">and the 30-minute floor with national response and scene intervals </w:t>
      </w:r>
      <w:r>
        <w:t xml:space="preserve">(Chari et al. 2022)</w:t>
      </w:r>
      <w:r>
        <w:t xml:space="preserve">. Within the window, 30% of patients depart within an hour of onset and 16% after three hours. Alternative parameterizations fitted to all-severity EMS arrivals </w:t>
      </w:r>
      <w:r>
        <w:t xml:space="preserve">(Adeoye et al. 2017)</w:t>
      </w:r>
      <w:r>
        <w:t xml:space="preserve"> </w:t>
      </w:r>
      <w:r>
        <w:t xml:space="preserve">change these shares by at most three points once truncated to the window, because the heavy tail on which the sources differ lies beyond it. We run 10 replicates per region with distinct seeds, giving 10,000 patients per policy and between-replicate confidence intervals. The same patients are routed under every policy, so comparisons are paired. A patient is replaced only if the routing engine cannot route from the sampled point under some policy (none of 10,000 in the Bay Area, 1 of 10,000 in Rhode Island). The 200</w:t>
      </w:r>
      <m:oMath>
        <m:r>
          <m:rPr>
            <m:sty m:val="p"/>
          </m:rPr>
          <m:t>×</m:t>
        </m:r>
      </m:oMath>
      <w:r>
        <w:t xml:space="preserve">200 grid used for the geographic analysis (five patients per cell) is the visualization layer, not the cohort behind the main results.</w:t>
      </w:r>
    </w:p>
    <w:bookmarkEnd w:id="42"/>
    <w:bookmarkStart w:id="43" w:name="travel-times"/>
    <w:p>
      <w:pPr>
        <w:pStyle w:val="Heading2"/>
      </w:pPr>
      <w:r>
        <w:t xml:space="preserve">Travel times</w:t>
      </w:r>
    </w:p>
    <w:p>
      <w:pPr>
        <w:pStyle w:val="FirstParagraph"/>
      </w:pPr>
      <w:r>
        <w:t xml:space="preserve">Travel times are computed on the OpenStreetMap road network with OpenRouteService 8.0 (driving-car profile, matrix endpoint) hosted locally. Any hospital the road network reaches is a candidate first destination, and inter-facility transfers are computed by road for all pairs; no distance cutoff is imposed, since long first legs are penalized by the outcome curves rather than by an assumed catchment. Travel times are deterministic in the planner; sensitivity to travel-time error is assessed post hoc.</w:t>
      </w:r>
    </w:p>
    <w:bookmarkEnd w:id="43"/>
    <w:bookmarkStart w:id="44" w:name="outcome-measures-and-statistics"/>
    <w:p>
      <w:pPr>
        <w:pStyle w:val="Heading2"/>
      </w:pPr>
      <w:r>
        <w:t xml:space="preserve">Outcome measures and statistics</w:t>
      </w:r>
    </w:p>
    <w:p>
      <w:pPr>
        <w:pStyle w:val="FirstParagraph"/>
      </w:pPr>
      <w:r>
        <w:t xml:space="preserve">The primary measure is the probability of an excellent 90-day outcome (mRS 0–1) per patient. We distinguish the</w:t>
      </w:r>
      <w:r>
        <w:t xml:space="preserve"> </w:t>
      </w:r>
      <w:r>
        <w:rPr>
          <w:iCs/>
          <w:i/>
        </w:rPr>
        <w:t xml:space="preserve">planning</w:t>
      </w:r>
      <w:r>
        <w:t xml:space="preserve"> </w:t>
      </w:r>
      <w:r>
        <w:t xml:space="preserve">reward, the prior-weighted expected outcome that the planner optimizes and that a dispatcher faces, from the</w:t>
      </w:r>
      <w:r>
        <w:t xml:space="preserve"> </w:t>
      </w:r>
      <w:r>
        <w:rPr>
          <w:iCs/>
          <w:i/>
        </w:rPr>
        <w:t xml:space="preserve">realized</w:t>
      </w:r>
      <w:r>
        <w:t xml:space="preserve"> </w:t>
      </w:r>
      <w:r>
        <w:t xml:space="preserve">reward, the subtype-specific outcome given the drawn subtype. Tables report planning rewards; realized rewards are reported as a check and give the same differences. For each pair of policies we report the mean paired difference with a 95% confidence interval across the 10 replicates (</w:t>
      </w:r>
      <m:oMath>
        <m:sSub>
          <m:e>
            <m:r>
              <m:t>t</m:t>
            </m:r>
          </m:e>
          <m:sub>
            <m:r>
              <m:t>9</m:t>
            </m:r>
          </m:sub>
        </m:sSub>
      </m:oMath>
      <w:r>
        <w:t xml:space="preserve">), the paired</w:t>
      </w:r>
      <w:r>
        <w:t xml:space="preserve"> </w:t>
      </w:r>
      <m:oMath>
        <m:r>
          <m:t>t</m:t>
        </m:r>
      </m:oMath>
      <w:r>
        <w:t xml:space="preserve">-test with Bonferroni correction for the five comparisons, and Cohen’s</w:t>
      </w:r>
      <w:r>
        <w:t xml:space="preserve"> </w:t>
      </w:r>
      <m:oMath>
        <m:sSub>
          <m:e>
            <m:r>
              <m:t>d</m:t>
            </m:r>
          </m:e>
          <m:sub>
            <m:r>
              <m:t>z</m:t>
            </m:r>
          </m:sub>
        </m:sSub>
      </m:oMath>
      <w:r>
        <w:t xml:space="preserve">. Equity is assessed by stratifying paired differences by census-tract median household income quartile and rural-urban commuting area class, for the MDP against nearest-hospital routing and against both heuristics.</w:t>
      </w:r>
    </w:p>
    <w:bookmarkEnd w:id="44"/>
    <w:bookmarkStart w:id="45" w:name="sensitivity-analyses"/>
    <w:p>
      <w:pPr>
        <w:pStyle w:val="Heading2"/>
      </w:pPr>
      <w:r>
        <w:t xml:space="preserve">Sensitivity analyses</w:t>
      </w:r>
    </w:p>
    <w:p>
      <w:pPr>
        <w:pStyle w:val="FirstParagraph"/>
      </w:pPr>
      <w:r>
        <w:t xml:space="preserve">(i) Travel-time error: multiplicative log-normal noise (</w:t>
      </w:r>
      <m:oMath>
        <m:r>
          <m:t>σ</m:t>
        </m:r>
        <m:r>
          <m:rPr>
            <m:sty m:val="p"/>
          </m:rPr>
          <m:t>=</m:t>
        </m:r>
        <m:r>
          <m:t>0.10</m:t>
        </m:r>
        <m:r>
          <m:rPr>
            <m:sty m:val="p"/>
          </m:rPr>
          <m:t>,</m:t>
        </m:r>
        <m:r>
          <m:t>0.20</m:t>
        </m:r>
      </m:oMath>
      <w:r>
        <w:t xml:space="preserve">) and systematic bias (</w:t>
      </w:r>
      <m:oMath>
        <m:r>
          <m:rPr>
            <m:sty m:val="p"/>
          </m:rPr>
          <m:t>×</m:t>
        </m:r>
        <m:r>
          <m:t>0.70</m:t>
        </m:r>
      </m:oMath>
      <w:r>
        <w:t xml:space="preserve"> </w:t>
      </w:r>
      <w:r>
        <w:t xml:space="preserve">to</w:t>
      </w:r>
      <w:r>
        <w:t xml:space="preserve"> </w:t>
      </w:r>
      <m:oMath>
        <m:r>
          <m:rPr>
            <m:sty m:val="p"/>
          </m:rPr>
          <m:t>×</m:t>
        </m:r>
        <m:r>
          <m:t>1.30</m:t>
        </m:r>
      </m:oMath>
      <w:r>
        <w:t xml:space="preserve">) applied to the recorded first-leg travel time, with one draw per patient and destination so identical routes receive identical perturbations; rewards are recomputed and the paired comparisons repeated. (ii) In-hospital intervals:</w:t>
      </w:r>
      <w:r>
        <w:t xml:space="preserve"> </w:t>
      </w:r>
      <m:oMath>
        <m:sSub>
          <m:e>
            <m:r>
              <m:t>T</m:t>
            </m:r>
          </m:e>
          <m:sub>
            <m:r>
              <m:rPr>
                <m:nor/>
                <m:sty m:val="p"/>
              </m:rPr>
              <m:t>DIDO</m:t>
            </m:r>
          </m:sub>
        </m:sSub>
        <m:r>
          <m:rPr>
            <m:sty m:val="p"/>
          </m:rPr>
          <m:t>∈</m:t>
        </m:r>
        <m:r>
          <m:rPr>
            <m:sty m:val="p"/>
          </m:rPr>
          <m:t>{</m:t>
        </m:r>
        <m:r>
          <m:t>60</m:t>
        </m:r>
        <m:r>
          <m:rPr>
            <m:sty m:val="p"/>
          </m:rPr>
          <m:t>,</m:t>
        </m:r>
        <m:r>
          <m:t>90</m:t>
        </m:r>
        <m:r>
          <m:rPr>
            <m:sty m:val="p"/>
          </m:rPr>
          <m:t>,</m:t>
        </m:r>
        <m:r>
          <m:t>121</m:t>
        </m:r>
        <m:r>
          <m:rPr>
            <m:sty m:val="p"/>
          </m:rPr>
          <m:t>,</m:t>
        </m:r>
        <m:r>
          <m:t>175</m:t>
        </m:r>
        <m:r>
          <m:rPr>
            <m:sty m:val="p"/>
          </m:rPr>
          <m:t>}</m:t>
        </m:r>
      </m:oMath>
      <w:r>
        <w:t xml:space="preserve"> </w:t>
      </w:r>
      <w:r>
        <w:t xml:space="preserve">minutes, with rewards recomputed for the policies as planned under the base case. (iii) EVT definition: the four uncertified thrombectomy sites treated as EVT-capable (15 centers), with the policy re-planned. (iv) Decision-tree depth: 1 to 10 and unconstrained.</w:t>
      </w:r>
    </w:p>
    <w:bookmarkEnd w:id="45"/>
    <w:bookmarkStart w:id="46" w:name="latency-and-reproducibility"/>
    <w:p>
      <w:pPr>
        <w:pStyle w:val="Heading2"/>
      </w:pPr>
      <w:r>
        <w:t xml:space="preserve">Latency and reproducibility</w:t>
      </w:r>
    </w:p>
    <w:p>
      <w:pPr>
        <w:pStyle w:val="FirstParagraph"/>
      </w:pPr>
      <w:r>
        <w:t xml:space="preserve">Per-decision wall-clock time of the planner is measured for 50 patients at planning depths 1 to 4 on a laptop ([PENDING: Apple M-series, xx GB]) with the routing engine on the same machine, with each patient’s travel-time row evicted from the cache before timing so the figure includes the routing-engine call. We report mean, median, 95th and 99th percentiles. All randomness is seeded, the Julia environment is pinned, and code and hospital tables will be released on acceptance.</w:t>
      </w:r>
    </w:p>
    <w:bookmarkEnd w:id="46"/>
    <w:bookmarkEnd w:id="47"/>
    <w:bookmarkStart w:id="57" w:name="sec:results"/>
    <w:p>
      <w:pPr>
        <w:pStyle w:val="Heading1"/>
      </w:pPr>
      <w:r>
        <w:t xml:space="preserve">Results</w:t>
      </w:r>
    </w:p>
    <w:bookmarkStart w:id="48" w:name="X57f341b7be95f92975cc43a5791b77f2fdc232b"/>
    <w:p>
      <w:pPr>
        <w:pStyle w:val="Heading2"/>
      </w:pPr>
      <w:r>
        <w:t xml:space="preserve">Primary comparison: San Francisco Bay Area</w:t>
      </w:r>
    </w:p>
    <w:p>
      <w:pPr>
        <w:pStyle w:val="FirstParagraph"/>
      </w:pPr>
      <w:r>
        <w:t xml:space="preserve">Across 10 replicates of 1,000 patients, the MDP policy raised the mean probability of an excellent outcome from 0.374 under nearest-hospital routing to 0.403 (paired difference 0.029, 95% CI 0.028–0.030,</w:t>
      </w:r>
      <w:r>
        <w:t xml:space="preserve"> </w:t>
      </w:r>
      <m:oMath>
        <m:r>
          <m:t>p</m:t>
        </m:r>
        <m:r>
          <m:rPr>
            <m:sty m:val="p"/>
          </m:rPr>
          <m:t>&lt;</m:t>
        </m:r>
        <m:sSup>
          <m:e>
            <m:r>
              <m:t>10</m:t>
            </m:r>
          </m:e>
          <m:sup>
            <m:r>
              <m:rPr>
                <m:sty m:val="p"/>
              </m:rPr>
              <m:t>−</m:t>
            </m:r>
            <m:r>
              <m:t>6</m:t>
            </m:r>
          </m:sup>
        </m:sSup>
      </m:oMath>
      <w:r>
        <w:t xml:space="preserve"> </w:t>
      </w:r>
      <w:r>
        <w:t xml:space="preserve">after Bonferroni correction,</w:t>
      </w:r>
      <w:r>
        <w:t xml:space="preserve"> </w:t>
      </w:r>
      <m:oMath>
        <m:sSub>
          <m:e>
            <m:r>
              <m:t>d</m:t>
            </m:r>
          </m:e>
          <m:sub>
            <m:r>
              <m:t>z</m:t>
            </m:r>
          </m:sub>
        </m:sSub>
        <m:r>
          <m:rPr>
            <m:sty m:val="p"/>
          </m:rPr>
          <m:t>=</m:t>
        </m:r>
        <m:r>
          <m:t>0.92</m:t>
        </m:r>
      </m:oMath>
      <w:r>
        <w:t xml:space="preserve">; Table </w:t>
      </w:r>
      <w:hyperlink w:anchor="tab:main">
        <w:r>
          <w:rPr>
            <w:rStyle w:val="Hyperlink"/>
          </w:rPr>
          <w:t xml:space="preserve">[tab:main]</w:t>
        </w:r>
      </w:hyperlink>
      <w:r>
        <w:t xml:space="preserve">) and the median from 0.359 to 0.419. The realized rewards give the same picture: mean 0.374 against 0.403, difference 0.029 (95% CI 0.027–0.030). Fig. </w:t>
      </w:r>
      <w:hyperlink w:anchor="fig:dist">
        <w:r>
          <w:rPr>
            <w:rStyle w:val="Hyperlink"/>
          </w:rPr>
          <w:t xml:space="preserve">1</w:t>
        </w:r>
      </w:hyperlink>
      <w:r>
        <w:t xml:space="preserve"> </w:t>
      </w:r>
      <w:r>
        <w:t xml:space="preserve">shows where the gain comes from: nearest-hospital routing leaves a large share of patients at the untreated outcome floor, and the MDP moves most of them into the treated range. The gain is concentrated in the middle of the onset window: it is small for the earliest presenters, for whom any destination reaches treatment in time, peaks for pickups between about one and two and a half hours after onset, and vanishes beyond about three hours, when thrombectomy falls outside the outcome window whatever the destination. A spike in the nearest-hospital distribution at 0.327 (17% of patients) marks those who reach every treatment outside the window in which earlier arrival adds benefit; under the MDP the share at that value falls to 9%. The largest single-patient gain was a 30% relative increase.</w:t>
      </w:r>
    </w:p>
    <w:p>
      <w:pPr>
        <w:pStyle w:val="BodyText"/>
      </w:pPr>
      <w:r>
        <w:t xml:space="preserve">Against the heuristics, nearest-hospital routing underperformed every alternative. The MDP policy outperformed the nearest-stroke-center rule by 0.025 (95% CI 0.024–0.025) and the nearest-EVT-center rule by 0.0003 (95% CI 0.0003–0.0003): the two policies agree for 88% of patients, and where they differ the MDP is never worse (509 patients better, none worse). The small margin over the nearest-EVT-center rule hides an operational difference. Of the 1,223 patients on whom the two policies diverged, 714 had identical predicted outcomes, yet the nearest-EVT-center rule drove them a mean 17 minutes farther (27 against 10 minutes first-leg travel, up to 64 minutes more), and overall it concentrated transports on 10 hospitals against 51 under the MDP (the two busiest EVT centers received 52% of its patients, against 45% under the MDP). These detours fall on patients for whom earlier arrival does not change the outcome, such as hemorrhages and late-presenting ischemic strokes, where the reward function has flattened. Because the reward does not penalize travel that leaves the outcome unchanged, it understates the operational cost of a fixed bypass rule; the travel-time tie-break in the planner is what lets the MDP avoid it.</w:t>
      </w:r>
    </w:p>
    <w:p>
      <w:pPr>
        <w:pStyle w:val="BodyText"/>
      </w:pPr>
      <w:r>
        <w:t xml:space="preserve">@lcccc@</w:t>
      </w:r>
      <w:r>
        <w:t xml:space="preserve"> </w:t>
      </w:r>
      <w:r>
        <w:t xml:space="preserve">Policy &amp; Mean &amp; Median &amp; Travel (min) &amp; Hospitals</w:t>
      </w:r>
      <w:r>
        <w:br/>
      </w:r>
      <w:r>
        <w:t xml:space="preserve">MDP (depth 2) &amp; 0.403 &amp; 0.419 &amp; 19.3 &amp; 51</w:t>
      </w:r>
      <w:r>
        <w:br/>
      </w:r>
      <w:r>
        <w:t xml:space="preserve">Nearest hospital &amp; 0.374 &amp; 0.359 &amp; 9.4 &amp; 51</w:t>
      </w:r>
      <w:r>
        <w:br/>
      </w:r>
      <w:r>
        <w:t xml:space="preserve">Nearest EVT-capable center &amp; 0.403 &amp; 0.419 &amp; 21.4 &amp; 10</w:t>
      </w:r>
      <w:r>
        <w:br/>
      </w:r>
      <w:r>
        <w:t xml:space="preserve">Nearest stroke center &amp; 0.378 &amp; 0.361 &amp; 10.2 &amp; 45</w:t>
      </w:r>
      <w:r>
        <w:br/>
      </w:r>
      <w:r>
        <w:t xml:space="preserve">Decision tree (depth 1) &amp; 0.4013</w:t>
      </w:r>
      <m:oMath>
        <m:sSup>
          <m:e>
            <m:r>
              <m:t>​</m:t>
            </m:r>
          </m:e>
          <m:sup>
            <m:r>
              <m:rPr>
                <m:sty m:val="p"/>
              </m:rPr>
              <m:t>†</m:t>
            </m:r>
          </m:sup>
        </m:sSup>
      </m:oMath>
      <w:r>
        <w:t xml:space="preserve"> </w:t>
      </w:r>
      <w:r>
        <w:t xml:space="preserve">&amp; – &amp; – &amp; –</w:t>
      </w:r>
      <w:r>
        <w:br/>
      </w:r>
      <w:r>
        <w:br/>
      </w:r>
      <w:r>
        <w:t xml:space="preserve">MDP</w:t>
      </w:r>
      <w:r>
        <w:t xml:space="preserve"> </w:t>
      </w:r>
      <m:oMath>
        <m:r>
          <m:rPr>
            <m:sty m:val="p"/>
          </m:rPr>
          <m:t>−</m:t>
        </m:r>
      </m:oMath>
      <w:r>
        <w:t xml:space="preserve"> </w:t>
      </w:r>
      <w:r>
        <w:t xml:space="preserve">Nearest hospital &amp;</w:t>
      </w:r>
      <w:r>
        <w:br/>
      </w:r>
      <w:r>
        <w:t xml:space="preserve">MDP</w:t>
      </w:r>
      <w:r>
        <w:t xml:space="preserve"> </w:t>
      </w:r>
      <m:oMath>
        <m:r>
          <m:rPr>
            <m:sty m:val="p"/>
          </m:rPr>
          <m:t>−</m:t>
        </m:r>
      </m:oMath>
      <w:r>
        <w:t xml:space="preserve"> </w:t>
      </w:r>
      <w:r>
        <w:t xml:space="preserve">Nearest EVT-capable &amp;</w:t>
      </w:r>
      <w:r>
        <w:br/>
      </w:r>
      <w:r>
        <w:t xml:space="preserve">MDP</w:t>
      </w:r>
      <w:r>
        <w:t xml:space="preserve"> </w:t>
      </w:r>
      <m:oMath>
        <m:r>
          <m:rPr>
            <m:sty m:val="p"/>
          </m:rPr>
          <m:t>−</m:t>
        </m:r>
      </m:oMath>
      <w:r>
        <w:t xml:space="preserve"> </w:t>
      </w:r>
      <w:r>
        <w:t xml:space="preserve">Nearest stroke center &amp;</w:t>
      </w:r>
      <w:r>
        <w:br/>
      </w:r>
      <w:r>
        <w:t xml:space="preserve">Nearest EVT-capable</w:t>
      </w:r>
      <w:r>
        <w:t xml:space="preserve"> </w:t>
      </w:r>
      <m:oMath>
        <m:r>
          <m:rPr>
            <m:sty m:val="p"/>
          </m:rPr>
          <m:t>−</m:t>
        </m:r>
      </m:oMath>
      <w:r>
        <w:t xml:space="preserve"> </w:t>
      </w:r>
      <w:r>
        <w:t xml:space="preserve">Nearest hospital &amp;</w:t>
      </w:r>
      <w:r>
        <w:br/>
      </w:r>
      <w:r>
        <w:t xml:space="preserve">Nearest stroke center</w:t>
      </w:r>
      <w:r>
        <w:t xml:space="preserve"> </w:t>
      </w:r>
      <m:oMath>
        <m:r>
          <m:rPr>
            <m:sty m:val="p"/>
          </m:rPr>
          <m:t>−</m:t>
        </m:r>
      </m:oMath>
      <w:r>
        <w:t xml:space="preserve"> </w:t>
      </w:r>
      <w:r>
        <w:t xml:space="preserve">Nearest hospital &amp;</w:t>
      </w:r>
      <w:r>
        <w:br/>
      </w:r>
    </w:p>
    <w:tbl>
      <w:tblPr>
        <w:tblStyle w:val="FigureTable"/>
        <w:tblW w:type="auto" w:w="0"/>
        <w:tblLook w:firstRow="0" w:lastRow="0" w:firstColumn="0" w:lastColumn="0"/>
        <w:jc w:val="center"/>
      </w:tblPr>
      <w:tblGrid/>
      <w:tr/>
    </w:tbl>
    <w:p>
      <w:pPr>
        <w:pStyle w:val="ImageCaption"/>
      </w:pPr>
      <w:r>
        <w:t xml:space="preserve">Distribution of the per-patient probability of an excellent outcome under nearest-hospital routing and the MDP policy, Bay Area, all replicates (planning reward). Dashed lines mark the means. Nearest-hospital routing leaves a large group of patients at the untreated floor; the MDP moves most of them to the treated range.</w:t>
      </w:r>
    </w:p>
    <w:bookmarkEnd w:id="48"/>
    <w:bookmarkStart w:id="49" w:name="geographic-and-equity-analysis"/>
    <w:p>
      <w:pPr>
        <w:pStyle w:val="Heading2"/>
      </w:pPr>
      <w:r>
        <w:t xml:space="preserve">Geographic and equity analysis</w:t>
      </w:r>
    </w:p>
    <w:p>
      <w:pPr>
        <w:pStyle w:val="FirstParagraph"/>
      </w:pPr>
      <w:r>
        <w:t xml:space="preserve">To locate where routing matters most, we simulated five patients in each cell of a 200</w:t>
      </w:r>
      <m:oMath>
        <m:r>
          <m:rPr>
            <m:sty m:val="p"/>
          </m:rPr>
          <m:t>×</m:t>
        </m:r>
      </m:oMath>
      <w:r>
        <w:t xml:space="preserve">200 grid over the Bay Area (16,138 populated cells, 79,501 patients) and mapped the mean outcome under each policy (Fig. </w:t>
      </w:r>
      <w:hyperlink w:anchor="fig:maps_outcome">
        <w:r>
          <w:rPr>
            <w:rStyle w:val="Hyperlink"/>
          </w:rPr>
          <w:t xml:space="preserve">[fig:maps_outcome]</w:t>
        </w:r>
      </w:hyperlink>
      <w:r>
        <w:t xml:space="preserve">) and the mean paired difference per cell (Fig. </w:t>
      </w:r>
      <w:hyperlink w:anchor="fig:maps">
        <w:r>
          <w:rPr>
            <w:rStyle w:val="Hyperlink"/>
          </w:rPr>
          <w:t xml:space="preserve">[fig:maps]</w:t>
        </w:r>
      </w:hyperlink>
      <w:r>
        <w:t xml:space="preserve">). Relative to nearest-hospital routing, the MDP improved the cell mean by a median of 7.3%, by more than 10% in 6,464 cells (40%), by more than 25% in 1,425 cells (9%), and by a maximum of 74%; the 90th percentile of the cell-level improvement was 23%. The largest gains lie in the East Bay corridor from Hayward through Fremont to Livermore, in the North Bay and along the Peninsula coast, areas farther from EVT-capable centers; San Francisco, Palo Alto and San Jose, with proximate EVT-capable centers, changed little. Cells where the MDP cell mean was below the nearest-hospital mean (8.9% of cells, none by more than 0.03) are scattered rather than regional [PENDING: [check with MJK: these are the 4.9% of patients whose recorded first-destination reward is below nearest-hospital’s; the depth-2 value sums first- and second-hop rewards, so the planner can prefer a first destination with lower immediate reward]], and against the nearest-EVT-center rule the MDP was below the heuristic in no cell. Stratified by census-tract income quartile and urbanicity (Table </w:t>
      </w:r>
      <w:hyperlink w:anchor="tab:equity">
        <w:r>
          <w:rPr>
            <w:rStyle w:val="Hyperlink"/>
          </w:rPr>
          <w:t xml:space="preserve">[tab:equity]</w:t>
        </w:r>
      </w:hyperlink>
      <w:r>
        <w:t xml:space="preserve">), the MDP’s gain over nearest-hospital routing was 0.028 to 0.032 across income quartiles, largest in the lowest quartile, and 0.032 in rural against 0.029 in urban tracts, so the benefit is present in every stratum and slightly larger where incomes are lowest and population is sparsest. Against the nearest-EVT-center heuristic the gain was 0.0014 in the lowest income quartile against 0.0003 in the highest, and 0.0015 in rural against 0.0007 in urban tracts: the advantage of the MDP over the bypass rule, though small, is concentrated in the same places.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Stratum</w:t>
            </w:r>
          </w:p>
        </w:tc>
        <w:tc>
          <w:tcPr/>
          <w:p>
            <w:pPr>
              <w:pStyle w:val="Compact"/>
              <w:jc w:val="center"/>
            </w:pPr>
            <w:r>
              <w:t xml:space="preserve">MDP</w:t>
            </w:r>
            <w:r>
              <w:t xml:space="preserve"> </w:t>
            </w:r>
            <m:oMath>
              <m:r>
                <m:rPr>
                  <m:sty m:val="p"/>
                </m:rPr>
                <m:t>−</m:t>
              </m:r>
            </m:oMath>
            <w:r>
              <w:t xml:space="preserve"> </w:t>
            </w:r>
            <w:r>
              <w:t xml:space="preserve">Nearest</w:t>
            </w:r>
          </w:p>
        </w:tc>
        <w:tc>
          <w:tcPr/>
          <w:p>
            <w:pPr>
              <w:pStyle w:val="Compact"/>
              <w:jc w:val="center"/>
            </w:pPr>
            <w:r>
              <w:t xml:space="preserve">MDP</w:t>
            </w:r>
            <w:r>
              <w:t xml:space="preserve"> </w:t>
            </w:r>
            <m:oMath>
              <m:r>
                <m:rPr>
                  <m:sty m:val="p"/>
                </m:rPr>
                <m:t>−</m:t>
              </m:r>
            </m:oMath>
            <w:r>
              <w:t xml:space="preserve"> </w:t>
            </w:r>
            <w:r>
              <w:t xml:space="preserve">Nearest EVT</w:t>
            </w:r>
          </w:p>
        </w:tc>
        <w:tc>
          <w:tcPr/>
          <w:p>
            <w:pPr>
              <w:pStyle w:val="Compact"/>
              <w:jc w:val="center"/>
            </w:pPr>
            <w:r>
              <w:t xml:space="preserve">MDP</w:t>
            </w:r>
            <w:r>
              <w:t xml:space="preserve"> </w:t>
            </w:r>
            <m:oMath>
              <m:r>
                <m:rPr>
                  <m:sty m:val="p"/>
                </m:rPr>
                <m:t>−</m:t>
              </m:r>
            </m:oMath>
            <w:r>
              <w:t xml:space="preserve"> </w:t>
            </w:r>
            <w:r>
              <w:t xml:space="preserve">Nearest SC</w:t>
            </w:r>
          </w:p>
        </w:tc>
      </w:tr>
      <w:tr>
        <w:tc>
          <w:tcPr/>
          <w:p>
            <w:pPr>
              <w:pStyle w:val="Compact"/>
              <w:jc w:val="left"/>
            </w:pPr>
            <w:r>
              <w:t xml:space="preserve">Income Q1 (lowest), 328 tracts</w:t>
            </w:r>
          </w:p>
        </w:tc>
        <w:tc>
          <w:tcPr/>
          <w:p>
            <w:pPr>
              <w:pStyle w:val="Compact"/>
              <w:jc w:val="center"/>
            </w:pPr>
            <w:r>
              <w:t xml:space="preserve">0.0322 (0.0313–0.0330)</w:t>
            </w:r>
          </w:p>
        </w:tc>
        <w:tc>
          <w:tcPr/>
          <w:p>
            <w:pPr>
              <w:pStyle w:val="Compact"/>
              <w:jc w:val="center"/>
            </w:pPr>
            <w:r>
              <w:t xml:space="preserve">0.0014 (0.0013–0.0015)</w:t>
            </w:r>
          </w:p>
        </w:tc>
        <w:tc>
          <w:tcPr/>
          <w:p>
            <w:pPr>
              <w:pStyle w:val="Compact"/>
              <w:jc w:val="center"/>
            </w:pPr>
            <w:r>
              <w:t xml:space="preserve">0.0294 (0.0286–0.0302)</w:t>
            </w:r>
          </w:p>
        </w:tc>
      </w:tr>
      <w:tr>
        <w:tc>
          <w:tcPr/>
          <w:p>
            <w:pPr>
              <w:pStyle w:val="Compact"/>
              <w:jc w:val="left"/>
            </w:pPr>
            <w:r>
              <w:t xml:space="preserve">Income Q2, 328 tracts</w:t>
            </w:r>
          </w:p>
        </w:tc>
        <w:tc>
          <w:tcPr/>
          <w:p>
            <w:pPr>
              <w:pStyle w:val="Compact"/>
              <w:jc w:val="center"/>
            </w:pPr>
            <w:r>
              <w:t xml:space="preserve">0.0280 (0.0271–0.0288)</w:t>
            </w:r>
          </w:p>
        </w:tc>
        <w:tc>
          <w:tcPr/>
          <w:p>
            <w:pPr>
              <w:pStyle w:val="Compact"/>
              <w:jc w:val="center"/>
            </w:pPr>
            <w:r>
              <w:t xml:space="preserve">0.0005 (0.0005–0.0006)</w:t>
            </w:r>
          </w:p>
        </w:tc>
        <w:tc>
          <w:tcPr/>
          <w:p>
            <w:pPr>
              <w:pStyle w:val="Compact"/>
              <w:jc w:val="center"/>
            </w:pPr>
            <w:r>
              <w:t xml:space="preserve">0.0241 (0.0233–0.0249)</w:t>
            </w:r>
          </w:p>
        </w:tc>
      </w:tr>
      <w:tr>
        <w:tc>
          <w:tcPr/>
          <w:p>
            <w:pPr>
              <w:pStyle w:val="Compact"/>
              <w:jc w:val="left"/>
            </w:pPr>
            <w:r>
              <w:t xml:space="preserve">Income Q3, 328 tracts</w:t>
            </w:r>
          </w:p>
        </w:tc>
        <w:tc>
          <w:tcPr/>
          <w:p>
            <w:pPr>
              <w:pStyle w:val="Compact"/>
              <w:jc w:val="center"/>
            </w:pPr>
            <w:r>
              <w:t xml:space="preserve">0.0318 (0.0309–0.0328)</w:t>
            </w:r>
          </w:p>
        </w:tc>
        <w:tc>
          <w:tcPr/>
          <w:p>
            <w:pPr>
              <w:pStyle w:val="Compact"/>
              <w:jc w:val="center"/>
            </w:pPr>
            <w:r>
              <w:t xml:space="preserve">0.0008 (0.0007–0.0008)</w:t>
            </w:r>
          </w:p>
        </w:tc>
        <w:tc>
          <w:tcPr/>
          <w:p>
            <w:pPr>
              <w:pStyle w:val="Compact"/>
              <w:jc w:val="center"/>
            </w:pPr>
            <w:r>
              <w:t xml:space="preserve">0.0287 (0.0278–0.0295)</w:t>
            </w:r>
          </w:p>
        </w:tc>
      </w:tr>
      <w:tr>
        <w:tc>
          <w:tcPr/>
          <w:p>
            <w:pPr>
              <w:pStyle w:val="Compact"/>
              <w:jc w:val="left"/>
            </w:pPr>
            <w:r>
              <w:t xml:space="preserve">Income Q4 (highest), 328 tracts</w:t>
            </w:r>
          </w:p>
        </w:tc>
        <w:tc>
          <w:tcPr/>
          <w:p>
            <w:pPr>
              <w:pStyle w:val="Compact"/>
              <w:jc w:val="center"/>
            </w:pPr>
            <w:r>
              <w:t xml:space="preserve">0.0304 (0.0297–0.0311)</w:t>
            </w:r>
          </w:p>
        </w:tc>
        <w:tc>
          <w:tcPr/>
          <w:p>
            <w:pPr>
              <w:pStyle w:val="Compact"/>
              <w:jc w:val="center"/>
            </w:pPr>
            <w:r>
              <w:t xml:space="preserve">0.0003 (0.0003–0.0004)</w:t>
            </w:r>
          </w:p>
        </w:tc>
        <w:tc>
          <w:tcPr/>
          <w:p>
            <w:pPr>
              <w:pStyle w:val="Compact"/>
              <w:jc w:val="center"/>
            </w:pPr>
            <w:r>
              <w:t xml:space="preserve">0.0281 (0.0274–0.0288)</w:t>
            </w:r>
          </w:p>
        </w:tc>
      </w:tr>
      <w:tr>
        <w:tc>
          <w:tcPr/>
          <w:p>
            <w:pPr>
              <w:pStyle w:val="Compact"/>
              <w:jc w:val="left"/>
            </w:pPr>
            <w:r>
              <w:t xml:space="preserve">Urban, 1,054 tracts</w:t>
            </w:r>
          </w:p>
        </w:tc>
        <w:tc>
          <w:tcPr/>
          <w:p>
            <w:pPr>
              <w:pStyle w:val="Compact"/>
              <w:jc w:val="center"/>
            </w:pPr>
            <w:r>
              <w:t xml:space="preserve">0.0287 (0.0282–0.0292)</w:t>
            </w:r>
          </w:p>
        </w:tc>
        <w:tc>
          <w:tcPr/>
          <w:p>
            <w:pPr>
              <w:pStyle w:val="Compact"/>
              <w:jc w:val="center"/>
            </w:pPr>
            <w:r>
              <w:t xml:space="preserve">0.0007 (0.0006–0.0007)</w:t>
            </w:r>
          </w:p>
        </w:tc>
        <w:tc>
          <w:tcPr/>
          <w:p>
            <w:pPr>
              <w:pStyle w:val="Compact"/>
              <w:jc w:val="center"/>
            </w:pPr>
            <w:r>
              <w:t xml:space="preserve">0.0264 (0.0259–0.0268)</w:t>
            </w:r>
          </w:p>
        </w:tc>
      </w:tr>
      <w:tr>
        <w:tc>
          <w:tcPr/>
          <w:p>
            <w:pPr>
              <w:pStyle w:val="Compact"/>
              <w:jc w:val="left"/>
            </w:pPr>
            <w:r>
              <w:t xml:space="preserve">Rural, 23 tracts</w:t>
            </w:r>
          </w:p>
        </w:tc>
        <w:tc>
          <w:tcPr/>
          <w:p>
            <w:pPr>
              <w:pStyle w:val="Compact"/>
              <w:jc w:val="center"/>
            </w:pPr>
            <w:r>
              <w:t xml:space="preserve">0.0318 (0.0305–0.0331)</w:t>
            </w:r>
          </w:p>
        </w:tc>
        <w:tc>
          <w:tcPr/>
          <w:p>
            <w:pPr>
              <w:pStyle w:val="Compact"/>
              <w:jc w:val="center"/>
            </w:pPr>
            <w:r>
              <w:t xml:space="preserve">0.0015 (0.0014–0.0016)</w:t>
            </w:r>
          </w:p>
        </w:tc>
        <w:tc>
          <w:tcPr/>
          <w:p>
            <w:pPr>
              <w:pStyle w:val="Compact"/>
              <w:jc w:val="center"/>
            </w:pPr>
            <w:r>
              <w:t xml:space="preserve">0.0280 (0.0268–0.0293)</w:t>
            </w:r>
          </w:p>
        </w:tc>
      </w:tr>
    </w:tbl>
    <w:bookmarkEnd w:id="49"/>
    <w:bookmarkStart w:id="51" w:name="sensitivity-analyses-1"/>
    <w:p>
      <w:pPr>
        <w:pStyle w:val="Heading2"/>
      </w:pPr>
      <w:r>
        <w:t xml:space="preserve">Sensitivity analyses</w:t>
      </w:r>
    </w:p>
    <w:p>
      <w:pPr>
        <w:pStyle w:val="FirstParagraph"/>
      </w:pPr>
      <w:r>
        <w:t xml:space="preserve">Table </w:t>
      </w:r>
      <w:hyperlink w:anchor="tab:sens">
        <w:r>
          <w:rPr>
            <w:rStyle w:val="Hyperlink"/>
          </w:rPr>
          <w:t xml:space="preserve">2</w:t>
        </w:r>
      </w:hyperlink>
      <w:r>
        <w:t xml:space="preserve"> </w:t>
      </w:r>
      <w:r>
        <w:t xml:space="preserve">reports the MDP-minus-nearest difference under perturbed travel times and alternative in-hospital intervals. The difference is unchanged to two decimals under</w:t>
      </w:r>
      <w:r>
        <w:t xml:space="preserve"> </w:t>
      </w:r>
      <m:oMath>
        <m:r>
          <m:t>σ</m:t>
        </m:r>
        <m:r>
          <m:rPr>
            <m:sty m:val="p"/>
          </m:rPr>
          <m:t>=</m:t>
        </m:r>
        <m:r>
          <m:t>0.10</m:t>
        </m:r>
      </m:oMath>
      <w:r>
        <w:t xml:space="preserve"> </w:t>
      </w:r>
      <w:r>
        <w:t xml:space="preserve">and</w:t>
      </w:r>
      <w:r>
        <w:t xml:space="preserve"> </w:t>
      </w:r>
      <m:oMath>
        <m:r>
          <m:t>0.20</m:t>
        </m:r>
      </m:oMath>
      <w:r>
        <w:t xml:space="preserve"> </w:t>
      </w:r>
      <w:r>
        <w:t xml:space="preserve">travel-time noise (0.029 and 0.028) and moves from 0.029 to 0.028 as travel times are scaled from</w:t>
      </w:r>
      <w:r>
        <w:t xml:space="preserve"> </w:t>
      </w:r>
      <m:oMath>
        <m:r>
          <m:rPr>
            <m:sty m:val="p"/>
          </m:rPr>
          <m:t>×</m:t>
        </m:r>
        <m:r>
          <m:t>0.7</m:t>
        </m:r>
      </m:oMath>
      <w:r>
        <w:t xml:space="preserve"> </w:t>
      </w:r>
      <w:r>
        <w:t xml:space="preserve">to</w:t>
      </w:r>
      <w:r>
        <w:t xml:space="preserve"> </w:t>
      </w:r>
      <m:oMath>
        <m:r>
          <m:rPr>
            <m:sty m:val="p"/>
          </m:rPr>
          <m:t>×</m:t>
        </m:r>
        <m:r>
          <m:t>1.3</m:t>
        </m:r>
      </m:oMath>
      <w:r>
        <w:t xml:space="preserve">, because a perturbation applied to every first leg moves both policies’ arrival times in the same direction; the margin over the nearest-EVT-center rule stays between 0.0002 and 0.0004 throughout. It depends strongly on door-in-door-out time: with</w:t>
      </w:r>
      <w:r>
        <w:t xml:space="preserve"> </w:t>
      </w:r>
      <m:oMath>
        <m:sSub>
          <m:e>
            <m:r>
              <m:t>T</m:t>
            </m:r>
          </m:e>
          <m:sub>
            <m:r>
              <m:rPr>
                <m:nor/>
                <m:sty m:val="p"/>
              </m:rPr>
              <m:t>DIDO</m:t>
            </m:r>
          </m:sub>
        </m:sSub>
      </m:oMath>
      <w:r>
        <w:t xml:space="preserve"> </w:t>
      </w:r>
      <w:r>
        <w:t xml:space="preserve">at 60 minutes the gain over nearest-hospital routing is 0.009, at 90 minutes 0.018, at the registry median of 121 minutes 0.029 and at the upper quartile of 175 minutes 0.043. A longer door-in-door-out interval penalizes drip-and-ship and favors direct transport to an EVT-capable center, which is what the MDP chooses for most patients; the result is consistent with the registry association between DIDO and outcome </w:t>
      </w:r>
      <w:r>
        <w:t xml:space="preserve">(Royan et al. 2026)</w:t>
      </w:r>
      <w:r>
        <w:t xml:space="preserve"> </w:t>
      </w:r>
      <w:r>
        <w:t xml:space="preserve">and explains why a single 60-minute in-hospital interval, as assumed in earlier work, understates the policy’s value. Treating the four uncertified thrombectomy sites as EVT-capable (15 centers) and re-planning leaves the gain at 0.028 (95% CI 0.025–0.030 over 3 replicates) and the margin over the nearest-EVT-center rule at 0.0002.</w:t>
      </w:r>
    </w:p>
    <w:bookmarkStart w:id="50" w:name="tab:sens"/>
    <w:p>
      <w:pPr>
        <w:pStyle w:val="TableCaption"/>
      </w:pPr>
      <w:r>
        <w:t xml:space="preserve">Sensitivity of the MDP</w:t>
      </w:r>
      <w:r>
        <w:t xml:space="preserve"> </w:t>
      </w:r>
      <m:oMath>
        <m:r>
          <m:rPr>
            <m:sty m:val="p"/>
          </m:rPr>
          <m:t>−</m:t>
        </m:r>
      </m:oMath>
      <w:r>
        <w:t xml:space="preserve"> </w:t>
      </w:r>
      <w:r>
        <w:t xml:space="preserve">nearest-hospital difference in probability of an excellent outcome (mean and 95% CI across replicates; realized reward for the post hoc rows, planning reward for the re-planned row).</w:t>
      </w:r>
    </w:p>
    <w:tbl>
      <w:tblPr>
        <w:tblStyle w:val="Table"/>
        <w:tblW w:type="auto" w:w="0"/>
        <w:tblLook w:firstRow="1" w:lastRow="0" w:firstColumn="0" w:lastColumn="0" w:noHBand="0" w:noVBand="0" w:val="0020"/>
        <w:jc w:val="start"/>
        <w:tblCaption w:val="Sensitivity of the MDP - nearest-hospital difference in probability of an excellent outcome (mean and 95% CI across replicates; realized reward for the post hoc rows, planning reward for the re-planned row)."/>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Setting</w:t>
            </w:r>
          </w:p>
        </w:tc>
        <w:tc>
          <w:tcPr/>
          <w:p>
            <w:pPr>
              <w:pStyle w:val="Compact"/>
              <w:jc w:val="center"/>
            </w:pPr>
            <w:r>
              <w:t xml:space="preserve">Difference</w:t>
            </w:r>
          </w:p>
        </w:tc>
      </w:tr>
      <w:tr>
        <w:tc>
          <w:tcPr/>
          <w:p>
            <w:pPr>
              <w:pStyle w:val="Compact"/>
              <w:jc w:val="left"/>
            </w:pPr>
            <w:r>
              <w:t xml:space="preserve">Base case</w:t>
            </w:r>
          </w:p>
        </w:tc>
        <w:tc>
          <w:tcPr/>
          <w:p>
            <w:pPr>
              <w:pStyle w:val="Compact"/>
              <w:jc w:val="left"/>
            </w:pPr>
            <m:oMath>
              <m:sSub>
                <m:e>
                  <m:r>
                    <m:t>T</m:t>
                  </m:r>
                </m:e>
                <m:sub>
                  <m:r>
                    <m:rPr>
                      <m:nor/>
                      <m:sty m:val="p"/>
                    </m:rPr>
                    <m:t>DIDO</m:t>
                  </m:r>
                </m:sub>
              </m:sSub>
              <m:r>
                <m:rPr>
                  <m:sty m:val="p"/>
                </m:rPr>
                <m:t>=</m:t>
              </m:r>
              <m:r>
                <m:t>121</m:t>
              </m:r>
            </m:oMath>
            <w:r>
              <w:t xml:space="preserve"> </w:t>
            </w:r>
            <w:r>
              <w:t xml:space="preserve">min, certified EVT, log-normal onset</w:t>
            </w:r>
          </w:p>
        </w:tc>
        <w:tc>
          <w:tcPr/>
          <w:p>
            <w:pPr>
              <w:pStyle w:val="Compact"/>
              <w:jc w:val="center"/>
            </w:pPr>
            <w:r>
              <w:t xml:space="preserve">0.029 (0.027–0.030)</w:t>
            </w:r>
          </w:p>
        </w:tc>
      </w:tr>
      <w:tr>
        <w:tc>
          <w:tcPr/>
          <w:p>
            <w:pPr>
              <w:pStyle w:val="Compact"/>
              <w:jc w:val="left"/>
            </w:pPr>
            <w:r>
              <w:t xml:space="preserve">Travel-time noise</w:t>
            </w:r>
          </w:p>
        </w:tc>
        <w:tc>
          <w:tcPr/>
          <w:p>
            <w:pPr>
              <w:pStyle w:val="Compact"/>
              <w:jc w:val="left"/>
            </w:pPr>
            <m:oMath>
              <m:r>
                <m:t>σ</m:t>
              </m:r>
              <m:r>
                <m:rPr>
                  <m:sty m:val="p"/>
                </m:rPr>
                <m:t>=</m:t>
              </m:r>
              <m:r>
                <m:t>0.10</m:t>
              </m:r>
            </m:oMath>
            <w:r>
              <w:t xml:space="preserve"> </w:t>
            </w:r>
            <w:r>
              <w:t xml:space="preserve">/</w:t>
            </w:r>
            <w:r>
              <w:t xml:space="preserve"> </w:t>
            </w:r>
            <m:oMath>
              <m:r>
                <m:t>0.20</m:t>
              </m:r>
            </m:oMath>
          </w:p>
        </w:tc>
        <w:tc>
          <w:tcPr/>
          <w:p>
            <w:pPr>
              <w:pStyle w:val="Compact"/>
              <w:jc w:val="center"/>
            </w:pPr>
            <w:r>
              <w:t xml:space="preserve">0.029 / 0.028</w:t>
            </w:r>
          </w:p>
        </w:tc>
      </w:tr>
      <w:tr>
        <w:tc>
          <w:tcPr/>
          <w:p>
            <w:pPr>
              <w:pStyle w:val="Compact"/>
              <w:jc w:val="left"/>
            </w:pPr>
            <w:r>
              <w:t xml:space="preserve">Travel-time bias</w:t>
            </w:r>
          </w:p>
        </w:tc>
        <w:tc>
          <w:tcPr/>
          <w:p>
            <w:pPr>
              <w:pStyle w:val="Compact"/>
              <w:jc w:val="left"/>
            </w:pPr>
            <m:oMath>
              <m:r>
                <m:rPr>
                  <m:sty m:val="p"/>
                </m:rPr>
                <m:t>×</m:t>
              </m:r>
              <m:r>
                <m:t>0.70</m:t>
              </m:r>
            </m:oMath>
            <w:r>
              <w:t xml:space="preserve"> </w:t>
            </w:r>
            <w:r>
              <w:t xml:space="preserve">/</w:t>
            </w:r>
            <w:r>
              <w:t xml:space="preserve"> </w:t>
            </w:r>
            <m:oMath>
              <m:r>
                <m:t>0.80</m:t>
              </m:r>
            </m:oMath>
            <w:r>
              <w:t xml:space="preserve"> </w:t>
            </w:r>
            <w:r>
              <w:t xml:space="preserve">/</w:t>
            </w:r>
            <w:r>
              <w:t xml:space="preserve"> </w:t>
            </w:r>
            <m:oMath>
              <m:r>
                <m:t>0.90</m:t>
              </m:r>
            </m:oMath>
            <w:r>
              <w:t xml:space="preserve"> </w:t>
            </w:r>
            <w:r>
              <w:t xml:space="preserve">/</w:t>
            </w:r>
            <w:r>
              <w:t xml:space="preserve"> </w:t>
            </w:r>
            <m:oMath>
              <m:r>
                <m:t>1.10</m:t>
              </m:r>
            </m:oMath>
            <w:r>
              <w:t xml:space="preserve"> </w:t>
            </w:r>
            <w:r>
              <w:t xml:space="preserve">/</w:t>
            </w:r>
            <w:r>
              <w:t xml:space="preserve"> </w:t>
            </w:r>
            <m:oMath>
              <m:r>
                <m:t>1.20</m:t>
              </m:r>
            </m:oMath>
            <w:r>
              <w:t xml:space="preserve"> </w:t>
            </w:r>
            <w:r>
              <w:t xml:space="preserve">/</w:t>
            </w:r>
            <w:r>
              <w:t xml:space="preserve"> </w:t>
            </w:r>
            <m:oMath>
              <m:r>
                <m:t>1.30</m:t>
              </m:r>
            </m:oMath>
          </w:p>
        </w:tc>
        <w:tc>
          <w:tcPr/>
          <w:p>
            <w:pPr>
              <w:pStyle w:val="Compact"/>
              <w:jc w:val="center"/>
            </w:pPr>
            <w:r>
              <w:t xml:space="preserve">0.029 / 0.029 / 0.029 / 0.028 / 0.028 / 0.028</w:t>
            </w:r>
          </w:p>
        </w:tc>
      </w:tr>
      <w:tr>
        <w:tc>
          <w:tcPr/>
          <w:p>
            <w:pPr>
              <w:pStyle w:val="Compact"/>
              <w:jc w:val="left"/>
            </w:pPr>
            <w:r>
              <w:t xml:space="preserve">Door-in-door-out</w:t>
            </w:r>
          </w:p>
        </w:tc>
        <w:tc>
          <w:tcPr/>
          <w:p>
            <w:pPr>
              <w:pStyle w:val="Compact"/>
              <w:jc w:val="left"/>
            </w:pPr>
            <w:r>
              <w:t xml:space="preserve">60 / 90 / 175 min</w:t>
            </w:r>
          </w:p>
        </w:tc>
        <w:tc>
          <w:tcPr/>
          <w:p>
            <w:pPr>
              <w:pStyle w:val="Compact"/>
              <w:jc w:val="center"/>
            </w:pPr>
            <w:r>
              <w:t xml:space="preserve">0.009 / 0.018 / 0.043</w:t>
            </w:r>
          </w:p>
        </w:tc>
      </w:tr>
      <w:tr>
        <w:tc>
          <w:tcPr/>
          <w:p>
            <w:pPr>
              <w:pStyle w:val="Compact"/>
              <w:jc w:val="left"/>
            </w:pPr>
            <w:r>
              <w:t xml:space="preserve">EVT definition</w:t>
            </w:r>
          </w:p>
        </w:tc>
        <w:tc>
          <w:tcPr/>
          <w:p>
            <w:pPr>
              <w:pStyle w:val="Compact"/>
              <w:jc w:val="left"/>
            </w:pPr>
            <w:r>
              <w:t xml:space="preserve">on-site (15 centers), re-planned, 3 replicates</w:t>
            </w:r>
          </w:p>
        </w:tc>
        <w:tc>
          <w:tcPr/>
          <w:p>
            <w:pPr>
              <w:pStyle w:val="Compact"/>
              <w:jc w:val="center"/>
            </w:pPr>
            <w:r>
              <w:t xml:space="preserve">0.028 (0.025–0.030)</w:t>
            </w:r>
          </w:p>
        </w:tc>
      </w:tr>
    </w:tbl>
    <w:bookmarkEnd w:id="50"/>
    <w:bookmarkEnd w:id="51"/>
    <w:bookmarkStart w:id="53" w:name="decision-tree-policy"/>
    <w:p>
      <w:pPr>
        <w:pStyle w:val="Heading2"/>
      </w:pPr>
      <w:r>
        <w:t xml:space="preserve">Decision-tree policy</w:t>
      </w:r>
    </w:p>
    <w:p>
      <w:pPr>
        <w:pStyle w:val="FirstParagraph"/>
      </w:pPr>
      <w:r>
        <w:t xml:space="preserve">The depth sweep (Table </w:t>
      </w:r>
      <w:hyperlink w:anchor="tab:tree">
        <w:r>
          <w:rPr>
            <w:rStyle w:val="Hyperlink"/>
          </w:rPr>
          <w:t xml:space="preserve">3</w:t>
        </w:r>
      </w:hyperlink>
      <w:r>
        <w:t xml:space="preserve">) shows that a single split recovers 99.8% of the MDP’s gain over nearest-hospital routing on 200 held-out patients, that depth 2 is indistinguishable from the MDP on that set, and that deeper trees add leaves without gain. The depth-1 rule is: if time since onset is at most 165 minutes, go to the nearest EVT-capable center; otherwise go to the nearest thrombolysis-capable center. The threshold is where 90 minutes of door-to-puncture plus a typical first leg places EVT after the 270-minute end of the outcome window, so that only earlier thrombolysis can still change the outcome. Depth 2 adds one qualification for late presenters: go to the EVT-capable center anyway if it is no farther than the thrombolysis-capable one (Fig. </w:t>
      </w:r>
      <w:hyperlink w:anchor="fig:tree">
        <w:r>
          <w:rPr>
            <w:rStyle w:val="Hyperlink"/>
          </w:rPr>
          <w:t xml:space="preserve">2</w:t>
        </w:r>
      </w:hyperlink>
      <w:r>
        <w:t xml:space="preserve">). The shallowest tree within 1% of the MDP is the depth-1 rule, and the depth-2 tree is the one we would print on a card. On the training cohort the MDP sent 87% of patients to an EVT-capable center, 12% to a thrombolysis-capable center and 1% to a non-stroke-center hospital, and in 68% of cases the destination was not the closest hospital. The nearest-EVT-center rule itself recovers 99.0% of the gain on the same held-out patients, which is why the tree’s first split reproduces it and its second split corrects it for late presenters.</w:t>
      </w:r>
    </w:p>
    <w:bookmarkStart w:id="52" w:name="tab:tree"/>
    <w:p>
      <w:pPr>
        <w:pStyle w:val="TableCaption"/>
      </w:pPr>
      <w:r>
        <w:t xml:space="preserve">Decision-tree depth sweep on 200 held-out patients (MDP mean 0.4014, nearest-hospital 0.3748), and planner latency per decision (50 patients, cold travel-time cache).</w:t>
      </w:r>
    </w:p>
    <w:tbl>
      <w:tblPr>
        <w:tblStyle w:val="Table"/>
        <w:tblW w:type="auto" w:w="0"/>
        <w:tblLook w:firstRow="1" w:lastRow="0" w:firstColumn="0" w:lastColumn="0" w:noHBand="0" w:noVBand="0" w:val="0020"/>
        <w:jc w:val="start"/>
        <w:tblCaption w:val="Decision-tree depth sweep on 200 held-out patients (MDP mean 0.4014, nearest-hospital 0.3748), and planner latency per decision (50 patients, cold travel-time cache)."/>
      </w:tblPr>
      <w:tblGrid>
        <w:gridCol w:w="1584"/>
        <w:gridCol w:w="1584"/>
        <w:gridCol w:w="1584"/>
        <w:gridCol w:w="1584"/>
        <w:gridCol w:w="1584"/>
      </w:tblGrid>
      <w:tr>
        <w:trPr>
          <w:tblHeader w:val="true"/>
        </w:trPr>
        <w:tc>
          <w:tcPr/>
          <w:p>
            <w:pPr>
              <w:pStyle w:val="Compact"/>
              <w:jc w:val="left"/>
            </w:pPr>
            <w:r>
              <w:t xml:space="preserve">Tree depth</w:t>
            </w:r>
          </w:p>
        </w:tc>
        <w:tc>
          <w:tcPr/>
          <w:p>
            <w:pPr>
              <w:pStyle w:val="Compact"/>
              <w:jc w:val="center"/>
            </w:pPr>
            <w:r>
              <w:t xml:space="preserve">Leaves</w:t>
            </w:r>
          </w:p>
        </w:tc>
        <w:tc>
          <w:tcPr/>
          <w:p>
            <w:pPr>
              <w:pStyle w:val="Compact"/>
              <w:jc w:val="center"/>
            </w:pPr>
            <w:r>
              <w:t xml:space="preserve">Mean outcome</w:t>
            </w:r>
          </w:p>
        </w:tc>
        <w:tc>
          <w:tcPr/>
          <w:p>
            <w:pPr>
              <w:pStyle w:val="Compact"/>
              <w:jc w:val="center"/>
            </w:pPr>
            <w:r>
              <w:t xml:space="preserve">Loss vs MDP</w:t>
            </w:r>
          </w:p>
        </w:tc>
        <w:tc>
          <w:tcPr/>
          <w:p>
            <w:pPr>
              <w:pStyle w:val="Compact"/>
              <w:jc w:val="center"/>
            </w:pPr>
            <w:r>
              <w:t xml:space="preserve">Gain recovered</w:t>
            </w:r>
          </w:p>
        </w:tc>
      </w:tr>
      <w:tr>
        <w:tc>
          <w:tcPr/>
          <w:p>
            <w:pPr>
              <w:pStyle w:val="Compact"/>
              <w:jc w:val="left"/>
            </w:pPr>
            <w:r>
              <w:t xml:space="preserve">1</w:t>
            </w:r>
          </w:p>
        </w:tc>
        <w:tc>
          <w:tcPr/>
          <w:p>
            <w:pPr>
              <w:pStyle w:val="Compact"/>
              <w:jc w:val="center"/>
            </w:pPr>
            <w:r>
              <w:t xml:space="preserve">2</w:t>
            </w:r>
          </w:p>
        </w:tc>
        <w:tc>
          <w:tcPr/>
          <w:p>
            <w:pPr>
              <w:pStyle w:val="Compact"/>
              <w:jc w:val="center"/>
            </w:pPr>
            <w:r>
              <w:t xml:space="preserve">0.4013</w:t>
            </w:r>
          </w:p>
        </w:tc>
        <w:tc>
          <w:tcPr/>
          <w:p>
            <w:pPr>
              <w:pStyle w:val="Compact"/>
              <w:jc w:val="center"/>
            </w:pPr>
            <w:r>
              <w:t xml:space="preserve">0.00006</w:t>
            </w:r>
          </w:p>
        </w:tc>
        <w:tc>
          <w:tcPr/>
          <w:p>
            <w:pPr>
              <w:pStyle w:val="Compact"/>
              <w:jc w:val="center"/>
            </w:pPr>
            <w:r>
              <w:t xml:space="preserve">99.8%</w:t>
            </w:r>
          </w:p>
        </w:tc>
      </w:tr>
      <w:tr>
        <w:tc>
          <w:tcPr/>
          <w:p>
            <w:pPr>
              <w:pStyle w:val="Compact"/>
              <w:jc w:val="left"/>
            </w:pPr>
            <w:r>
              <w:t xml:space="preserve">2</w:t>
            </w:r>
          </w:p>
        </w:tc>
        <w:tc>
          <w:tcPr/>
          <w:p>
            <w:pPr>
              <w:pStyle w:val="Compact"/>
              <w:jc w:val="center"/>
            </w:pPr>
            <w:r>
              <w:t xml:space="preserve">3</w:t>
            </w:r>
          </w:p>
        </w:tc>
        <w:tc>
          <w:tcPr/>
          <w:p>
            <w:pPr>
              <w:pStyle w:val="Compact"/>
              <w:jc w:val="center"/>
            </w:pPr>
            <w:r>
              <w:t xml:space="preserve">0.4014</w:t>
            </w:r>
          </w:p>
        </w:tc>
        <w:tc>
          <w:tcPr/>
          <w:p>
            <w:pPr>
              <w:pStyle w:val="Compact"/>
              <w:jc w:val="center"/>
            </w:pPr>
            <m:oMath>
              <m:r>
                <m:rPr>
                  <m:sty m:val="p"/>
                </m:rPr>
                <m:t>−</m:t>
              </m:r>
            </m:oMath>
            <w:r>
              <w:t xml:space="preserve">0.00002</w:t>
            </w:r>
          </w:p>
        </w:tc>
        <w:tc>
          <w:tcPr/>
          <w:p>
            <w:pPr>
              <w:pStyle w:val="Compact"/>
              <w:jc w:val="center"/>
            </w:pPr>
            <w:r>
              <w:t xml:space="preserve">100.0%</w:t>
            </w:r>
          </w:p>
        </w:tc>
      </w:tr>
      <w:tr>
        <w:tc>
          <w:tcPr/>
          <w:p>
            <w:pPr>
              <w:pStyle w:val="Compact"/>
              <w:jc w:val="left"/>
            </w:pPr>
            <w:r>
              <w:t xml:space="preserve">3</w:t>
            </w:r>
          </w:p>
        </w:tc>
        <w:tc>
          <w:tcPr/>
          <w:p>
            <w:pPr>
              <w:pStyle w:val="Compact"/>
              <w:jc w:val="center"/>
            </w:pPr>
            <w:r>
              <w:t xml:space="preserve">5</w:t>
            </w:r>
          </w:p>
        </w:tc>
        <w:tc>
          <w:tcPr/>
          <w:p>
            <w:pPr>
              <w:pStyle w:val="Compact"/>
              <w:jc w:val="center"/>
            </w:pPr>
            <w:r>
              <w:t xml:space="preserve">0.4011</w:t>
            </w:r>
          </w:p>
        </w:tc>
        <w:tc>
          <w:tcPr/>
          <w:p>
            <w:pPr>
              <w:pStyle w:val="Compact"/>
              <w:jc w:val="center"/>
            </w:pPr>
            <w:r>
              <w:t xml:space="preserve">0.00025</w:t>
            </w:r>
          </w:p>
        </w:tc>
        <w:tc>
          <w:tcPr/>
          <w:p>
            <w:pPr>
              <w:pStyle w:val="Compact"/>
              <w:jc w:val="center"/>
            </w:pPr>
            <w:r>
              <w:t xml:space="preserve">99.1%</w:t>
            </w:r>
          </w:p>
        </w:tc>
      </w:tr>
      <w:tr>
        <w:tc>
          <w:tcPr/>
          <w:p>
            <w:pPr>
              <w:pStyle w:val="Compact"/>
              <w:jc w:val="left"/>
            </w:pPr>
            <w:r>
              <w:t xml:space="preserve">4 to 10</w:t>
            </w:r>
          </w:p>
        </w:tc>
        <w:tc>
          <w:tcPr/>
          <w:p>
            <w:pPr>
              <w:pStyle w:val="Compact"/>
              <w:jc w:val="center"/>
            </w:pPr>
            <w:r>
              <w:t xml:space="preserve">7 to 12</w:t>
            </w:r>
          </w:p>
        </w:tc>
        <w:tc>
          <w:tcPr/>
          <w:p>
            <w:pPr>
              <w:pStyle w:val="Compact"/>
              <w:jc w:val="center"/>
            </w:pPr>
            <w:r>
              <w:t xml:space="preserve">0.4013</w:t>
            </w:r>
          </w:p>
        </w:tc>
        <w:tc>
          <w:tcPr/>
          <w:p>
            <w:pPr>
              <w:pStyle w:val="Compact"/>
              <w:jc w:val="center"/>
            </w:pPr>
            <w:r>
              <w:t xml:space="preserve">0.00006</w:t>
            </w:r>
          </w:p>
        </w:tc>
        <w:tc>
          <w:tcPr/>
          <w:p>
            <w:pPr>
              <w:pStyle w:val="Compact"/>
              <w:jc w:val="center"/>
            </w:pPr>
            <w:r>
              <w:t xml:space="preserve">99.8%</w:t>
            </w:r>
          </w:p>
        </w:tc>
      </w:tr>
      <w:tr>
        <w:tc>
          <w:tcPr/>
          <w:p>
            <w:pPr>
              <w:pStyle w:val="Compact"/>
              <w:jc w:val="left"/>
            </w:pPr>
            <w:r>
              <w:t xml:space="preserve">Unconstrained</w:t>
            </w:r>
          </w:p>
        </w:tc>
        <w:tc>
          <w:tcPr/>
          <w:p>
            <w:pPr>
              <w:pStyle w:val="Compact"/>
              <w:jc w:val="center"/>
            </w:pPr>
            <w:r>
              <w:t xml:space="preserve">12</w:t>
            </w:r>
          </w:p>
        </w:tc>
        <w:tc>
          <w:tcPr/>
          <w:p>
            <w:pPr>
              <w:pStyle w:val="Compact"/>
              <w:jc w:val="center"/>
            </w:pPr>
            <w:r>
              <w:t xml:space="preserve">0.4013</w:t>
            </w:r>
          </w:p>
        </w:tc>
        <w:tc>
          <w:tcPr/>
          <w:p>
            <w:pPr>
              <w:pStyle w:val="Compact"/>
              <w:jc w:val="center"/>
            </w:pPr>
            <w:r>
              <w:t xml:space="preserve">0.00006</w:t>
            </w:r>
          </w:p>
        </w:tc>
        <w:tc>
          <w:tcPr/>
          <w:p>
            <w:pPr>
              <w:pStyle w:val="Compact"/>
              <w:jc w:val="center"/>
            </w:pPr>
            <w:r>
              <w:t xml:space="preserve">99.8%</w:t>
            </w:r>
          </w:p>
        </w:tc>
      </w:tr>
      <w:tr>
        <w:tc>
          <w:tcPr/>
          <w:p>
            <w:pPr>
              <w:pStyle w:val="Compact"/>
              <w:jc w:val="left"/>
            </w:pPr>
            <w:r>
              <w:t xml:space="preserve">Nearest EVT-capable center</w:t>
            </w:r>
          </w:p>
        </w:tc>
        <w:tc>
          <w:tcPr/>
          <w:p>
            <w:pPr>
              <w:pStyle w:val="Compact"/>
              <w:jc w:val="center"/>
            </w:pPr>
            <w:r>
              <w:t xml:space="preserve">–</w:t>
            </w:r>
          </w:p>
        </w:tc>
        <w:tc>
          <w:tcPr/>
          <w:p>
            <w:pPr>
              <w:pStyle w:val="Compact"/>
              <w:jc w:val="center"/>
            </w:pPr>
            <w:r>
              <w:t xml:space="preserve">0.4011</w:t>
            </w:r>
          </w:p>
        </w:tc>
        <w:tc>
          <w:tcPr/>
          <w:p>
            <w:pPr>
              <w:pStyle w:val="Compact"/>
              <w:jc w:val="center"/>
            </w:pPr>
            <w:r>
              <w:t xml:space="preserve">0.00026</w:t>
            </w:r>
          </w:p>
        </w:tc>
        <w:tc>
          <w:tcPr/>
          <w:p>
            <w:pPr>
              <w:pStyle w:val="Compact"/>
              <w:jc w:val="center"/>
            </w:pPr>
            <w:r>
              <w:t xml:space="preserve">99.0%</w:t>
            </w:r>
          </w:p>
        </w:tc>
      </w:tr>
      <w:tr>
        <w:tc>
          <w:tcPr/>
          <w:p>
            <w:pPr>
              <w:pStyle w:val="Compact"/>
              <w:jc w:val="left"/>
            </w:pPr>
            <w:r>
              <w:t xml:space="preserve">Planning depth</w:t>
            </w:r>
          </w:p>
        </w:tc>
        <w:tc>
          <w:tcPr/>
          <w:p>
            <w:pPr>
              <w:pStyle w:val="Compact"/>
              <w:jc w:val="center"/>
            </w:pPr>
            <w:r>
              <w:t xml:space="preserve">Median (ms)</w:t>
            </w:r>
          </w:p>
        </w:tc>
        <w:tc>
          <w:tcPr/>
          <w:p>
            <w:pPr>
              <w:pStyle w:val="Compact"/>
              <w:jc w:val="center"/>
            </w:pPr>
            <w:r>
              <w:t xml:space="preserve">p95 (ms)</w:t>
            </w:r>
          </w:p>
        </w:tc>
        <w:tc>
          <w:tcPr/>
          <w:p>
            <w:pPr>
              <w:pStyle w:val="Compact"/>
              <w:jc w:val="center"/>
            </w:pPr>
            <w:r>
              <w:t xml:space="preserve">p99 (ms)</w:t>
            </w:r>
          </w:p>
        </w:tc>
        <w:tc>
          <w:tcPr/>
          <w:p>
            <w:pPr>
              <w:pStyle w:val="Compact"/>
              <w:jc w:val="center"/>
            </w:pPr>
            <w:r>
              <w:t xml:space="preserve">Max (ms)</w:t>
            </w:r>
          </w:p>
        </w:tc>
      </w:tr>
      <w:tr>
        <w:tc>
          <w:tcPr/>
          <w:p>
            <w:pPr>
              <w:pStyle w:val="Compact"/>
              <w:jc w:val="left"/>
            </w:pPr>
            <w:r>
              <w:t xml:space="preserve">1</w:t>
            </w:r>
          </w:p>
        </w:tc>
        <w:tc>
          <w:tcPr/>
          <w:p>
            <w:pPr>
              <w:pStyle w:val="Compact"/>
              <w:jc w:val="center"/>
            </w:pPr>
            <w:r>
              <w:t xml:space="preserve">8.7</w:t>
            </w:r>
          </w:p>
        </w:tc>
        <w:tc>
          <w:tcPr/>
          <w:p>
            <w:pPr>
              <w:pStyle w:val="Compact"/>
              <w:jc w:val="center"/>
            </w:pPr>
            <w:r>
              <w:t xml:space="preserve">12.3</w:t>
            </w:r>
          </w:p>
        </w:tc>
        <w:tc>
          <w:tcPr/>
          <w:p>
            <w:pPr>
              <w:pStyle w:val="Compact"/>
              <w:jc w:val="center"/>
            </w:pPr>
            <w:r>
              <w:t xml:space="preserve">20.5</w:t>
            </w:r>
          </w:p>
        </w:tc>
        <w:tc>
          <w:tcPr/>
          <w:p>
            <w:pPr>
              <w:pStyle w:val="Compact"/>
              <w:jc w:val="center"/>
            </w:pPr>
            <w:r>
              <w:t xml:space="preserve">26.2</w:t>
            </w:r>
          </w:p>
        </w:tc>
      </w:tr>
      <w:tr>
        <w:tc>
          <w:tcPr/>
          <w:p>
            <w:pPr>
              <w:pStyle w:val="Compact"/>
              <w:jc w:val="left"/>
            </w:pPr>
            <w:r>
              <w:t xml:space="preserve">2</w:t>
            </w:r>
          </w:p>
        </w:tc>
        <w:tc>
          <w:tcPr/>
          <w:p>
            <w:pPr>
              <w:pStyle w:val="Compact"/>
              <w:jc w:val="center"/>
            </w:pPr>
            <w:r>
              <w:t xml:space="preserve">17.7</w:t>
            </w:r>
          </w:p>
        </w:tc>
        <w:tc>
          <w:tcPr/>
          <w:p>
            <w:pPr>
              <w:pStyle w:val="Compact"/>
              <w:jc w:val="center"/>
            </w:pPr>
            <w:r>
              <w:t xml:space="preserve">22.7</w:t>
            </w:r>
          </w:p>
        </w:tc>
        <w:tc>
          <w:tcPr/>
          <w:p>
            <w:pPr>
              <w:pStyle w:val="Compact"/>
              <w:jc w:val="center"/>
            </w:pPr>
            <w:r>
              <w:t xml:space="preserve">25.9</w:t>
            </w:r>
          </w:p>
        </w:tc>
        <w:tc>
          <w:tcPr/>
          <w:p>
            <w:pPr>
              <w:pStyle w:val="Compact"/>
              <w:jc w:val="center"/>
            </w:pPr>
            <w:r>
              <w:t xml:space="preserve">27.4</w:t>
            </w:r>
          </w:p>
        </w:tc>
      </w:tr>
      <w:tr>
        <w:tc>
          <w:tcPr/>
          <w:p>
            <w:pPr>
              <w:pStyle w:val="Compact"/>
              <w:jc w:val="left"/>
            </w:pPr>
            <w:r>
              <w:t xml:space="preserve">3</w:t>
            </w:r>
          </w:p>
        </w:tc>
        <w:tc>
          <w:tcPr/>
          <w:p>
            <w:pPr>
              <w:pStyle w:val="Compact"/>
              <w:jc w:val="center"/>
            </w:pPr>
            <w:r>
              <w:t xml:space="preserve">24.5</w:t>
            </w:r>
          </w:p>
        </w:tc>
        <w:tc>
          <w:tcPr/>
          <w:p>
            <w:pPr>
              <w:pStyle w:val="Compact"/>
              <w:jc w:val="center"/>
            </w:pPr>
            <w:r>
              <w:t xml:space="preserve">30.9</w:t>
            </w:r>
          </w:p>
        </w:tc>
        <w:tc>
          <w:tcPr/>
          <w:p>
            <w:pPr>
              <w:pStyle w:val="Compact"/>
              <w:jc w:val="center"/>
            </w:pPr>
            <w:r>
              <w:t xml:space="preserve">37.3</w:t>
            </w:r>
          </w:p>
        </w:tc>
        <w:tc>
          <w:tcPr/>
          <w:p>
            <w:pPr>
              <w:pStyle w:val="Compact"/>
              <w:jc w:val="center"/>
            </w:pPr>
            <w:r>
              <w:t xml:space="preserve">38.5</w:t>
            </w:r>
          </w:p>
        </w:tc>
      </w:tr>
      <w:tr>
        <w:tc>
          <w:tcPr/>
          <w:p>
            <w:pPr>
              <w:pStyle w:val="Compact"/>
              <w:jc w:val="left"/>
            </w:pPr>
            <w:r>
              <w:t xml:space="preserve">4</w:t>
            </w:r>
          </w:p>
        </w:tc>
        <w:tc>
          <w:tcPr/>
          <w:p>
            <w:pPr>
              <w:pStyle w:val="Compact"/>
              <w:jc w:val="center"/>
            </w:pPr>
            <w:r>
              <w:t xml:space="preserve">51.3</w:t>
            </w:r>
          </w:p>
        </w:tc>
        <w:tc>
          <w:tcPr/>
          <w:p>
            <w:pPr>
              <w:pStyle w:val="Compact"/>
              <w:jc w:val="center"/>
            </w:pPr>
            <w:r>
              <w:t xml:space="preserve">53.3</w:t>
            </w:r>
          </w:p>
        </w:tc>
        <w:tc>
          <w:tcPr/>
          <w:p>
            <w:pPr>
              <w:pStyle w:val="Compact"/>
              <w:jc w:val="center"/>
            </w:pPr>
            <w:r>
              <w:t xml:space="preserve">53.8</w:t>
            </w:r>
          </w:p>
        </w:tc>
        <w:tc>
          <w:tcPr/>
          <w:p>
            <w:pPr>
              <w:pStyle w:val="Compact"/>
              <w:jc w:val="center"/>
            </w:pPr>
            <w:r>
              <w:t xml:space="preserve">54.1</w:t>
            </w:r>
          </w:p>
        </w:tc>
      </w:tr>
    </w:tbl>
    <w:bookmarkEnd w:id="52"/>
    <w:tbl>
      <w:tblPr>
        <w:tblStyle w:val="FigureTable"/>
        <w:tblW w:type="auto" w:w="0"/>
        <w:tblLook w:firstRow="0" w:lastRow="0" w:firstColumn="0" w:lastColumn="0"/>
        <w:jc w:val="center"/>
      </w:tblPr>
      <w:tblGrid/>
      <w:tr/>
    </w:tbl>
    <w:p>
      <w:pPr>
        <w:pStyle w:val="ImageCaption"/>
      </w:pPr>
      <w:r>
        <w:t xml:space="preserve">Depth-2 decision-tree approximation of the MDP policy. Each destination is the nearest center of that tier by road time.</w:t>
      </w:r>
    </w:p>
    <w:bookmarkEnd w:id="53"/>
    <w:bookmarkStart w:id="54" w:name="real-time-feasibility"/>
    <w:p>
      <w:pPr>
        <w:pStyle w:val="Heading2"/>
      </w:pPr>
      <w:r>
        <w:t xml:space="preserve">Real-time feasibility</w:t>
      </w:r>
    </w:p>
    <w:p>
      <w:pPr>
        <w:pStyle w:val="FirstParagraph"/>
      </w:pPr>
      <w:r>
        <w:t xml:space="preserve">A depth-2 decision, including the routing-engine call for the patient’s travel-time row, took a median of 18 ms (95th percentile 23 ms, maximum 27 ms); depth 3 and 4 took 25 and 51 ms. Every value is three orders of magnitude inside the dispatch window, so the chosen depth is set by the model (one transfer) rather than by compute, and the decision tree needs no computation at all.</w:t>
      </w:r>
    </w:p>
    <w:bookmarkEnd w:id="54"/>
    <w:bookmarkStart w:id="56" w:name="rhode-island"/>
    <w:p>
      <w:pPr>
        <w:pStyle w:val="Heading2"/>
      </w:pPr>
      <w:r>
        <w:t xml:space="preserve">Rhode Island</w:t>
      </w:r>
    </w:p>
    <w:p>
      <w:pPr>
        <w:pStyle w:val="FirstParagraph"/>
      </w:pPr>
      <w:r>
        <w:t xml:space="preserve">In Rhode Island the MDP and the state’s nearest-EVT-center protocol gave nearly identical mean outcomes (0.402 against 0.402; difference 0.0003, 95% CI 0.0003–0.0004), and both outperformed nearest-hospital routing by 0.026 (95% CI 0.025–0.026) and 0.025 (Table </w:t>
      </w:r>
      <w:hyperlink w:anchor="tab:ri">
        <w:r>
          <w:rPr>
            <w:rStyle w:val="Hyperlink"/>
          </w:rPr>
          <w:t xml:space="preserve">4</w:t>
        </w:r>
      </w:hyperlink>
      <w:r>
        <w:t xml:space="preserve">); the nearest-stroke-center rule coincides with nearest-hospital routing because every Rhode Island hospital is at least a thrombolysis-capable center. The protocol sends every patient to Rhode Island Hospital; the MDP sent 88% there and the rest to eight other hospitals, with a mean first-leg travel of 21 minutes against 24, and where the two diverged (1,245 patients) the outcome was identical for 716 and better under the MDP for the remainder, at 18 minutes less travel on average. In a small state with one EVT center the optimal policy largely coincides with the centralized protocol, and the value of the MDP lies in sparing the detour, and the single center’s load, for patients who do not benefit from it.</w:t>
      </w:r>
    </w:p>
    <w:bookmarkStart w:id="55" w:name="tab:ri"/>
    <w:p>
      <w:pPr>
        <w:pStyle w:val="TableCaption"/>
      </w:pPr>
      <w:r>
        <w:t xml:space="preserve">Rhode Island, 10 replicates</w:t>
      </w:r>
      <w:r>
        <w:t xml:space="preserve"> </w:t>
      </w:r>
      <m:oMath>
        <m:r>
          <m:rPr>
            <m:sty m:val="p"/>
          </m:rPr>
          <m:t>×</m:t>
        </m:r>
      </m:oMath>
      <w:r>
        <w:t xml:space="preserve"> </w:t>
      </w:r>
      <w:r>
        <w:t xml:space="preserve">1,000 patients, planning reward.</w:t>
      </w:r>
    </w:p>
    <w:tbl>
      <w:tblPr>
        <w:tblStyle w:val="Table"/>
        <w:tblW w:type="auto" w:w="0"/>
        <w:tblLook w:firstRow="1" w:lastRow="0" w:firstColumn="0" w:lastColumn="0" w:noHBand="0" w:noVBand="0" w:val="0020"/>
        <w:jc w:val="start"/>
        <w:tblCaption w:val="Rhode Island, 10 replicates \times 1,000 patients, planning reward."/>
      </w:tblPr>
      <w:tblGrid>
        <w:gridCol w:w="1584"/>
        <w:gridCol w:w="1584"/>
        <w:gridCol w:w="1584"/>
        <w:gridCol w:w="1584"/>
        <w:gridCol w:w="1584"/>
      </w:tblGrid>
      <w:tr>
        <w:trPr>
          <w:tblHeader w:val="true"/>
        </w:trPr>
        <w:tc>
          <w:tcPr/>
          <w:p>
            <w:pPr>
              <w:pStyle w:val="Compact"/>
              <w:jc w:val="left"/>
            </w:pPr>
            <w:r>
              <w:t xml:space="preserve">Policy</w:t>
            </w:r>
          </w:p>
        </w:tc>
        <w:tc>
          <w:tcPr/>
          <w:p>
            <w:pPr>
              <w:pStyle w:val="Compact"/>
              <w:jc w:val="center"/>
            </w:pPr>
            <w:r>
              <w:t xml:space="preserve">Mean</w:t>
            </w:r>
          </w:p>
        </w:tc>
        <w:tc>
          <w:tcPr/>
          <w:p>
            <w:pPr>
              <w:pStyle w:val="Compact"/>
              <w:jc w:val="center"/>
            </w:pPr>
            <w:r>
              <w:t xml:space="preserve">Median</w:t>
            </w:r>
          </w:p>
        </w:tc>
        <w:tc>
          <w:tcPr/>
          <w:p>
            <w:pPr>
              <w:pStyle w:val="Compact"/>
              <w:jc w:val="center"/>
            </w:pPr>
            <w:r>
              <w:t xml:space="preserve">Travel (min)</w:t>
            </w:r>
          </w:p>
        </w:tc>
        <w:tc>
          <w:tcPr/>
          <w:p>
            <w:pPr>
              <w:pStyle w:val="Compact"/>
              <w:jc w:val="center"/>
            </w:pPr>
            <w:r>
              <w:t xml:space="preserve">Hospitals</w:t>
            </w:r>
          </w:p>
        </w:tc>
      </w:tr>
      <w:tr>
        <w:tc>
          <w:tcPr/>
          <w:p>
            <w:pPr>
              <w:pStyle w:val="Compact"/>
              <w:jc w:val="left"/>
            </w:pPr>
            <w:r>
              <w:t xml:space="preserve">MDP (depth 2)</w:t>
            </w:r>
          </w:p>
        </w:tc>
        <w:tc>
          <w:tcPr/>
          <w:p>
            <w:pPr>
              <w:pStyle w:val="Compact"/>
              <w:jc w:val="center"/>
            </w:pPr>
            <w:r>
              <w:t xml:space="preserve">0.402</w:t>
            </w:r>
          </w:p>
        </w:tc>
        <w:tc>
          <w:tcPr/>
          <w:p>
            <w:pPr>
              <w:pStyle w:val="Compact"/>
              <w:jc w:val="center"/>
            </w:pPr>
            <w:r>
              <w:t xml:space="preserve">0.419</w:t>
            </w:r>
          </w:p>
        </w:tc>
        <w:tc>
          <w:tcPr/>
          <w:p>
            <w:pPr>
              <w:pStyle w:val="Compact"/>
              <w:jc w:val="center"/>
            </w:pPr>
            <w:r>
              <w:t xml:space="preserve">21.2</w:t>
            </w:r>
          </w:p>
        </w:tc>
        <w:tc>
          <w:tcPr/>
          <w:p>
            <w:pPr>
              <w:pStyle w:val="Compact"/>
              <w:jc w:val="center"/>
            </w:pPr>
            <w:r>
              <w:t xml:space="preserve">9</w:t>
            </w:r>
          </w:p>
        </w:tc>
      </w:tr>
      <w:tr>
        <w:tc>
          <w:tcPr/>
          <w:p>
            <w:pPr>
              <w:pStyle w:val="Compact"/>
              <w:jc w:val="left"/>
            </w:pPr>
            <w:r>
              <w:t xml:space="preserve">Nearest hospital</w:t>
            </w:r>
          </w:p>
        </w:tc>
        <w:tc>
          <w:tcPr/>
          <w:p>
            <w:pPr>
              <w:pStyle w:val="Compact"/>
              <w:jc w:val="center"/>
            </w:pPr>
            <w:r>
              <w:t xml:space="preserve">0.376</w:t>
            </w:r>
          </w:p>
        </w:tc>
        <w:tc>
          <w:tcPr/>
          <w:p>
            <w:pPr>
              <w:pStyle w:val="Compact"/>
              <w:jc w:val="center"/>
            </w:pPr>
            <w:r>
              <w:t xml:space="preserve">0.360</w:t>
            </w:r>
          </w:p>
        </w:tc>
        <w:tc>
          <w:tcPr/>
          <w:p>
            <w:pPr>
              <w:pStyle w:val="Compact"/>
              <w:jc w:val="center"/>
            </w:pPr>
            <w:r>
              <w:t xml:space="preserve">11.6</w:t>
            </w:r>
          </w:p>
        </w:tc>
        <w:tc>
          <w:tcPr/>
          <w:p>
            <w:pPr>
              <w:pStyle w:val="Compact"/>
              <w:jc w:val="center"/>
            </w:pPr>
            <w:r>
              <w:t xml:space="preserve">9</w:t>
            </w:r>
          </w:p>
        </w:tc>
      </w:tr>
      <w:tr>
        <w:tc>
          <w:tcPr/>
          <w:p>
            <w:pPr>
              <w:pStyle w:val="Compact"/>
              <w:jc w:val="left"/>
            </w:pPr>
            <w:r>
              <w:t xml:space="preserve">Nearest EVT-capable center</w:t>
            </w:r>
          </w:p>
        </w:tc>
        <w:tc>
          <w:tcPr/>
          <w:p>
            <w:pPr>
              <w:pStyle w:val="Compact"/>
              <w:jc w:val="center"/>
            </w:pPr>
            <w:r>
              <w:t xml:space="preserve">0.402</w:t>
            </w:r>
          </w:p>
        </w:tc>
        <w:tc>
          <w:tcPr/>
          <w:p>
            <w:pPr>
              <w:pStyle w:val="Compact"/>
              <w:jc w:val="center"/>
            </w:pPr>
            <w:r>
              <w:t xml:space="preserve">0.419</w:t>
            </w:r>
          </w:p>
        </w:tc>
        <w:tc>
          <w:tcPr/>
          <w:p>
            <w:pPr>
              <w:pStyle w:val="Compact"/>
              <w:jc w:val="center"/>
            </w:pPr>
            <w:r>
              <w:t xml:space="preserve">23.5</w:t>
            </w:r>
          </w:p>
        </w:tc>
        <w:tc>
          <w:tcPr/>
          <w:p>
            <w:pPr>
              <w:pStyle w:val="Compact"/>
              <w:jc w:val="center"/>
            </w:pPr>
            <w:r>
              <w:t xml:space="preserve">1</w:t>
            </w:r>
          </w:p>
        </w:tc>
      </w:tr>
      <w:tr>
        <w:tc>
          <w:tcPr/>
          <w:p>
            <w:pPr>
              <w:pStyle w:val="Compact"/>
              <w:jc w:val="left"/>
            </w:pPr>
            <w:r>
              <w:t xml:space="preserve">Nearest stroke center</w:t>
            </w:r>
          </w:p>
        </w:tc>
        <w:tc>
          <w:tcPr/>
          <w:p>
            <w:pPr>
              <w:pStyle w:val="Compact"/>
              <w:jc w:val="center"/>
            </w:pPr>
            <w:r>
              <w:t xml:space="preserve">0.376</w:t>
            </w:r>
          </w:p>
        </w:tc>
        <w:tc>
          <w:tcPr/>
          <w:p>
            <w:pPr>
              <w:pStyle w:val="Compact"/>
              <w:jc w:val="center"/>
            </w:pPr>
            <w:r>
              <w:t xml:space="preserve">0.360</w:t>
            </w:r>
          </w:p>
        </w:tc>
        <w:tc>
          <w:tcPr/>
          <w:p>
            <w:pPr>
              <w:pStyle w:val="Compact"/>
              <w:jc w:val="center"/>
            </w:pPr>
            <w:r>
              <w:t xml:space="preserve">11.6</w:t>
            </w:r>
          </w:p>
        </w:tc>
        <w:tc>
          <w:tcPr/>
          <w:p>
            <w:pPr>
              <w:pStyle w:val="Compact"/>
              <w:jc w:val="center"/>
            </w:pPr>
            <w:r>
              <w:t xml:space="preserve">9</w:t>
            </w:r>
          </w:p>
        </w:tc>
      </w:tr>
      <w:tr>
        <w:tc>
          <w:tcPr/>
          <w:p>
            <w:pPr>
              <w:pStyle w:val="Compact"/>
              <w:jc w:val="left"/>
            </w:pPr>
            <w:r>
              <w:t xml:space="preserve">MDP</w:t>
            </w:r>
            <w:r>
              <w:t xml:space="preserve"> </w:t>
            </w:r>
            <m:oMath>
              <m:r>
                <m:rPr>
                  <m:sty m:val="p"/>
                </m:rPr>
                <m:t>−</m:t>
              </m:r>
            </m:oMath>
            <w:r>
              <w:t xml:space="preserve"> </w:t>
            </w:r>
            <w:r>
              <w:t xml:space="preserve">Nearest hospital</w:t>
            </w:r>
          </w:p>
        </w:tc>
        <w:tc>
          <w:tcPr>
            <w:gridSpan w:val="4"/>
          </w:tcPr>
          <w:p>
            <w:pPr>
              <w:pStyle w:val="Compact"/>
              <w:jc w:val="left"/>
            </w:pPr>
            <w:r>
              <w:t xml:space="preserve">0.0257 (0.0252–0.0263),</w:t>
            </w:r>
            <w:r>
              <w:t xml:space="preserve"> </w:t>
            </w:r>
            <m:oMath>
              <m:sSub>
                <m:e>
                  <m:r>
                    <m:t>d</m:t>
                  </m:r>
                </m:e>
                <m:sub>
                  <m:r>
                    <m:t>z</m:t>
                  </m:r>
                </m:sub>
              </m:sSub>
            </m:oMath>
            <w:r>
              <w:t xml:space="preserve"> </w:t>
            </w:r>
            <w:r>
              <w:t xml:space="preserve">= 0.88</w:t>
            </w:r>
          </w:p>
        </w:tc>
      </w:tr>
      <w:tr>
        <w:tc>
          <w:tcPr/>
          <w:p>
            <w:pPr>
              <w:pStyle w:val="Compact"/>
              <w:jc w:val="left"/>
            </w:pPr>
            <w:r>
              <w:t xml:space="preserve">MDP</w:t>
            </w:r>
            <w:r>
              <w:t xml:space="preserve"> </w:t>
            </w:r>
            <m:oMath>
              <m:r>
                <m:rPr>
                  <m:sty m:val="p"/>
                </m:rPr>
                <m:t>−</m:t>
              </m:r>
            </m:oMath>
            <w:r>
              <w:t xml:space="preserve"> </w:t>
            </w:r>
            <w:r>
              <w:t xml:space="preserve">Nearest EVT-capable</w:t>
            </w:r>
          </w:p>
        </w:tc>
        <w:tc>
          <w:tcPr>
            <w:gridSpan w:val="4"/>
          </w:tcPr>
          <w:p>
            <w:pPr>
              <w:pStyle w:val="Compact"/>
              <w:jc w:val="left"/>
            </w:pPr>
            <w:r>
              <w:t xml:space="preserve">0.0003 (0.0003–0.0004),</w:t>
            </w:r>
            <w:r>
              <w:t xml:space="preserve"> </w:t>
            </w:r>
            <m:oMath>
              <m:sSub>
                <m:e>
                  <m:r>
                    <m:t>d</m:t>
                  </m:r>
                </m:e>
                <m:sub>
                  <m:r>
                    <m:t>z</m:t>
                  </m:r>
                </m:sub>
              </m:sSub>
            </m:oMath>
            <w:r>
              <w:t xml:space="preserve"> </w:t>
            </w:r>
            <w:r>
              <w:t xml:space="preserve">= 0.19</w:t>
            </w:r>
          </w:p>
        </w:tc>
      </w:tr>
    </w:tbl>
    <w:bookmarkEnd w:id="55"/>
    <w:bookmarkEnd w:id="56"/>
    <w:bookmarkEnd w:id="57"/>
    <w:bookmarkStart w:id="60" w:name="sec:discussion"/>
    <w:p>
      <w:pPr>
        <w:pStyle w:val="Heading1"/>
      </w:pPr>
      <w:r>
        <w:t xml:space="preserve">Discussion</w:t>
      </w:r>
    </w:p>
    <w:p>
      <w:pPr>
        <w:pStyle w:val="FirstParagraph"/>
      </w:pPr>
      <w:r>
        <w:t xml:space="preserve">The MDP policy improves expected outcomes over nearest-hospital routing in a decentralized system and matches the centralized protocol of a small state while spreading load across hospitals. By accounting for hospital capability, elapsed time and the cost of a later transfer, it delivers more effective routing where it matters for equity: in areas distant from EVT-capable centers, with no systematic loss in well-served areas, and the stratified analysis shows the gain over the bypass heuristics as well as over the default. The decision tree carries this benefit into a form a crew can apply, and a decision costs milliseconds.</w:t>
      </w:r>
    </w:p>
    <w:p>
      <w:pPr>
        <w:pStyle w:val="BodyText"/>
      </w:pPr>
      <w:r>
        <w:t xml:space="preserve">Two practical considerations merit attention. The MDP increases mean initial transport time to 19.3 minutes from 9.4 under nearest-hospital routing in the Bay Area, but it reduces downstream transfers and their delays; for LVO patients, bypassing a closer but less capable hospital means arriving at an EVT-capable center within the therapeutic window. At the same time the MDP travels less than the nearest-EVT-center rule (21.4 minutes), because it declines the detour for patients whose outcome it cannot change. The second consideration is hospital load, discussed below.</w:t>
      </w:r>
    </w:p>
    <w:p>
      <w:pPr>
        <w:pStyle w:val="BodyText"/>
      </w:pPr>
      <w:r>
        <w:t xml:space="preserve">The in-hospital intervals matter as much as the road network. With door-in-door-out at 60 minutes the gain over nearest-hospital routing is a third of its value at the registry median, and at the registry upper quartile it is larger still: the value of intelligent routing grows with the inefficiency of transfer. Agencies with fast transfer pathways should expect smaller gains over nearest-hospital routing, and an agency that measures its own intervals can substitute them directly.</w:t>
      </w:r>
    </w:p>
    <w:bookmarkStart w:id="58" w:name="limitations"/>
    <w:p>
      <w:pPr>
        <w:pStyle w:val="Heading2"/>
      </w:pPr>
      <w:r>
        <w:t xml:space="preserve">Limitations</w:t>
      </w:r>
    </w:p>
    <w:p>
      <w:pPr>
        <w:pStyle w:val="FirstParagraph"/>
      </w:pPr>
      <w:r>
        <w:rPr>
          <w:iCs/>
          <w:i/>
        </w:rPr>
        <w:t xml:space="preserve">Capacity and queueing.</w:t>
      </w:r>
      <w:r>
        <w:t xml:space="preserve"> </w:t>
      </w:r>
      <w:r>
        <w:t xml:space="preserve">The model assumes every hospital can accept every patient routed to it. We do not model bed or angiography-suite availability, diversion, or interaction between concurrent patients. The load-distribution result (the MDP uses 51 hospitals where the nearest-EVT rule uses 10, and places 45% rather than 52% of patients at the two busiest centers) is a qualitative indication that the policy does not concentrate demand, not a capacity analysis. A capacity-aware extension would add hospital state to the MDP and is the main direction for future work.</w:t>
      </w:r>
    </w:p>
    <w:p>
      <w:pPr>
        <w:pStyle w:val="BodyText"/>
      </w:pPr>
      <w:r>
        <w:rPr>
          <w:iCs/>
          <w:i/>
        </w:rPr>
        <w:t xml:space="preserve">Validation against observed outcomes.</w:t>
      </w:r>
      <w:r>
        <w:t xml:space="preserve"> </w:t>
      </w:r>
      <w:r>
        <w:t xml:space="preserve">Results are simulated. The outcome model is taken from published onset-to-treatment curves </w:t>
      </w:r>
      <w:r>
        <w:t xml:space="preserve">(Holodinsky et al. 2018)</w:t>
      </w:r>
      <w:r>
        <w:t xml:space="preserve">, travel times from a routing engine, and in-hospital intervals from national registries; the composition has not been validated against a cohort with observed routing and outcomes. The sensitivity analyses bound the effect of the main inputs but do not substitute for validation, which requires EMS and hospital record linkage.</w:t>
      </w:r>
    </w:p>
    <w:p>
      <w:pPr>
        <w:pStyle w:val="BodyText"/>
      </w:pPr>
      <w:r>
        <w:rPr>
          <w:iCs/>
          <w:i/>
        </w:rPr>
        <w:t xml:space="preserve">In-hospital intervals.</w:t>
      </w:r>
      <w:r>
        <w:t xml:space="preserve"> </w:t>
      </w:r>
      <w:r>
        <w:t xml:space="preserve">One value per interval for all hospitals of a tier. Real door-to-needle, door-to-puncture and door-in-door-out times vary widely between hospitals and over time; the DIDO sensitivity shows the direction and size of the effect, and hospital-specific intervals can be substituted where an agency has them.</w:t>
      </w:r>
    </w:p>
    <w:p>
      <w:pPr>
        <w:pStyle w:val="BodyText"/>
      </w:pPr>
      <w:r>
        <w:rPr>
          <w:iCs/>
          <w:i/>
        </w:rPr>
        <w:t xml:space="preserve">Patient population.</w:t>
      </w:r>
      <w:r>
        <w:t xml:space="preserve"> </w:t>
      </w:r>
      <w:r>
        <w:t xml:space="preserve">The cohort is LAMS </w:t>
      </w:r>
      <m:oMath>
        <m:r>
          <m:rPr>
            <m:sty m:val="p"/>
          </m:rPr>
          <m:t>≥</m:t>
        </m:r>
      </m:oMath>
      <w:r>
        <w:t xml:space="preserve"> 4 with onset within 270 minutes. Prehospital scales identify LVO imperfectly, and EVT benefit extends to 24 hours for selected patients. The outcome curves used here are defined to 270 minutes; extending the model to the late window needs late-window outcome functions and is left for future work. Less severe strokes also face routing decisions that the present scope does not address.</w:t>
      </w:r>
    </w:p>
    <w:p>
      <w:pPr>
        <w:pStyle w:val="BodyText"/>
      </w:pPr>
      <w:r>
        <w:rPr>
          <w:iCs/>
          <w:i/>
        </w:rPr>
        <w:t xml:space="preserve">Hemorrhage.</w:t>
      </w:r>
      <w:r>
        <w:t xml:space="preserve"> </w:t>
      </w:r>
      <w:r>
        <w:t xml:space="preserve">The outcome for intracerebral hemorrhage is time-invariant in the reward. Evidence that timely bundled care improves ICH outcomes </w:t>
      </w:r>
      <w:r>
        <w:t xml:space="preserve">(Ma et al. 2023)</w:t>
      </w:r>
      <w:r>
        <w:t xml:space="preserve"> </w:t>
      </w:r>
      <w:r>
        <w:t xml:space="preserve">suggests a time-dependent function would be appropriate when one is available; its absence biases the model against any destination choice motivated by ICH, which is conservative for the MDP’s gains.</w:t>
      </w:r>
    </w:p>
    <w:p>
      <w:pPr>
        <w:pStyle w:val="BodyText"/>
      </w:pPr>
      <w:r>
        <w:rPr>
          <w:iCs/>
          <w:i/>
        </w:rPr>
        <w:t xml:space="preserve">Capability definitions.</w:t>
      </w:r>
      <w:r>
        <w:t xml:space="preserve"> </w:t>
      </w:r>
      <w:r>
        <w:t xml:space="preserve">Hospitals are classified by verified certification. Some hospitals perform thrombectomy without certification; the on-site sensitivity analysis treats them as EVT-capable and does not change the conclusions. Designations change over time; the method takes the table as input.</w:t>
      </w:r>
    </w:p>
    <w:p>
      <w:pPr>
        <w:pStyle w:val="BodyText"/>
      </w:pPr>
      <w:r>
        <w:rPr>
          <w:iCs/>
          <w:i/>
        </w:rPr>
        <w:t xml:space="preserve">Generalizability and the baseline.</w:t>
      </w:r>
      <w:r>
        <w:t xml:space="preserve"> </w:t>
      </w:r>
      <w:r>
        <w:t xml:space="preserve">Both regions are dense relative to much of the United States, and routing protocols vary by jurisdiction. Nearest-hospital routing is a lower bound on current practice rather than a description of it everywhere; the heuristic comparators correspond to the protocols actually in use, which is why both are reported. Air transport is not modeled.</w:t>
      </w:r>
    </w:p>
    <w:p>
      <w:pPr>
        <w:pStyle w:val="BodyText"/>
      </w:pPr>
      <w:r>
        <w:rPr>
          <w:iCs/>
          <w:i/>
        </w:rPr>
        <w:t xml:space="preserve">Travel times.</w:t>
      </w:r>
      <w:r>
        <w:t xml:space="preserve"> </w:t>
      </w:r>
      <w:r>
        <w:t xml:space="preserve">Deterministic routing-engine estimates stand in for traffic-dependent times; the noise and bias analyses cover the plausible range of error but not time-of-day structure.</w:t>
      </w:r>
    </w:p>
    <w:bookmarkEnd w:id="58"/>
    <w:bookmarkStart w:id="59" w:name="deployment-path-and-other-applications"/>
    <w:p>
      <w:pPr>
        <w:pStyle w:val="Heading2"/>
      </w:pPr>
      <w:r>
        <w:t xml:space="preserve">Deployment path and other applications</w:t>
      </w:r>
    </w:p>
    <w:p>
      <w:pPr>
        <w:pStyle w:val="FirstParagraph"/>
      </w:pPr>
      <w:r>
        <w:t xml:space="preserve">The deployable artifact is the decision tree, re-derived whenever the hospital table changes, with the MDP as the reference it is checked against. The natural next step is a prospective evaluation with an EMS agency in which the tree’s recommendation is recorded alongside the crew’s destination and the patient’s eventual outcome. The formulation is not specific to stroke: any time-critical dispatch decision with tiered receiving facilities, an unobserved patient class revealed on arrival, and a possible secondary transfer (trauma, ST-elevation myocardial infarction, aortic dissection) has the same structure and would need only its own outcome curves and facility table.</w:t>
      </w:r>
    </w:p>
    <w:bookmarkEnd w:id="59"/>
    <w:bookmarkEnd w:id="60"/>
    <w:bookmarkStart w:id="90" w:name="conclusion"/>
    <w:p>
      <w:pPr>
        <w:pStyle w:val="Heading1"/>
      </w:pPr>
      <w:r>
        <w:t xml:space="preserve">Conclusion</w:t>
      </w:r>
    </w:p>
    <w:p>
      <w:pPr>
        <w:pStyle w:val="FirstParagraph"/>
      </w:pPr>
      <w:r>
        <w:t xml:space="preserve">We formulated prehospital stroke routing as an MDP over patient location, time since onset and subtype uncertainty, with capability-classified hospitals, road travel times, inter-facility transfer and published in-hospital intervals, and solved it online in milliseconds. In simulation across two regions the policy raised the expected probability of an excellent outcome over nearest-hospital routing by 0.03 on a base of 0.37, matched a centralized bypass protocol while sparing unnecessary detours and distributing load, and was robust to travel-time error and to the definition of EVT capability, with a gain that grows with door-in-door-out time. A one-split decision tree recovered 99.8% of the gain and requires no computation to apply. The hospital table and routing engine are inputs, so the approach transfers to other regions by changing data. Capacity modeling and validation against observed outcomes are the next steps before deployment.</w:t>
      </w:r>
    </w:p>
    <w:bookmarkStart w:id="89" w:name="refs"/>
    <w:bookmarkStart w:id="62" w:name="ref-adeoye2017"/>
    <w:p>
      <w:pPr>
        <w:pStyle w:val="Bibliography"/>
      </w:pPr>
      <w:r>
        <w:t xml:space="preserve">Adeoye, Opeolu et al. 2017.</w:t>
      </w:r>
      <w:r>
        <w:t xml:space="preserve"> </w:t>
      </w:r>
      <w:r>
        <w:t xml:space="preserve">“Estimated Impact of Emergency Medical Services Triage of Stroke Patients on Comprehensive Stroke Centers: An Urban Population-Based Study.”</w:t>
      </w:r>
      <w:r>
        <w:t xml:space="preserve"> </w:t>
      </w:r>
      <w:r>
        <w:rPr>
          <w:iCs/>
          <w:i/>
        </w:rPr>
        <w:t xml:space="preserve">Stroke</w:t>
      </w:r>
      <w:r>
        <w:t xml:space="preserve"> </w:t>
      </w:r>
      <w:r>
        <w:t xml:space="preserve">48 (9): 2409–12.</w:t>
      </w:r>
      <w:r>
        <w:t xml:space="preserve"> </w:t>
      </w:r>
      <w:hyperlink r:id="rId61">
        <w:r>
          <w:rPr>
            <w:rStyle w:val="Hyperlink"/>
          </w:rPr>
          <w:t xml:space="preserve">https://doi.org/10.1161/STROKEAHA.116.015971</w:t>
        </w:r>
      </w:hyperlink>
      <w:r>
        <w:t xml:space="preserve">.</w:t>
      </w:r>
    </w:p>
    <w:bookmarkEnd w:id="62"/>
    <w:bookmarkStart w:id="63" w:name="ref-alfatah2018"/>
    <w:p>
      <w:pPr>
        <w:pStyle w:val="Bibliography"/>
      </w:pPr>
      <w:r>
        <w:t xml:space="preserve">Al Fatah, Jalal, Ahmad Alshaban, Johan Holmgren, and Jesper Petersson. 2018.</w:t>
      </w:r>
      <w:r>
        <w:t xml:space="preserve"> </w:t>
      </w:r>
      <w:r>
        <w:t xml:space="preserve">“An Agent-Based Simulation Model for Assessment of Prehospital Triage Policies Concerning Destination of Stroke Patients.”</w:t>
      </w:r>
      <w:r>
        <w:t xml:space="preserve"> </w:t>
      </w:r>
      <w:r>
        <w:rPr>
          <w:iCs/>
          <w:i/>
        </w:rPr>
        <w:t xml:space="preserve">Procedia Computer Science</w:t>
      </w:r>
      <w:r>
        <w:t xml:space="preserve"> </w:t>
      </w:r>
      <w:r>
        <w:t xml:space="preserve">141: 405–12.</w:t>
      </w:r>
    </w:p>
    <w:bookmarkEnd w:id="63"/>
    <w:bookmarkStart w:id="64" w:name="ref-targetstroke3"/>
    <w:p>
      <w:pPr>
        <w:pStyle w:val="Bibliography"/>
      </w:pPr>
      <w:r>
        <w:t xml:space="preserve">American Heart Association / American Stroke Association. 2019.</w:t>
      </w:r>
      <w:r>
        <w:t xml:space="preserve"> </w:t>
      </w:r>
      <w:r>
        <w:t xml:space="preserve">“Target: Stroke Phase</w:t>
      </w:r>
      <w:r>
        <w:t xml:space="preserve"> </w:t>
      </w:r>
      <w:r>
        <w:t xml:space="preserve">III</w:t>
      </w:r>
      <w:r>
        <w:t xml:space="preserve"> </w:t>
      </w:r>
      <w:r>
        <w:t xml:space="preserve">Campaign Manual.”</w:t>
      </w:r>
    </w:p>
    <w:bookmarkEnd w:id="64"/>
    <w:bookmarkStart w:id="65" w:name="ref-ardestani2022"/>
    <w:p>
      <w:pPr>
        <w:pStyle w:val="Bibliography"/>
      </w:pPr>
      <w:r>
        <w:t xml:space="preserve">Ardestani-Jaafari, Amir, and Beste Kucukyazici. 2022.</w:t>
      </w:r>
      <w:r>
        <w:t xml:space="preserve"> </w:t>
      </w:r>
      <w:r>
        <w:t xml:space="preserve">“Improving Patient Transfer Protocols for Regional Stroke Networks.”</w:t>
      </w:r>
      <w:r>
        <w:t xml:space="preserve"> </w:t>
      </w:r>
      <w:r>
        <w:rPr>
          <w:iCs/>
          <w:i/>
        </w:rPr>
        <w:t xml:space="preserve">Management Science</w:t>
      </w:r>
      <w:r>
        <w:t xml:space="preserve"> </w:t>
      </w:r>
      <w:r>
        <w:t xml:space="preserve">68 (9): 6610–33.</w:t>
      </w:r>
    </w:p>
    <w:bookmarkEnd w:id="65"/>
    <w:bookmarkStart w:id="66" w:name="ref-bastani2018"/>
    <w:p>
      <w:pPr>
        <w:pStyle w:val="Bibliography"/>
      </w:pPr>
      <w:r>
        <w:t xml:space="preserve">Bastani, Osbert, Yewen Pu, and Armando Solar-Lezama. 2018.</w:t>
      </w:r>
      <w:r>
        <w:t xml:space="preserve"> </w:t>
      </w:r>
      <w:r>
        <w:t xml:space="preserve">“Verifiable Reinforcement Learning via Policy Extraction.”</w:t>
      </w:r>
      <w:r>
        <w:t xml:space="preserve"> </w:t>
      </w:r>
      <w:r>
        <w:t xml:space="preserve">In</w:t>
      </w:r>
      <w:r>
        <w:t xml:space="preserve"> </w:t>
      </w:r>
      <w:r>
        <w:rPr>
          <w:iCs/>
          <w:i/>
        </w:rPr>
        <w:t xml:space="preserve">Advances in Neural Information Processing Systems</w:t>
      </w:r>
      <w:r>
        <w:t xml:space="preserve">. Vol. 31.</w:t>
      </w:r>
    </w:p>
    <w:bookmarkEnd w:id="66"/>
    <w:bookmarkStart w:id="67" w:name="ref-bellman1957"/>
    <w:p>
      <w:pPr>
        <w:pStyle w:val="Bibliography"/>
      </w:pPr>
      <w:r>
        <w:t xml:space="preserve">Bellman, Richard. 1957.</w:t>
      </w:r>
      <w:r>
        <w:t xml:space="preserve"> </w:t>
      </w:r>
      <w:r>
        <w:rPr>
          <w:iCs/>
          <w:i/>
        </w:rPr>
        <w:t xml:space="preserve">Dynamic Programming</w:t>
      </w:r>
      <w:r>
        <w:t xml:space="preserve">. Princeton University Press.</w:t>
      </w:r>
    </w:p>
    <w:bookmarkEnd w:id="67"/>
    <w:bookmarkStart w:id="69" w:name="ref-bosson2023"/>
    <w:p>
      <w:pPr>
        <w:pStyle w:val="Bibliography"/>
      </w:pPr>
      <w:r>
        <w:t xml:space="preserve">Bosson, Nichole, Jeffrey L. Saver, Patrick D. Lyden, and Marianne Gausche-Hill. 2023.</w:t>
      </w:r>
      <w:r>
        <w:t xml:space="preserve"> </w:t>
      </w:r>
      <w:r>
        <w:t xml:space="preserve">“Frequency of Thrombectomy in Early and Late Postonset Time Windows Among Emergency Medical Services Patients with Acute Ischemic Stroke.”</w:t>
      </w:r>
      <w:r>
        <w:t xml:space="preserve"> </w:t>
      </w:r>
      <w:r>
        <w:rPr>
          <w:iCs/>
          <w:i/>
        </w:rPr>
        <w:t xml:space="preserve">Stroke: Vascular and Interventional Neurology</w:t>
      </w:r>
      <w:r>
        <w:t xml:space="preserve"> </w:t>
      </w:r>
      <w:r>
        <w:t xml:space="preserve">3 (2): e000519.</w:t>
      </w:r>
      <w:r>
        <w:t xml:space="preserve"> </w:t>
      </w:r>
      <w:hyperlink r:id="rId68">
        <w:r>
          <w:rPr>
            <w:rStyle w:val="Hyperlink"/>
          </w:rPr>
          <w:t xml:space="preserve">https://doi.org/10.1161/SVIN.122.000519</w:t>
        </w:r>
      </w:hyperlink>
      <w:r>
        <w:t xml:space="preserve">.</w:t>
      </w:r>
    </w:p>
    <w:bookmarkEnd w:id="69"/>
    <w:bookmarkStart w:id="70" w:name="ref-cash2022"/>
    <w:p>
      <w:pPr>
        <w:pStyle w:val="Bibliography"/>
      </w:pPr>
      <w:r>
        <w:t xml:space="preserve">Cash, Rebecca E. et al. 2022.</w:t>
      </w:r>
      <w:r>
        <w:t xml:space="preserve"> </w:t>
      </w:r>
      <w:r>
        <w:t xml:space="preserve">“Emergency Medical Service Time Intervals for Patients with Suspected Stroke in the</w:t>
      </w:r>
      <w:r>
        <w:t xml:space="preserve"> </w:t>
      </w:r>
      <w:r>
        <w:t xml:space="preserve">United States</w:t>
      </w:r>
      <w:r>
        <w:t xml:space="preserve">.”</w:t>
      </w:r>
      <w:r>
        <w:t xml:space="preserve"> </w:t>
      </w:r>
      <w:r>
        <w:rPr>
          <w:iCs/>
          <w:i/>
        </w:rPr>
        <w:t xml:space="preserve">Stroke</w:t>
      </w:r>
      <w:r>
        <w:t xml:space="preserve"> </w:t>
      </w:r>
      <w:r>
        <w:t xml:space="preserve">53.</w:t>
      </w:r>
    </w:p>
    <w:bookmarkEnd w:id="70"/>
    <w:bookmarkStart w:id="71" w:name="ref-chari2022"/>
    <w:p>
      <w:pPr>
        <w:pStyle w:val="Bibliography"/>
      </w:pPr>
      <w:r>
        <w:t xml:space="preserve">Chari, Srihari V. et al. 2022.</w:t>
      </w:r>
      <w:r>
        <w:t xml:space="preserve"> </w:t>
      </w:r>
      <w:r>
        <w:t xml:space="preserve">“Community Socioeconomic and Urban-Rural Differences in Emergency Medical Services Times for Suspected Stroke in</w:t>
      </w:r>
      <w:r>
        <w:t xml:space="preserve"> </w:t>
      </w:r>
      <w:r>
        <w:t xml:space="preserve">North Carolina</w:t>
      </w:r>
      <w:r>
        <w:t xml:space="preserve">.”</w:t>
      </w:r>
      <w:r>
        <w:t xml:space="preserve"> </w:t>
      </w:r>
      <w:r>
        <w:rPr>
          <w:iCs/>
          <w:i/>
        </w:rPr>
        <w:t xml:space="preserve">The American Journal of Emergency Medicine</w:t>
      </w:r>
      <w:r>
        <w:t xml:space="preserve">.</w:t>
      </w:r>
    </w:p>
    <w:bookmarkEnd w:id="71"/>
    <w:bookmarkStart w:id="72" w:name="ref-eddelien2021"/>
    <w:p>
      <w:pPr>
        <w:pStyle w:val="Bibliography"/>
      </w:pPr>
      <w:r>
        <w:t xml:space="preserve">Eddelien, Heidi S., Jawad H. Butt, Anne C. Amtoft, Nanna S. K. Nielsen, Emilie S. Jensen, Ingrid M. K. Danielsen, Thomas Christensen, Anne K. Danielsen, Nete Hornnes, and Christina Kruuse. 2021.</w:t>
      </w:r>
      <w:r>
        <w:t xml:space="preserve"> </w:t>
      </w:r>
      <w:r>
        <w:t xml:space="preserve">“Patient-Reported Factors Associated with Early Arrival for Stroke Treatment.”</w:t>
      </w:r>
      <w:r>
        <w:t xml:space="preserve"> </w:t>
      </w:r>
      <w:r>
        <w:rPr>
          <w:iCs/>
          <w:i/>
        </w:rPr>
        <w:t xml:space="preserve">Brain and Behavior</w:t>
      </w:r>
      <w:r>
        <w:t xml:space="preserve"> </w:t>
      </w:r>
      <w:r>
        <w:t xml:space="preserve">11 (8): e2225.</w:t>
      </w:r>
    </w:p>
    <w:bookmarkEnd w:id="72"/>
    <w:bookmarkStart w:id="73" w:name="ref-hegenberg2026"/>
    <w:p>
      <w:pPr>
        <w:pStyle w:val="Bibliography"/>
      </w:pPr>
      <w:r>
        <w:t xml:space="preserve">Hegenberg, Kathrin et al. 2026.</w:t>
      </w:r>
      <w:r>
        <w:t xml:space="preserve"> </w:t>
      </w:r>
      <w:r>
        <w:t xml:space="preserve">“Prehospital Time Intervals in Stroke Patients Eligible for Mechanical Thrombectomy in a Rural Telemedicine Network.”</w:t>
      </w:r>
      <w:r>
        <w:t xml:space="preserve"> </w:t>
      </w:r>
      <w:r>
        <w:rPr>
          <w:iCs/>
          <w:i/>
        </w:rPr>
        <w:t xml:space="preserve">European Stroke Journal</w:t>
      </w:r>
      <w:r>
        <w:t xml:space="preserve">.</w:t>
      </w:r>
    </w:p>
    <w:bookmarkEnd w:id="73"/>
    <w:bookmarkStart w:id="74" w:name="ref-holodinsky2018"/>
    <w:p>
      <w:pPr>
        <w:pStyle w:val="Bibliography"/>
      </w:pPr>
      <w:r>
        <w:t xml:space="preserve">Holodinsky, Jessalyn K., Tyler S. Williamson, Andrew M. Demchuk, Henry Zhao, Luke Zhu, Michael J. Francis, Mayank Goyal, Michael D. Hill, and Noreen Kamal. 2018.</w:t>
      </w:r>
      <w:r>
        <w:t xml:space="preserve"> </w:t>
      </w:r>
      <w:r>
        <w:t xml:space="preserve">“Modeling Stroke Patient Transport for All Patients with Suspected Large-Vessel Occlusion.”</w:t>
      </w:r>
      <w:r>
        <w:t xml:space="preserve"> </w:t>
      </w:r>
      <w:r>
        <w:rPr>
          <w:iCs/>
          <w:i/>
        </w:rPr>
        <w:t xml:space="preserve">JAMA Neurology</w:t>
      </w:r>
      <w:r>
        <w:t xml:space="preserve"> </w:t>
      </w:r>
      <w:r>
        <w:t xml:space="preserve">75 (12): 1477–86.</w:t>
      </w:r>
    </w:p>
    <w:bookmarkEnd w:id="74"/>
    <w:bookmarkStart w:id="75" w:name="ref-jayaraman2023"/>
    <w:p>
      <w:pPr>
        <w:pStyle w:val="Bibliography"/>
      </w:pPr>
      <w:r>
        <w:t xml:space="preserve">Jayaraman, Mahesh V., Grayson Baird, Karim Oueidat, Gino Paolucci, Richard A. Haas, Radmehr Torabi, Krisztina Moldovan, et al. 2023.</w:t>
      </w:r>
      <w:r>
        <w:t xml:space="preserve"> </w:t>
      </w:r>
      <w:r>
        <w:t xml:space="preserve">“Long-Term Effect of Field Triage on Times to Endovascular Treatment for Emergent Large Vessel Occlusion.”</w:t>
      </w:r>
      <w:r>
        <w:t xml:space="preserve"> </w:t>
      </w:r>
      <w:r>
        <w:rPr>
          <w:iCs/>
          <w:i/>
        </w:rPr>
        <w:t xml:space="preserve">Journal of NeuroInterventional Surgery</w:t>
      </w:r>
      <w:r>
        <w:t xml:space="preserve"> </w:t>
      </w:r>
      <w:r>
        <w:t xml:space="preserve">15 (e1): e86–92.</w:t>
      </w:r>
    </w:p>
    <w:bookmarkEnd w:id="75"/>
    <w:bookmarkStart w:id="76" w:name="ref-kochenderfer2022"/>
    <w:p>
      <w:pPr>
        <w:pStyle w:val="Bibliography"/>
      </w:pPr>
      <w:r>
        <w:t xml:space="preserve">Kochenderfer, Mykel J., Tim A. Wheeler, and Kyle H. Wray. 2022.</w:t>
      </w:r>
      <w:r>
        <w:t xml:space="preserve"> </w:t>
      </w:r>
      <w:r>
        <w:rPr>
          <w:iCs/>
          <w:i/>
        </w:rPr>
        <w:t xml:space="preserve">Algorithms for Decision Making</w:t>
      </w:r>
      <w:r>
        <w:t xml:space="preserve">. MIT Press.</w:t>
      </w:r>
    </w:p>
    <w:bookmarkEnd w:id="76"/>
    <w:bookmarkStart w:id="77" w:name="ref-interact3"/>
    <w:p>
      <w:pPr>
        <w:pStyle w:val="Bibliography"/>
      </w:pPr>
      <w:r>
        <w:t xml:space="preserve">Ma, Lu, Xin Hu, Lili Song, et al. 2023.</w:t>
      </w:r>
      <w:r>
        <w:t xml:space="preserve"> </w:t>
      </w:r>
      <w:r>
        <w:t xml:space="preserve">“The Third Intensive Care Bundle with Blood Pressure Reduction in Acute Cerebral Haemorrhage Trial (</w:t>
      </w:r>
      <w:r>
        <w:t xml:space="preserve">INTERACT3</w:t>
      </w:r>
      <w:r>
        <w:t xml:space="preserve">): An International, Stepped Wedge Cluster Randomised Controlled Trial.”</w:t>
      </w:r>
      <w:r>
        <w:t xml:space="preserve"> </w:t>
      </w:r>
      <w:r>
        <w:rPr>
          <w:iCs/>
          <w:i/>
        </w:rPr>
        <w:t xml:space="preserve">The Lancet</w:t>
      </w:r>
      <w:r>
        <w:t xml:space="preserve"> </w:t>
      </w:r>
      <w:r>
        <w:t xml:space="preserve">402 (10395): 27–40.</w:t>
      </w:r>
    </w:p>
    <w:bookmarkEnd w:id="77"/>
    <w:bookmarkStart w:id="78" w:name="ref-maas2020"/>
    <w:p>
      <w:pPr>
        <w:pStyle w:val="Bibliography"/>
      </w:pPr>
      <w:r>
        <w:t xml:space="preserve">Maas, Willemijn J., Maarten M. H. Lahr, Erik Buskens, Durk-Jouke van der Zee, Maarten Uyttenboogaart, and CONTRAST Investigators. 2020.</w:t>
      </w:r>
      <w:r>
        <w:t xml:space="preserve"> </w:t>
      </w:r>
      <w:r>
        <w:t xml:space="preserve">“Pathway Design for Acute Stroke Care in the Era of Endovascular Thrombectomy.”</w:t>
      </w:r>
      <w:r>
        <w:t xml:space="preserve"> </w:t>
      </w:r>
      <w:r>
        <w:rPr>
          <w:iCs/>
          <w:i/>
        </w:rPr>
        <w:t xml:space="preserve">Stroke</w:t>
      </w:r>
      <w:r>
        <w:t xml:space="preserve"> </w:t>
      </w:r>
      <w:r>
        <w:t xml:space="preserve">51 (11): 3452–60.</w:t>
      </w:r>
    </w:p>
    <w:bookmarkEnd w:id="78"/>
    <w:bookmarkStart w:id="79" w:name="ref-maxwell2010"/>
    <w:p>
      <w:pPr>
        <w:pStyle w:val="Bibliography"/>
      </w:pPr>
      <w:r>
        <w:t xml:space="preserve">Maxwell, Matthew S., Mateo Restrepo, Shane G. Henderson, and Huseyin Topaloglu. 2010.</w:t>
      </w:r>
      <w:r>
        <w:t xml:space="preserve"> </w:t>
      </w:r>
      <w:r>
        <w:t xml:space="preserve">“Approximate Dynamic Programming for Ambulance Redeployment.”</w:t>
      </w:r>
      <w:r>
        <w:t xml:space="preserve"> </w:t>
      </w:r>
      <w:r>
        <w:rPr>
          <w:iCs/>
          <w:i/>
        </w:rPr>
        <w:t xml:space="preserve">INFORMS Journal on Computing</w:t>
      </w:r>
      <w:r>
        <w:t xml:space="preserve"> </w:t>
      </w:r>
      <w:r>
        <w:t xml:space="preserve">22 (2): 266–81.</w:t>
      </w:r>
    </w:p>
    <w:bookmarkEnd w:id="79"/>
    <w:bookmarkStart w:id="80" w:name="ref-meta2019"/>
    <w:p>
      <w:pPr>
        <w:pStyle w:val="Bibliography"/>
      </w:pPr>
      <w:r>
        <w:t xml:space="preserve">Meta Data for Good. 2019.</w:t>
      </w:r>
      <w:r>
        <w:t xml:space="preserve"> </w:t>
      </w:r>
      <w:r>
        <w:t xml:space="preserve">“United States: High Resolution Population Density Maps and Demographic Estimates.”</w:t>
      </w:r>
      <w:r>
        <w:t xml:space="preserve"> </w:t>
      </w:r>
      <w:r>
        <w:t xml:space="preserve">Humanitarian Data Exchange.</w:t>
      </w:r>
    </w:p>
    <w:bookmarkEnd w:id="80"/>
    <w:bookmarkStart w:id="81" w:name="ref-racecat2022"/>
    <w:p>
      <w:pPr>
        <w:pStyle w:val="Bibliography"/>
      </w:pPr>
      <w:r>
        <w:t xml:space="preserve">Pérez de la Ossa, Natalia, Sonia Abilleira, Tudor G. Jovin, et al. 2022.</w:t>
      </w:r>
      <w:r>
        <w:t xml:space="preserve"> </w:t>
      </w:r>
      <w:r>
        <w:t xml:space="preserve">“Effect of Direct Transportation to Thrombectomy-Capable Center Vs Local Stroke Center on Neurological Outcomes in Patients with Suspected Large-Vessel Occlusion Stroke in Nonurban Areas: The</w:t>
      </w:r>
      <w:r>
        <w:t xml:space="preserve"> </w:t>
      </w:r>
      <w:r>
        <w:t xml:space="preserve">RACECAT</w:t>
      </w:r>
      <w:r>
        <w:t xml:space="preserve"> </w:t>
      </w:r>
      <w:r>
        <w:t xml:space="preserve">Randomized Clinical Trial.”</w:t>
      </w:r>
      <w:r>
        <w:t xml:space="preserve"> </w:t>
      </w:r>
      <w:r>
        <w:rPr>
          <w:iCs/>
          <w:i/>
        </w:rPr>
        <w:t xml:space="preserve">JAMA</w:t>
      </w:r>
      <w:r>
        <w:t xml:space="preserve"> </w:t>
      </w:r>
      <w:r>
        <w:t xml:space="preserve">327 (18): 1782–94.</w:t>
      </w:r>
    </w:p>
    <w:bookmarkEnd w:id="81"/>
    <w:bookmarkStart w:id="83" w:name="ref-royan2026"/>
    <w:p>
      <w:pPr>
        <w:pStyle w:val="Bibliography"/>
      </w:pPr>
      <w:r>
        <w:t xml:space="preserve">Royan, Regina, Brian Stamm, Mihai Giurcanu, Steven R. Messe, Edward C. Jauch, Jeffrey L. Saver, and Shyam Prabhakaran. 2026.</w:t>
      </w:r>
      <w:r>
        <w:t xml:space="preserve"> </w:t>
      </w:r>
      <w:r>
        <w:t xml:space="preserve">“Door-in-Door-Out Times and Outcomes in Patients with Acute Ischaemic Stroke Transferred for Endovascular Therapy in the</w:t>
      </w:r>
      <w:r>
        <w:t xml:space="preserve"> </w:t>
      </w:r>
      <w:r>
        <w:t xml:space="preserve">USA</w:t>
      </w:r>
      <w:r>
        <w:t xml:space="preserve">: A Retrospective Cohort Study.”</w:t>
      </w:r>
      <w:r>
        <w:t xml:space="preserve"> </w:t>
      </w:r>
      <w:r>
        <w:rPr>
          <w:iCs/>
          <w:i/>
        </w:rPr>
        <w:t xml:space="preserve">The Lancet Neurology</w:t>
      </w:r>
      <w:r>
        <w:t xml:space="preserve"> </w:t>
      </w:r>
      <w:r>
        <w:t xml:space="preserve">25 (2): 160–69.</w:t>
      </w:r>
      <w:r>
        <w:t xml:space="preserve"> </w:t>
      </w:r>
      <w:hyperlink r:id="rId82">
        <w:r>
          <w:rPr>
            <w:rStyle w:val="Hyperlink"/>
          </w:rPr>
          <w:t xml:space="preserve">https://doi.org/10.1016/S1474-4422(25)00478-8</w:t>
        </w:r>
      </w:hyperlink>
      <w:r>
        <w:t xml:space="preserve">.</w:t>
      </w:r>
    </w:p>
    <w:bookmarkEnd w:id="83"/>
    <w:bookmarkStart w:id="84" w:name="ref-sfems2020"/>
    <w:p>
      <w:pPr>
        <w:pStyle w:val="Bibliography"/>
      </w:pPr>
      <w:r>
        <w:t xml:space="preserve">San Francisco Emergency Medical Services Agency. 2020.</w:t>
      </w:r>
      <w:r>
        <w:t xml:space="preserve"> </w:t>
      </w:r>
      <w:r>
        <w:t xml:space="preserve">“Protocol: Stroke, Destination Policy.”</w:t>
      </w:r>
    </w:p>
    <w:bookmarkEnd w:id="84"/>
    <w:bookmarkStart w:id="85" w:name="ref-scvems2021"/>
    <w:p>
      <w:pPr>
        <w:pStyle w:val="Bibliography"/>
      </w:pPr>
      <w:r>
        <w:t xml:space="preserve">Santa Clara County Emergency Medical Services Agency. 2021.</w:t>
      </w:r>
      <w:r>
        <w:t xml:space="preserve"> </w:t>
      </w:r>
      <w:r>
        <w:t xml:space="preserve">“Stroke Triage and Destination Policy.”</w:t>
      </w:r>
    </w:p>
    <w:bookmarkEnd w:id="85"/>
    <w:bookmarkStart w:id="86" w:name="ref-saver2006"/>
    <w:p>
      <w:pPr>
        <w:pStyle w:val="Bibliography"/>
      </w:pPr>
      <w:r>
        <w:t xml:space="preserve">Saver, Jeffrey L. 2006.</w:t>
      </w:r>
      <w:r>
        <w:t xml:space="preserve"> </w:t>
      </w:r>
      <w:r>
        <w:t xml:space="preserve">“Time Is Brain—Quantified.”</w:t>
      </w:r>
      <w:r>
        <w:t xml:space="preserve"> </w:t>
      </w:r>
      <w:r>
        <w:rPr>
          <w:iCs/>
          <w:i/>
        </w:rPr>
        <w:t xml:space="preserve">Stroke</w:t>
      </w:r>
      <w:r>
        <w:t xml:space="preserve"> </w:t>
      </w:r>
      <w:r>
        <w:t xml:space="preserve">37 (1): 263–66.</w:t>
      </w:r>
    </w:p>
    <w:bookmarkEnd w:id="86"/>
    <w:bookmarkStart w:id="87" w:name="ref-schlemm2017"/>
    <w:p>
      <w:pPr>
        <w:pStyle w:val="Bibliography"/>
      </w:pPr>
      <w:r>
        <w:t xml:space="preserve">Schlemm, Eckhard, Martin Ebinger, Christian H. Nolte, Matthias Endres, and Ludwig Schlemm. 2017.</w:t>
      </w:r>
      <w:r>
        <w:t xml:space="preserve"> </w:t>
      </w:r>
      <w:r>
        <w:t xml:space="preserve">“Optimal Transport Destination for Ischemic Stroke Patients with Unknown Vessel Status: Use of Prehospital Triage Scores.”</w:t>
      </w:r>
      <w:r>
        <w:t xml:space="preserve"> </w:t>
      </w:r>
      <w:r>
        <w:rPr>
          <w:iCs/>
          <w:i/>
        </w:rPr>
        <w:t xml:space="preserve">Stroke</w:t>
      </w:r>
      <w:r>
        <w:t xml:space="preserve"> </w:t>
      </w:r>
      <w:r>
        <w:t xml:space="preserve">48 (8): 2184–91.</w:t>
      </w:r>
    </w:p>
    <w:bookmarkEnd w:id="87"/>
    <w:bookmarkStart w:id="88" w:name="ref-zachrison2026"/>
    <w:p>
      <w:pPr>
        <w:pStyle w:val="Bibliography"/>
      </w:pPr>
      <w:r>
        <w:t xml:space="preserve">Zachrison, Kori S. et al. 2026.</w:t>
      </w:r>
      <w:r>
        <w:t xml:space="preserve"> </w:t>
      </w:r>
      <w:r>
        <w:t xml:space="preserve">“Inclusion of Hospital Performance in Prehospital Stroke Routing: A Simulation Study.”</w:t>
      </w:r>
      <w:r>
        <w:t xml:space="preserve"> </w:t>
      </w:r>
      <w:r>
        <w:rPr>
          <w:iCs/>
          <w:i/>
        </w:rPr>
        <w:t xml:space="preserve">Prehospital Emergency Care</w:t>
      </w:r>
      <w:r>
        <w:t xml:space="preserve">.</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doi.org/10.1016/S1474-4422(25)00478-8" TargetMode="External" /><Relationship Type="http://schemas.openxmlformats.org/officeDocument/2006/relationships/hyperlink" Id="rId61" Target="https://doi.org/10.1161/STROKEAHA.116.015971" TargetMode="External" /><Relationship Type="http://schemas.openxmlformats.org/officeDocument/2006/relationships/hyperlink" Id="rId68" Target="https://doi.org/10.1161/SVIN.122.000519"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016/S1474-4422(25)00478-8" TargetMode="External" /><Relationship Type="http://schemas.openxmlformats.org/officeDocument/2006/relationships/hyperlink" Id="rId61" Target="https://doi.org/10.1161/STROKEAHA.116.015971" TargetMode="External" /><Relationship Type="http://schemas.openxmlformats.org/officeDocument/2006/relationships/hyperlink" Id="rId68" Target="https://doi.org/10.1161/SVIN.122.0005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Routing of Suspected Stroke Patients: An MDP Policy and Its Decision-Tree Distillation</dc:title>
  <dc:creator/>
  <cp:keywords/>
  <dcterms:created xsi:type="dcterms:W3CDTF">2026-10-09T11:14:51Z</dcterms:created>
  <dcterms:modified xsi:type="dcterms:W3CDTF">2026-10-09T11:14:51Z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/home/claude/repo/paper/refs.bib</vt:lpwstr>
  </property>
</Properties>
</file>