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4F72"/>
          <w:sz w:val="36"/>
          <w:szCs w:val="36"/>
        </w:rPr>
        <w:t xml:space="preserve">BioKGSuite: A Systematic Evaluation of Biomedical</w:t>
      </w:r>
    </w:p>
    <w:p>
      <w:pPr>
        <w:spacing w:after="120"/>
        <w:jc w:val="center"/>
      </w:pPr>
      <w:r>
        <w:rPr>
          <w:rFonts w:ascii="Arial" w:cs="Arial" w:eastAsia="Arial" w:hAnsi="Arial"/>
          <w:b/>
          <w:bCs/>
          <w:color w:val="1B4F72"/>
          <w:sz w:val="36"/>
          <w:szCs w:val="36"/>
        </w:rPr>
        <w:t xml:space="preserve">Knowledge Graphs for Drug Repurposing</w:t>
      </w:r>
    </w:p>
    <w:p>
      <w:pPr>
        <w:spacing w:after="40"/>
        <w:jc w:val="center"/>
      </w:pPr>
      <w:r>
        <w:rPr>
          <w:rFonts w:ascii="Arial" w:cs="Arial" w:eastAsia="Arial" w:hAnsi="Arial"/>
          <w:sz w:val="22"/>
          <w:szCs w:val="22"/>
        </w:rPr>
        <w:t xml:space="preserve">Emily Molins</w:t>
      </w:r>
    </w:p>
    <w:p>
      <w:pPr>
        <w:spacing w:after="320"/>
        <w:jc w:val="center"/>
      </w:pPr>
      <w:r>
        <w:rPr>
          <w:rFonts w:ascii="Arial" w:cs="Arial" w:eastAsia="Arial" w:hAnsi="Arial"/>
          <w:color w:val="666666"/>
          <w:sz w:val="20"/>
          <w:szCs w:val="20"/>
        </w:rPr>
        <w:t xml:space="preserve">March 2026</w:t>
      </w:r>
    </w:p>
    <w:p>
      <w:pPr>
        <w:pStyle w:val="Heading1"/>
        <w:spacing w:after="120" w:before="320"/>
      </w:pPr>
      <w:r>
        <w:rPr>
          <w:rFonts w:ascii="Arial" w:cs="Arial" w:eastAsia="Arial" w:hAnsi="Arial"/>
          <w:b/>
          <w:bCs/>
          <w:color w:val="1B4F72"/>
          <w:sz w:val="28"/>
          <w:szCs w:val="28"/>
        </w:rPr>
        <w:t xml:space="preserve">1  Introduction</w:t>
      </w:r>
    </w:p>
    <w:p>
      <w:pPr>
        <w:spacing w:after="160" w:line="276"/>
      </w:pPr>
      <w:r>
        <w:rPr>
          <w:rFonts w:ascii="Times New Roman" w:cs="Times New Roman" w:eastAsia="Times New Roman" w:hAnsi="Times New Roman"/>
          <w:sz w:val="22"/>
          <w:szCs w:val="22"/>
        </w:rPr>
        <w:t xml:space="preserve">Biomedical knowledge graphs (KGs) integrate heterogeneous biological data—genes, diseases, drugs, pathways, and their relationships—into unified graph structures that support computational drug repurposing. While several KGs are now widely used in the literature, choosing among them remains largely ad hoc, as no standardized evaluation framework exists. BioKGSuite addresses this gap by providing a reproducible, multi-dimensional benchmarking suite that evaluates KGs across seven complementary dimensions: </w:t>
      </w:r>
      <w:r>
        <w:rPr>
          <w:rFonts w:ascii="Times New Roman" w:cs="Times New Roman" w:eastAsia="Times New Roman" w:hAnsi="Times New Roman"/>
          <w:i/>
          <w:iCs/>
          <w:sz w:val="22"/>
          <w:szCs w:val="22"/>
        </w:rPr>
        <w:t xml:space="preserve">coverage, annotation accuracy, trustworthiness, topology, stability, task performance, </w:t>
      </w:r>
      <w:r>
        <w:rPr>
          <w:rFonts w:ascii="Times New Roman" w:cs="Times New Roman" w:eastAsia="Times New Roman" w:hAnsi="Times New Roman"/>
          <w:sz w:val="22"/>
          <w:szCs w:val="22"/>
        </w:rPr>
        <w:t xml:space="preserve">and </w:t>
      </w:r>
      <w:r>
        <w:rPr>
          <w:rFonts w:ascii="Times New Roman" w:cs="Times New Roman" w:eastAsia="Times New Roman" w:hAnsi="Times New Roman"/>
          <w:i/>
          <w:iCs/>
          <w:sz w:val="22"/>
          <w:szCs w:val="22"/>
        </w:rPr>
        <w:t xml:space="preserve">generalisation</w:t>
      </w:r>
      <w:r>
        <w:rPr>
          <w:rFonts w:ascii="Times New Roman" w:cs="Times New Roman" w:eastAsia="Times New Roman" w:hAnsi="Times New Roman"/>
          <w:sz w:val="22"/>
          <w:szCs w:val="22"/>
        </w:rPr>
        <w:t xml:space="preserve">. The framework is demonstrated on four publicly available KGs—PrimeKG, Hetionet, DRKG, and OpenBioLink—against curated gold standards drawn from DrugBank, UniProt, Disease Ontology, Reactome, Open Targets, and CTD.</w:t>
      </w:r>
    </w:p>
    <w:p>
      <w:pPr>
        <w:spacing w:after="160" w:line="276"/>
      </w:pPr>
      <w:r>
        <w:rPr>
          <w:rFonts w:ascii="Times New Roman" w:cs="Times New Roman" w:eastAsia="Times New Roman" w:hAnsi="Times New Roman"/>
          <w:sz w:val="22"/>
          <w:szCs w:val="22"/>
        </w:rPr>
        <w:t xml:space="preserve">The 18 constituent metrics are organized into three conceptual categories. </w:t>
      </w:r>
      <w:r>
        <w:rPr>
          <w:rFonts w:ascii="Times New Roman" w:cs="Times New Roman" w:eastAsia="Times New Roman" w:hAnsi="Times New Roman"/>
          <w:b/>
          <w:bCs/>
          <w:sz w:val="22"/>
          <w:szCs w:val="22"/>
        </w:rPr>
        <w:t xml:space="preserve">Content</w:t>
      </w:r>
      <w:r>
        <w:rPr>
          <w:rFonts w:ascii="Times New Roman" w:cs="Times New Roman" w:eastAsia="Times New Roman" w:hAnsi="Times New Roman"/>
          <w:sz w:val="22"/>
          <w:szCs w:val="22"/>
        </w:rPr>
        <w:t xml:space="preserve"> metrics (coverage, annotation accuracy, trustworthiness) assess the breadth, correctness, and provenance of the data. </w:t>
      </w:r>
      <w:r>
        <w:rPr>
          <w:rFonts w:ascii="Times New Roman" w:cs="Times New Roman" w:eastAsia="Times New Roman" w:hAnsi="Times New Roman"/>
          <w:b/>
          <w:bCs/>
          <w:sz w:val="22"/>
          <w:szCs w:val="22"/>
        </w:rPr>
        <w:t xml:space="preserve">Structure</w:t>
      </w:r>
      <w:r>
        <w:rPr>
          <w:rFonts w:ascii="Times New Roman" w:cs="Times New Roman" w:eastAsia="Times New Roman" w:hAnsi="Times New Roman"/>
          <w:sz w:val="22"/>
          <w:szCs w:val="22"/>
        </w:rPr>
        <w:t xml:space="preserve"> metrics (topology, stability) capture the graph’s organizational properties and robustness to perturbation. </w:t>
      </w:r>
      <w:r>
        <w:rPr>
          <w:rFonts w:ascii="Times New Roman" w:cs="Times New Roman" w:eastAsia="Times New Roman" w:hAnsi="Times New Roman"/>
          <w:b/>
          <w:bCs/>
          <w:sz w:val="22"/>
          <w:szCs w:val="22"/>
        </w:rPr>
        <w:t xml:space="preserve">Inference</w:t>
      </w:r>
      <w:r>
        <w:rPr>
          <w:rFonts w:ascii="Times New Roman" w:cs="Times New Roman" w:eastAsia="Times New Roman" w:hAnsi="Times New Roman"/>
          <w:sz w:val="22"/>
          <w:szCs w:val="22"/>
        </w:rPr>
        <w:t xml:space="preserve"> metrics (task performance, generalisation) measure the degree to which the KG supports accurate biological predictions across diverse settings.</w:t>
      </w:r>
    </w:p>
    <w:p>
      <w:pPr>
        <w:pStyle w:val="Heading1"/>
        <w:spacing w:after="120" w:before="320"/>
      </w:pPr>
      <w:r>
        <w:rPr>
          <w:rFonts w:ascii="Arial" w:cs="Arial" w:eastAsia="Arial" w:hAnsi="Arial"/>
          <w:b/>
          <w:bCs/>
          <w:color w:val="1B4F72"/>
          <w:sz w:val="28"/>
          <w:szCs w:val="28"/>
        </w:rPr>
        <w:t xml:space="preserve">2  Key Findings</w:t>
      </w:r>
    </w:p>
    <w:p>
      <w:pPr>
        <w:spacing w:after="160" w:line="276"/>
      </w:pPr>
      <w:r>
        <w:rPr>
          <w:rFonts w:ascii="Times New Roman" w:cs="Times New Roman" w:eastAsia="Times New Roman" w:hAnsi="Times New Roman"/>
          <w:sz w:val="22"/>
          <w:szCs w:val="22"/>
        </w:rPr>
        <w:t xml:space="preserve">Table 1 presents normalized dimension scores (0–1 scale, higher is better) for each KG. PrimeKG achieves the highest aggregate score, driven by broad entity coverage and strong inference capacity. DRKG follows with balanced performance across content, structure, and generalisability. Hetionet, despite narrow coverage, scores highest on stability, reflecting the resilience of its tightly curated graph. OpenBioLink provides competitive task performance but shows weaker structural cohesion.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1120"/>
        <w:gridCol w:w="1120"/>
        <w:gridCol w:w="1120"/>
        <w:gridCol w:w="1120"/>
        <w:gridCol w:w="1120"/>
        <w:gridCol w:w="1120"/>
        <w:gridCol w:w="1240"/>
      </w:tblGrid>
      <w:tr>
        <w:tc>
          <w:tcPr>
            <w:tcW w:type="dxa" w:w="150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KG</w:t>
            </w:r>
          </w:p>
        </w:tc>
        <w:tc>
          <w:tcPr>
            <w:tcW w:type="dxa" w:w="112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Cov.</w:t>
            </w:r>
          </w:p>
        </w:tc>
        <w:tc>
          <w:tcPr>
            <w:tcW w:type="dxa" w:w="112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Ann.</w:t>
            </w:r>
          </w:p>
        </w:tc>
        <w:tc>
          <w:tcPr>
            <w:tcW w:type="dxa" w:w="112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Trust.</w:t>
            </w:r>
          </w:p>
        </w:tc>
        <w:tc>
          <w:tcPr>
            <w:tcW w:type="dxa" w:w="112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Topo.</w:t>
            </w:r>
          </w:p>
        </w:tc>
        <w:tc>
          <w:tcPr>
            <w:tcW w:type="dxa" w:w="112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Stab.</w:t>
            </w:r>
          </w:p>
        </w:tc>
        <w:tc>
          <w:tcPr>
            <w:tcW w:type="dxa" w:w="112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Task</w:t>
            </w:r>
          </w:p>
        </w:tc>
        <w:tc>
          <w:tcPr>
            <w:tcW w:type="dxa" w:w="124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Gen.</w:t>
            </w:r>
          </w:p>
        </w:tc>
      </w:tr>
      <w:tr>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left"/>
            </w:pPr>
            <w:r>
              <w:rPr>
                <w:rFonts w:ascii="Arial" w:cs="Arial" w:eastAsia="Arial" w:hAnsi="Arial"/>
                <w:b/>
                <w:bCs/>
                <w:sz w:val="18"/>
                <w:szCs w:val="18"/>
              </w:rPr>
              <w:t xml:space="preserve">PrimeKG</w:t>
            </w:r>
          </w:p>
        </w:tc>
        <w:tc>
          <w:tcPr>
            <w:tcW w:type="dxa" w:w="112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0.580</w:t>
            </w:r>
          </w:p>
        </w:tc>
        <w:tc>
          <w:tcPr>
            <w:tcW w:type="dxa" w:w="112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1.000</w:t>
            </w:r>
          </w:p>
        </w:tc>
        <w:tc>
          <w:tcPr>
            <w:tcW w:type="dxa" w:w="112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0.250</w:t>
            </w:r>
          </w:p>
        </w:tc>
        <w:tc>
          <w:tcPr>
            <w:tcW w:type="dxa" w:w="112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0.843</w:t>
            </w:r>
          </w:p>
        </w:tc>
        <w:tc>
          <w:tcPr>
            <w:tcW w:type="dxa" w:w="112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0.977</w:t>
            </w:r>
          </w:p>
        </w:tc>
        <w:tc>
          <w:tcPr>
            <w:tcW w:type="dxa" w:w="112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0.601</w:t>
            </w:r>
          </w:p>
        </w:tc>
        <w:tc>
          <w:tcPr>
            <w:tcW w:type="dxa" w:w="124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0.831</w:t>
            </w:r>
          </w:p>
        </w:tc>
      </w:tr>
      <w:tr>
        <w:tc>
          <w:tcPr>
            <w:tcW w:type="dxa" w:w="15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left"/>
            </w:pPr>
            <w:r>
              <w:rPr>
                <w:rFonts w:ascii="Arial" w:cs="Arial" w:eastAsia="Arial" w:hAnsi="Arial"/>
                <w:b/>
                <w:bCs/>
                <w:sz w:val="18"/>
                <w:szCs w:val="18"/>
              </w:rPr>
              <w:t xml:space="preserve">Hetionet</w:t>
            </w:r>
          </w:p>
        </w:tc>
        <w:tc>
          <w:tcPr>
            <w:tcW w:type="dxa" w:w="112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0.266</w:t>
            </w:r>
          </w:p>
        </w:tc>
        <w:tc>
          <w:tcPr>
            <w:tcW w:type="dxa" w:w="112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1.000</w:t>
            </w:r>
          </w:p>
        </w:tc>
        <w:tc>
          <w:tcPr>
            <w:tcW w:type="dxa" w:w="112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0.000</w:t>
            </w:r>
          </w:p>
        </w:tc>
        <w:tc>
          <w:tcPr>
            <w:tcW w:type="dxa" w:w="112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0.737</w:t>
            </w:r>
          </w:p>
        </w:tc>
        <w:tc>
          <w:tcPr>
            <w:tcW w:type="dxa" w:w="112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0.986</w:t>
            </w:r>
          </w:p>
        </w:tc>
        <w:tc>
          <w:tcPr>
            <w:tcW w:type="dxa" w:w="112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0.401</w:t>
            </w:r>
          </w:p>
        </w:tc>
        <w:tc>
          <w:tcPr>
            <w:tcW w:type="dxa" w:w="124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0.776</w:t>
            </w:r>
          </w:p>
        </w:tc>
      </w:tr>
      <w:tr>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left"/>
            </w:pPr>
            <w:r>
              <w:rPr>
                <w:rFonts w:ascii="Arial" w:cs="Arial" w:eastAsia="Arial" w:hAnsi="Arial"/>
                <w:b/>
                <w:bCs/>
                <w:sz w:val="18"/>
                <w:szCs w:val="18"/>
              </w:rPr>
              <w:t xml:space="preserve">DRKG</w:t>
            </w:r>
          </w:p>
        </w:tc>
        <w:tc>
          <w:tcPr>
            <w:tcW w:type="dxa" w:w="112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0.463</w:t>
            </w:r>
          </w:p>
        </w:tc>
        <w:tc>
          <w:tcPr>
            <w:tcW w:type="dxa" w:w="112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0.999</w:t>
            </w:r>
          </w:p>
        </w:tc>
        <w:tc>
          <w:tcPr>
            <w:tcW w:type="dxa" w:w="112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0.500</w:t>
            </w:r>
          </w:p>
        </w:tc>
        <w:tc>
          <w:tcPr>
            <w:tcW w:type="dxa" w:w="112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0.776</w:t>
            </w:r>
          </w:p>
        </w:tc>
        <w:tc>
          <w:tcPr>
            <w:tcW w:type="dxa" w:w="112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0.957</w:t>
            </w:r>
          </w:p>
        </w:tc>
        <w:tc>
          <w:tcPr>
            <w:tcW w:type="dxa" w:w="112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0.507</w:t>
            </w:r>
          </w:p>
        </w:tc>
        <w:tc>
          <w:tcPr>
            <w:tcW w:type="dxa" w:w="124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0.809</w:t>
            </w:r>
          </w:p>
        </w:tc>
      </w:tr>
      <w:tr>
        <w:tc>
          <w:tcPr>
            <w:tcW w:type="dxa" w:w="15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left"/>
            </w:pPr>
            <w:r>
              <w:rPr>
                <w:rFonts w:ascii="Arial" w:cs="Arial" w:eastAsia="Arial" w:hAnsi="Arial"/>
                <w:b/>
                <w:bCs/>
                <w:sz w:val="18"/>
                <w:szCs w:val="18"/>
              </w:rPr>
              <w:t xml:space="preserve">OpenBioLink</w:t>
            </w:r>
          </w:p>
        </w:tc>
        <w:tc>
          <w:tcPr>
            <w:tcW w:type="dxa" w:w="112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0.421</w:t>
            </w:r>
          </w:p>
        </w:tc>
        <w:tc>
          <w:tcPr>
            <w:tcW w:type="dxa" w:w="112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1.000</w:t>
            </w:r>
          </w:p>
        </w:tc>
        <w:tc>
          <w:tcPr>
            <w:tcW w:type="dxa" w:w="112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0.500</w:t>
            </w:r>
          </w:p>
        </w:tc>
        <w:tc>
          <w:tcPr>
            <w:tcW w:type="dxa" w:w="112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0.713</w:t>
            </w:r>
          </w:p>
        </w:tc>
        <w:tc>
          <w:tcPr>
            <w:tcW w:type="dxa" w:w="112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0.894</w:t>
            </w:r>
          </w:p>
        </w:tc>
        <w:tc>
          <w:tcPr>
            <w:tcW w:type="dxa" w:w="112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0.530</w:t>
            </w:r>
          </w:p>
        </w:tc>
        <w:tc>
          <w:tcPr>
            <w:tcW w:type="dxa" w:w="124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0.731</w:t>
            </w:r>
          </w:p>
        </w:tc>
      </w:tr>
    </w:tbl>
    <w:p>
      <w:pPr>
        <w:spacing w:after="200" w:before="80"/>
        <w:jc w:val="center"/>
      </w:pPr>
      <w:r>
        <w:rPr>
          <w:rFonts w:ascii="Arial" w:cs="Arial" w:eastAsia="Arial" w:hAnsi="Arial"/>
          <w:i/>
          <w:iCs/>
          <w:color w:val="555555"/>
          <w:sz w:val="18"/>
          <w:szCs w:val="18"/>
        </w:rPr>
        <w:t xml:space="preserve">Table 1. Normalized dimension scores across all seven evaluation dimensions.</w:t>
      </w:r>
    </w:p>
    <w:p>
      <w:pPr>
        <w:pStyle w:val="Heading2"/>
        <w:spacing w:after="120" w:before="220"/>
      </w:pPr>
      <w:r>
        <w:rPr>
          <w:rFonts w:ascii="Arial" w:cs="Arial" w:eastAsia="Arial" w:hAnsi="Arial"/>
          <w:b/>
          <w:bCs/>
          <w:color w:val="1B4F72"/>
          <w:sz w:val="24"/>
          <w:szCs w:val="24"/>
        </w:rPr>
        <w:t xml:space="preserve">2.1  Content Quality</w:t>
      </w:r>
    </w:p>
    <w:p>
      <w:pPr>
        <w:spacing w:after="160" w:line="276"/>
      </w:pPr>
      <w:r>
        <w:rPr>
          <w:rFonts w:ascii="Times New Roman" w:cs="Times New Roman" w:eastAsia="Times New Roman" w:hAnsi="Times New Roman"/>
          <w:sz w:val="22"/>
          <w:szCs w:val="22"/>
        </w:rPr>
        <w:t xml:space="preserve">Entity coverage relative to gold-standard references (DrugBank, UniProt, Disease Ontology, Reactome) ranges from 26.6% (Hetionet) to 58.0% (PrimeKG), highlighting substantive gaps even in the most comprehensive graph. All four KGs achieve near-perfect annotation accuracy (&gt;0.999), confirming that entity identifiers resolve to valid ontology entries and that edges conform to declared schemas. Trustworthiness, however, reveals the starkest differences: DRKG and OpenBioLink provide per-edge provenance (enabling full audit trails), PrimeKG offers per-node attribution, while Hetionet supplies only type-level source metadata. Notably, no KG provides per-edge confidence scores or uncertainty quantification—a finding that points to a major gap in current resources.</w:t>
      </w:r>
    </w:p>
    <w:p>
      <w:pPr>
        <w:pStyle w:val="Heading2"/>
        <w:spacing w:after="120" w:before="220"/>
      </w:pPr>
      <w:r>
        <w:rPr>
          <w:rFonts w:ascii="Arial" w:cs="Arial" w:eastAsia="Arial" w:hAnsi="Arial"/>
          <w:b/>
          <w:bCs/>
          <w:color w:val="1B4F72"/>
          <w:sz w:val="24"/>
          <w:szCs w:val="24"/>
        </w:rPr>
        <w:t xml:space="preserve">2.2  Structural Properties</w:t>
      </w:r>
    </w:p>
    <w:p>
      <w:pPr>
        <w:spacing w:after="160" w:line="276"/>
      </w:pPr>
      <w:r>
        <w:rPr>
          <w:rFonts w:ascii="Times New Roman" w:cs="Times New Roman" w:eastAsia="Times New Roman" w:hAnsi="Times New Roman"/>
          <w:sz w:val="22"/>
          <w:szCs w:val="22"/>
        </w:rPr>
        <w:t xml:space="preserve">All four KGs exhibit small-world topology, with empirical clustering coefficients 250–600 times greater than degree-matched Erdős–Rényi random graphs. Community detection (Louvain) reveals moderate alignment between detected communities and entity types, with PrimeKG showing the highest purity (NMI = 0.55). Stability testing via edge dropout indicates that all KGs maintain strong rank-order consistency (Spearman r &gt; 0.93) under 10% random removal, though periphery-targeted dropout disproportionately degrades DRKG and OpenBioLink—suggesting that hub structures play a critical role in their link-prediction signal.</w:t>
      </w:r>
    </w:p>
    <w:p>
      <w:pPr>
        <w:pStyle w:val="Heading2"/>
        <w:spacing w:after="120" w:before="220"/>
      </w:pPr>
      <w:r>
        <w:rPr>
          <w:rFonts w:ascii="Arial" w:cs="Arial" w:eastAsia="Arial" w:hAnsi="Arial"/>
          <w:b/>
          <w:bCs/>
          <w:color w:val="1B4F72"/>
          <w:sz w:val="24"/>
          <w:szCs w:val="24"/>
        </w:rPr>
        <w:t xml:space="preserve">2.3  Inference Capacity</w:t>
      </w:r>
    </w:p>
    <w:p>
      <w:pPr>
        <w:spacing w:after="160" w:line="276"/>
      </w:pPr>
      <w:r>
        <w:rPr>
          <w:rFonts w:ascii="Times New Roman" w:cs="Times New Roman" w:eastAsia="Times New Roman" w:hAnsi="Times New Roman"/>
          <w:sz w:val="22"/>
          <w:szCs w:val="22"/>
        </w:rPr>
        <w:t xml:space="preserve">Task performance is evaluated across three biologically grounded inference tasks: link prediction of drug–disease indications, neighbourhood retrieval of disease-associated genes, and multi-hop mechanistic reasoning using curated CTD triplets. Table 2 summarizes these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100"/>
        <w:gridCol w:w="1260"/>
      </w:tblGrid>
      <w:tr>
        <w:tc>
          <w:tcPr>
            <w:tcW w:type="dxa" w:w="180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KG</w:t>
            </w:r>
          </w:p>
        </w:tc>
        <w:tc>
          <w:tcPr>
            <w:tcW w:type="dxa" w:w="210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Link Pred. (AUROC)</w:t>
            </w:r>
          </w:p>
        </w:tc>
        <w:tc>
          <w:tcPr>
            <w:tcW w:type="dxa" w:w="210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Nbr. Retrieval (R@100)</w:t>
            </w:r>
          </w:p>
        </w:tc>
        <w:tc>
          <w:tcPr>
            <w:tcW w:type="dxa" w:w="210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Multi-hop (H@100)</w:t>
            </w:r>
          </w:p>
        </w:tc>
        <w:tc>
          <w:tcPr>
            <w:tcW w:type="dxa" w:w="126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Score</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left"/>
            </w:pPr>
            <w:r>
              <w:rPr>
                <w:rFonts w:ascii="Arial" w:cs="Arial" w:eastAsia="Arial" w:hAnsi="Arial"/>
                <w:b/>
                <w:bCs/>
                <w:sz w:val="18"/>
                <w:szCs w:val="18"/>
              </w:rPr>
              <w:t xml:space="preserve">PrimeKG</w:t>
            </w:r>
          </w:p>
        </w:tc>
        <w:tc>
          <w:tcPr>
            <w:tcW w:type="dxa" w:w="21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0.947</w:t>
            </w:r>
          </w:p>
        </w:tc>
        <w:tc>
          <w:tcPr>
            <w:tcW w:type="dxa" w:w="21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0.490</w:t>
            </w:r>
          </w:p>
        </w:tc>
        <w:tc>
          <w:tcPr>
            <w:tcW w:type="dxa" w:w="21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0.366</w:t>
            </w:r>
          </w:p>
        </w:tc>
        <w:tc>
          <w:tcPr>
            <w:tcW w:type="dxa" w:w="12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0.601</w:t>
            </w:r>
          </w:p>
        </w:tc>
      </w:tr>
      <w:tr>
        <w:tc>
          <w:tcPr>
            <w:tcW w:type="dxa" w:w="18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left"/>
            </w:pPr>
            <w:r>
              <w:rPr>
                <w:rFonts w:ascii="Arial" w:cs="Arial" w:eastAsia="Arial" w:hAnsi="Arial"/>
                <w:b/>
                <w:bCs/>
                <w:sz w:val="18"/>
                <w:szCs w:val="18"/>
              </w:rPr>
              <w:t xml:space="preserve">Hetionet</w:t>
            </w:r>
          </w:p>
        </w:tc>
        <w:tc>
          <w:tcPr>
            <w:tcW w:type="dxa" w:w="21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0.884</w:t>
            </w:r>
          </w:p>
        </w:tc>
        <w:tc>
          <w:tcPr>
            <w:tcW w:type="dxa" w:w="21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0.149</w:t>
            </w:r>
          </w:p>
        </w:tc>
        <w:tc>
          <w:tcPr>
            <w:tcW w:type="dxa" w:w="21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0.170</w:t>
            </w:r>
          </w:p>
        </w:tc>
        <w:tc>
          <w:tcPr>
            <w:tcW w:type="dxa" w:w="126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0.401</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left"/>
            </w:pPr>
            <w:r>
              <w:rPr>
                <w:rFonts w:ascii="Arial" w:cs="Arial" w:eastAsia="Arial" w:hAnsi="Arial"/>
                <w:b/>
                <w:bCs/>
                <w:sz w:val="18"/>
                <w:szCs w:val="18"/>
              </w:rPr>
              <w:t xml:space="preserve">DRKG</w:t>
            </w:r>
          </w:p>
        </w:tc>
        <w:tc>
          <w:tcPr>
            <w:tcW w:type="dxa" w:w="21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0.928</w:t>
            </w:r>
          </w:p>
        </w:tc>
        <w:tc>
          <w:tcPr>
            <w:tcW w:type="dxa" w:w="21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0.270</w:t>
            </w:r>
          </w:p>
        </w:tc>
        <w:tc>
          <w:tcPr>
            <w:tcW w:type="dxa" w:w="21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0.324</w:t>
            </w:r>
          </w:p>
        </w:tc>
        <w:tc>
          <w:tcPr>
            <w:tcW w:type="dxa" w:w="12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0.507</w:t>
            </w:r>
          </w:p>
        </w:tc>
      </w:tr>
      <w:tr>
        <w:tc>
          <w:tcPr>
            <w:tcW w:type="dxa" w:w="18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left"/>
            </w:pPr>
            <w:r>
              <w:rPr>
                <w:rFonts w:ascii="Arial" w:cs="Arial" w:eastAsia="Arial" w:hAnsi="Arial"/>
                <w:b/>
                <w:bCs/>
                <w:sz w:val="18"/>
                <w:szCs w:val="18"/>
              </w:rPr>
              <w:t xml:space="preserve">OpenBioLink</w:t>
            </w:r>
          </w:p>
        </w:tc>
        <w:tc>
          <w:tcPr>
            <w:tcW w:type="dxa" w:w="21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0.759</w:t>
            </w:r>
          </w:p>
        </w:tc>
        <w:tc>
          <w:tcPr>
            <w:tcW w:type="dxa" w:w="21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0.523</w:t>
            </w:r>
          </w:p>
        </w:tc>
        <w:tc>
          <w:tcPr>
            <w:tcW w:type="dxa" w:w="21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0.306</w:t>
            </w:r>
          </w:p>
        </w:tc>
        <w:tc>
          <w:tcPr>
            <w:tcW w:type="dxa" w:w="126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0.530</w:t>
            </w:r>
          </w:p>
        </w:tc>
      </w:tr>
    </w:tbl>
    <w:p>
      <w:pPr>
        <w:spacing w:after="200" w:before="80"/>
        <w:jc w:val="center"/>
      </w:pPr>
      <w:r>
        <w:rPr>
          <w:rFonts w:ascii="Arial" w:cs="Arial" w:eastAsia="Arial" w:hAnsi="Arial"/>
          <w:i/>
          <w:iCs/>
          <w:color w:val="555555"/>
          <w:sz w:val="18"/>
          <w:szCs w:val="18"/>
        </w:rPr>
        <w:t xml:space="preserve">Table 2. Task performance across three inference benchmarks.</w:t>
      </w:r>
    </w:p>
    <w:p>
      <w:pPr>
        <w:spacing w:after="160" w:line="276"/>
      </w:pPr>
      <w:r>
        <w:rPr>
          <w:rFonts w:ascii="Times New Roman" w:cs="Times New Roman" w:eastAsia="Times New Roman" w:hAnsi="Times New Roman"/>
          <w:sz w:val="22"/>
          <w:szCs w:val="22"/>
        </w:rPr>
        <w:t xml:space="preserve">PrimeKG leads on link prediction (AUROC 0.947) and multi-hop reasoning (Hits@100 = 0.366), while OpenBioLink achieves the highest neighbourhood retrieval (Recall@100 = 0.523). Hetionet’s limited scope constrains all three task metrics, reinforcing the observation that coverage sets an effective ceiling on downstream utility.</w:t>
      </w:r>
    </w:p>
    <w:p>
      <w:pPr>
        <w:pStyle w:val="Heading2"/>
        <w:spacing w:after="120" w:before="220"/>
      </w:pPr>
      <w:r>
        <w:rPr>
          <w:rFonts w:ascii="Arial" w:cs="Arial" w:eastAsia="Arial" w:hAnsi="Arial"/>
          <w:b/>
          <w:bCs/>
          <w:color w:val="1B4F72"/>
          <w:sz w:val="24"/>
          <w:szCs w:val="24"/>
        </w:rPr>
        <w:t xml:space="preserve">2.4  Generalisation</w:t>
      </w:r>
    </w:p>
    <w:p>
      <w:pPr>
        <w:spacing w:after="160" w:line="276"/>
      </w:pPr>
      <w:r>
        <w:rPr>
          <w:rFonts w:ascii="Times New Roman" w:cs="Times New Roman" w:eastAsia="Times New Roman" w:hAnsi="Times New Roman"/>
          <w:sz w:val="22"/>
          <w:szCs w:val="22"/>
        </w:rPr>
        <w:t xml:space="preserve">Generalisation testing assesses whether inference performance holds across data-sparse diseases, therapeutic domains, and prospective (post-training-cutoff) indications. Table 3 reports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00"/>
        <w:gridCol w:w="2960"/>
      </w:tblGrid>
      <w:tr>
        <w:tc>
          <w:tcPr>
            <w:tcW w:type="dxa" w:w="180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KG</w:t>
            </w:r>
          </w:p>
        </w:tc>
        <w:tc>
          <w:tcPr>
            <w:tcW w:type="dxa" w:w="230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Sparse (Q1 AUROC)</w:t>
            </w:r>
          </w:p>
        </w:tc>
        <w:tc>
          <w:tcPr>
            <w:tcW w:type="dxa" w:w="230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Cross-Domain (CV%)</w:t>
            </w:r>
          </w:p>
        </w:tc>
        <w:tc>
          <w:tcPr>
            <w:tcW w:type="dxa" w:w="2960"/>
            <w:tcBorders>
              <w:top w:val="single" w:color="B0C4DE" w:sz="1"/>
              <w:left w:val="single" w:color="B0C4DE" w:sz="1"/>
              <w:bottom w:val="single" w:color="B0C4DE" w:sz="1"/>
              <w:right w:val="single" w:color="B0C4DE" w:sz="1"/>
            </w:tcBorders>
            <w:shd w:fill="D6EAF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Prospective (AUROC)</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left"/>
            </w:pPr>
            <w:r>
              <w:rPr>
                <w:rFonts w:ascii="Arial" w:cs="Arial" w:eastAsia="Arial" w:hAnsi="Arial"/>
                <w:b/>
                <w:bCs/>
                <w:sz w:val="18"/>
                <w:szCs w:val="18"/>
              </w:rPr>
              <w:t xml:space="preserve">PrimeKG</w:t>
            </w:r>
          </w:p>
        </w:tc>
        <w:tc>
          <w:tcPr>
            <w:tcW w:type="dxa" w:w="23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0.691</w:t>
            </w:r>
          </w:p>
        </w:tc>
        <w:tc>
          <w:tcPr>
            <w:tcW w:type="dxa" w:w="23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c>
          <w:tcPr>
            <w:tcW w:type="dxa" w:w="29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0.834</w:t>
            </w:r>
          </w:p>
        </w:tc>
      </w:tr>
      <w:tr>
        <w:tc>
          <w:tcPr>
            <w:tcW w:type="dxa" w:w="18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left"/>
            </w:pPr>
            <w:r>
              <w:rPr>
                <w:rFonts w:ascii="Arial" w:cs="Arial" w:eastAsia="Arial" w:hAnsi="Arial"/>
                <w:b/>
                <w:bCs/>
                <w:sz w:val="18"/>
                <w:szCs w:val="18"/>
              </w:rPr>
              <w:t xml:space="preserve">Hetionet</w:t>
            </w:r>
          </w:p>
        </w:tc>
        <w:tc>
          <w:tcPr>
            <w:tcW w:type="dxa" w:w="23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0.784</w:t>
            </w:r>
          </w:p>
        </w:tc>
        <w:tc>
          <w:tcPr>
            <w:tcW w:type="dxa" w:w="23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w:t>
            </w:r>
          </w:p>
        </w:tc>
        <w:tc>
          <w:tcPr>
            <w:tcW w:type="dxa" w:w="296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0.650</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left"/>
            </w:pPr>
            <w:r>
              <w:rPr>
                <w:rFonts w:ascii="Arial" w:cs="Arial" w:eastAsia="Arial" w:hAnsi="Arial"/>
                <w:b/>
                <w:bCs/>
                <w:sz w:val="18"/>
                <w:szCs w:val="18"/>
              </w:rPr>
              <w:t xml:space="preserve">DRKG</w:t>
            </w:r>
          </w:p>
        </w:tc>
        <w:tc>
          <w:tcPr>
            <w:tcW w:type="dxa" w:w="23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0.561</w:t>
            </w:r>
          </w:p>
        </w:tc>
        <w:tc>
          <w:tcPr>
            <w:tcW w:type="dxa" w:w="23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c>
          <w:tcPr>
            <w:tcW w:type="dxa" w:w="29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0.905</w:t>
            </w:r>
          </w:p>
        </w:tc>
      </w:tr>
      <w:tr>
        <w:tc>
          <w:tcPr>
            <w:tcW w:type="dxa" w:w="18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left"/>
            </w:pPr>
            <w:r>
              <w:rPr>
                <w:rFonts w:ascii="Arial" w:cs="Arial" w:eastAsia="Arial" w:hAnsi="Arial"/>
                <w:b/>
                <w:bCs/>
                <w:sz w:val="18"/>
                <w:szCs w:val="18"/>
              </w:rPr>
              <w:t xml:space="preserve">OpenBioLink</w:t>
            </w:r>
          </w:p>
        </w:tc>
        <w:tc>
          <w:tcPr>
            <w:tcW w:type="dxa" w:w="23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0.642</w:t>
            </w:r>
          </w:p>
        </w:tc>
        <w:tc>
          <w:tcPr>
            <w:tcW w:type="dxa" w:w="230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9.6%</w:t>
            </w:r>
          </w:p>
        </w:tc>
        <w:tc>
          <w:tcPr>
            <w:tcW w:type="dxa" w:w="2960"/>
            <w:tcBorders>
              <w:top w:val="single" w:color="B0C4DE" w:sz="1"/>
              <w:left w:val="single" w:color="B0C4DE" w:sz="1"/>
              <w:bottom w:val="single" w:color="B0C4DE" w:sz="1"/>
              <w:right w:val="single" w:color="B0C4DE" w:sz="1"/>
            </w:tcBorders>
            <w:shd w:fill="F2F8FD"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0.716</w:t>
            </w:r>
          </w:p>
        </w:tc>
      </w:tr>
    </w:tbl>
    <w:p>
      <w:pPr>
        <w:spacing w:after="200" w:before="80"/>
        <w:jc w:val="center"/>
      </w:pPr>
      <w:r>
        <w:rPr>
          <w:rFonts w:ascii="Arial" w:cs="Arial" w:eastAsia="Arial" w:hAnsi="Arial"/>
          <w:i/>
          <w:iCs/>
          <w:color w:val="555555"/>
          <w:sz w:val="18"/>
          <w:szCs w:val="18"/>
        </w:rPr>
        <w:t xml:space="preserve">Table 3. Generalisation performance across three evaluation settings.</w:t>
      </w:r>
    </w:p>
    <w:p>
      <w:pPr>
        <w:spacing w:after="160" w:line="276"/>
      </w:pPr>
      <w:r>
        <w:rPr>
          <w:rFonts w:ascii="Times New Roman" w:cs="Times New Roman" w:eastAsia="Times New Roman" w:hAnsi="Times New Roman"/>
          <w:sz w:val="22"/>
          <w:szCs w:val="22"/>
        </w:rPr>
        <w:t xml:space="preserve">DRKG shows the lowest cross-domain variance (CV = 1.2%) and the strongest prospective AUROC (0.905), suggesting its structure captures emerging therapeutic signals. PrimeKG balances sparse-entity robustness with strong cross-domain consistency. Hetionet’s sparse-entity performance degrades only 8.2% from well-studied to rare diseases—the most equitable profile—but only two post-cutoff drug–disease pairs fall within its scope, limiting prospective evaluation. DRKG exhibits the steepest sparse-entity penalty (40% degradation), indicating a prevalence bias toward well-annotated diseases.</w:t>
      </w:r>
    </w:p>
    <w:p>
      <w:pPr>
        <w:pStyle w:val="Heading1"/>
        <w:spacing w:after="120" w:before="320"/>
      </w:pPr>
      <w:r>
        <w:rPr>
          <w:rFonts w:ascii="Arial" w:cs="Arial" w:eastAsia="Arial" w:hAnsi="Arial"/>
          <w:b/>
          <w:bCs/>
          <w:color w:val="1B4F72"/>
          <w:sz w:val="28"/>
          <w:szCs w:val="28"/>
        </w:rPr>
        <w:t xml:space="preserve">3  Discussion and Recommendations</w:t>
      </w:r>
    </w:p>
    <w:p>
      <w:pPr>
        <w:spacing w:after="160" w:line="276"/>
      </w:pPr>
      <w:r>
        <w:rPr>
          <w:rFonts w:ascii="Times New Roman" w:cs="Times New Roman" w:eastAsia="Times New Roman" w:hAnsi="Times New Roman"/>
          <w:sz w:val="22"/>
          <w:szCs w:val="22"/>
        </w:rPr>
        <w:t xml:space="preserve">Three cross-cutting insights emerge from this evaluation. First, no single KG dominates all dimensions; each exhibits a distinct profile of strengths and limitations. PrimeKG offers the broadest coverage and strongest aggregate inference, but its trustworthiness lags behind KGs with per-edge provenance. DRKG balances content quality and prospective generalisability but struggles with data-sparse entities. Hetionet’s narrow, curated scope yields exceptional stability and equitable cross-disease performance at the cost of coverage-limited task performance.</w:t>
      </w:r>
    </w:p>
    <w:p>
      <w:pPr>
        <w:spacing w:after="160" w:line="276"/>
      </w:pPr>
      <w:r>
        <w:rPr>
          <w:rFonts w:ascii="Times New Roman" w:cs="Times New Roman" w:eastAsia="Times New Roman" w:hAnsi="Times New Roman"/>
          <w:sz w:val="22"/>
          <w:szCs w:val="22"/>
        </w:rPr>
        <w:t xml:space="preserve">Second, structural quality is necessary but not sufficient for inference. All KGs share strong topological properties (small-world structure, high reachability, robust stability), yet their task performance varies by more than 50% across metrics. This confirms that graph structure alone does not determine predictive utility—entity coverage and relational richness set the effective ceiling.</w:t>
      </w:r>
    </w:p>
    <w:p>
      <w:pPr>
        <w:spacing w:after="160" w:line="276"/>
      </w:pPr>
      <w:r>
        <w:rPr>
          <w:rFonts w:ascii="Times New Roman" w:cs="Times New Roman" w:eastAsia="Times New Roman" w:hAnsi="Times New Roman"/>
          <w:sz w:val="22"/>
          <w:szCs w:val="22"/>
        </w:rPr>
        <w:t xml:space="preserve">Third, trustworthiness represents the most actionable dimension for improvement. Adding per-edge confidence scores and maintaining complete provenance trails would enhance all KGs without requiring changes to their underlying content. The universal absence of uncertainty quantification (0.0 across all KGs) is a notable gap, particularly for translational applications where evidence strength must be weighed alongside prediction scores.</w:t>
      </w:r>
    </w:p>
    <w:p>
      <w:pPr>
        <w:spacing w:after="160" w:line="276"/>
      </w:pPr>
      <w:r>
        <w:rPr>
          <w:rFonts w:ascii="Times New Roman" w:cs="Times New Roman" w:eastAsia="Times New Roman" w:hAnsi="Times New Roman"/>
          <w:sz w:val="22"/>
          <w:szCs w:val="22"/>
        </w:rPr>
        <w:t xml:space="preserve">BioKGSuite is intended as a diagnostic tool rather than a ranking system. Researchers selecting a KG for drug repurposing should match the evaluation profile to their application requirements: broad discovery campaigns may favor PrimeKG’s coverage, while projects requiring auditable evidence chains may prefer DRKG’s per-edge provenance. The seven-dimensional framework provides a structured basis for these decisions and a reproducible baseline for evaluating future KG releases.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BioKGSuite — Evaluation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2026-03-27T12:48:27.597Z</dcterms:created>
  <dcterms:modified xsi:type="dcterms:W3CDTF">2026-03-27T12:48:27.598Z</dcterms:modified>
</cp:coreProperties>
</file>

<file path=docProps/custom.xml><?xml version="1.0" encoding="utf-8"?>
<Properties xmlns="http://schemas.openxmlformats.org/officeDocument/2006/custom-properties" xmlns:vt="http://schemas.openxmlformats.org/officeDocument/2006/docPropsVTypes"/>
</file>