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line="360" w:lineRule="auto"/>
        <w:jc w:val="center"/>
      </w:pPr>
      <w:r>
        <w:rPr>
          <w:rFonts w:ascii="Times New Roman" w:cs="Times New Roman" w:eastAsia="Times New Roman" w:hAnsi="Times New Roman"/>
          <w:b/>
          <w:bCs/>
          <w:caps/>
          <w:sz w:val="28"/>
          <w:szCs w:val="28"/>
        </w:rPr>
        <w:t xml:space="preserve">Capítulo 4: Plan de mercadeo y análisis del entorno</w:t>
      </w:r>
    </w:p>
    <w:p>
      <w:pPr>
        <w:spacing w:after="120" w:before="360" w:line="360" w:lineRule="auto"/>
        <w:jc w:val="left"/>
      </w:pPr>
      <w:r>
        <w:rPr>
          <w:rFonts w:ascii="Times New Roman" w:cs="Times New Roman" w:eastAsia="Times New Roman" w:hAnsi="Times New Roman"/>
          <w:b/>
          <w:bCs/>
          <w:sz w:val="24"/>
          <w:szCs w:val="24"/>
        </w:rPr>
        <w:t xml:space="preserve">4.0 Introducción al capítulo</w:t>
      </w:r>
    </w:p>
    <w:p>
      <w:pPr>
        <w:spacing w:after="200" w:before="0" w:line="360" w:lineRule="auto"/>
        <w:ind w:firstLine="720"/>
        <w:jc w:val="both"/>
      </w:pPr>
      <w:r>
        <w:rPr>
          <w:rFonts w:ascii="Times New Roman" w:cs="Times New Roman" w:eastAsia="Times New Roman" w:hAnsi="Times New Roman"/>
          <w:sz w:val="24"/>
          <w:szCs w:val="24"/>
        </w:rPr>
        <w:t xml:space="preserve">El presente capítulo analiza el entorno competitivo y la viabilidad comercial de RepRight como producto de software orientado al mercado de aplicaciones móviles de fitness. El análisis parte de un ejercicio de benchmarking que posiciona a RepRight frente a las soluciones existentes más relevantes, identificando sus atributos diferenciadores. A continuación, se describen las estrategias de adquisición de usuarios e información para el sistema, seguidas del modelo de negocio estructurado mediante el método Canvas. El capítulo concluye con un presupuesto de desarrollo y operación detallado y el cálculo del retorno sobre la inversión proyectado, con el objetivo de evidenciar la sostenibilidad del proyecto más allá de su alcance académico.</w:t>
      </w:r>
    </w:p>
    <w:p>
      <w:pPr>
        <w:spacing w:after="120" w:before="360" w:line="360" w:lineRule="auto"/>
        <w:jc w:val="left"/>
      </w:pPr>
      <w:r>
        <w:rPr>
          <w:rFonts w:ascii="Times New Roman" w:cs="Times New Roman" w:eastAsia="Times New Roman" w:hAnsi="Times New Roman"/>
          <w:b/>
          <w:bCs/>
          <w:sz w:val="24"/>
          <w:szCs w:val="24"/>
        </w:rPr>
        <w:t xml:space="preserve">4.1 Benchmarking</w:t>
      </w:r>
    </w:p>
    <w:p>
      <w:pPr>
        <w:spacing w:after="200" w:before="0" w:line="360" w:lineRule="auto"/>
        <w:ind w:firstLine="720"/>
        <w:jc w:val="both"/>
      </w:pPr>
      <w:r>
        <w:rPr>
          <w:rFonts w:ascii="Times New Roman" w:cs="Times New Roman" w:eastAsia="Times New Roman" w:hAnsi="Times New Roman"/>
          <w:sz w:val="24"/>
          <w:szCs w:val="24"/>
        </w:rPr>
        <w:t xml:space="preserve">El benchmarking tiene como propósito identificar el posicionamiento de RepRight en relación con las soluciones existentes más relevantes en el mercado de aplicaciones móviles de fitness y análisis del movimiento. La tabla comparativa que se presenta a continuación evalúa un conjunto de funcionalidades clave frente a cuatro categorías de competidores: aplicaciones generalistas de fitness con retroalimentación por IA, soluciones académicas o de investigación con análisis de pose, y aplicaciones de entrenamiento de fuerza sin análisis biomecánico en tiempo real. Los criterios de evaluación se seleccionaron en función de las variables que mayor impacto tienen sobre la capacidad del sistema para prevenir lesiones en el deadlift de forma autónoma.</w:t>
      </w:r>
    </w:p>
    <w:p>
      <w:pPr>
        <w:spacing w:after="80" w:before="360"/>
        <w:jc w:val="left"/>
      </w:pPr>
      <w:r>
        <w:rPr>
          <w:rFonts w:ascii="Times New Roman" w:cs="Times New Roman" w:eastAsia="Times New Roman" w:hAnsi="Times New Roman"/>
          <w:b w:val="false"/>
          <w:bCs w:val="false"/>
          <w:sz w:val="24"/>
          <w:szCs w:val="24"/>
        </w:rPr>
        <w:t xml:space="preserve">Tabla 4</w:t>
      </w:r>
      <w:r>
        <w:rPr>
          <w:rFonts w:ascii="Times New Roman" w:cs="Times New Roman" w:eastAsia="Times New Roman" w:hAnsi="Times New Roman"/>
          <w:i/>
          <w:iCs/>
          <w:sz w:val="24"/>
          <w:szCs w:val="24"/>
        </w:rPr>
        <w:br/>
        <w:t xml:space="preserve">
Análisis comparativo de RepRight frente a soluciones existentes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300"/>
        <w:gridCol w:w="1200"/>
        <w:gridCol w:w="1060"/>
      </w:tblGrid>
      <w:tr>
        <w:trPr>
          <w:tblHeader/>
        </w:trPr>
        <w:tc>
          <w:tcPr>
            <w:tcW w:type="dxa" w:w="20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FFFFFF"/>
                <w:sz w:val="20"/>
                <w:szCs w:val="20"/>
              </w:rPr>
              <w:t xml:space="preserve">Criterio</w:t>
            </w:r>
          </w:p>
        </w:tc>
        <w:tc>
          <w:tcPr>
            <w:tcW w:type="dxa" w:w="14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RepRight</w:t>
            </w:r>
          </w:p>
        </w:tc>
        <w:tc>
          <w:tcPr>
            <w:tcW w:type="dxa" w:w="14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Kemtai / HomeCourt</w:t>
            </w:r>
          </w:p>
        </w:tc>
        <w:tc>
          <w:tcPr>
            <w:tcW w:type="dxa" w:w="13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FormCheck AI</w:t>
            </w:r>
          </w:p>
        </w:tc>
        <w:tc>
          <w:tcPr>
            <w:tcW w:type="dxa" w:w="12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Ko et al. (2024)</w:t>
            </w:r>
          </w:p>
        </w:tc>
        <w:tc>
          <w:tcPr>
            <w:tcW w:type="dxa" w:w="106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Hevy / Strong</w:t>
            </w:r>
          </w:p>
        </w:tc>
      </w:tr>
      <w:tr>
        <w:tc>
          <w:tcPr>
            <w:tcW w:type="dxa" w:w="20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Análisis biomecánico en tiempo real</w:t>
            </w:r>
          </w:p>
        </w:tc>
        <w:tc>
          <w:tcPr>
            <w:tcW w:type="dxa" w:w="1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(ejercicios generales)</w:t>
            </w:r>
          </w:p>
        </w:tc>
        <w:tc>
          <w:tcPr>
            <w:tcW w:type="dxa" w:w="13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(limitado)</w:t>
            </w:r>
          </w:p>
        </w:tc>
        <w:tc>
          <w:tcPr>
            <w:tcW w:type="dxa" w:w="12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(investigación)</w:t>
            </w:r>
          </w:p>
        </w:tc>
        <w:tc>
          <w:tcPr>
            <w:tcW w:type="dxa" w:w="10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Especialización en deadlift</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Parcial</w:t>
            </w:r>
          </w:p>
        </w:tc>
        <w:tc>
          <w:tcPr>
            <w:tcW w:type="dxa" w:w="12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(lab)</w:t>
            </w:r>
          </w:p>
        </w:tc>
        <w:tc>
          <w:tcPr>
            <w:tcW w:type="dxa" w:w="10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Procesamiento 100 % on-device</w:t>
            </w:r>
          </w:p>
        </w:tc>
        <w:tc>
          <w:tcPr>
            <w:tcW w:type="dxa" w:w="1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(nube)</w:t>
            </w:r>
          </w:p>
        </w:tc>
        <w:tc>
          <w:tcPr>
            <w:tcW w:type="dxa" w:w="13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(nube)</w:t>
            </w:r>
          </w:p>
        </w:tc>
        <w:tc>
          <w:tcPr>
            <w:tcW w:type="dxa" w:w="12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(laboratorio)</w:t>
            </w:r>
          </w:p>
        </w:tc>
        <w:tc>
          <w:tcPr>
            <w:tcW w:type="dxa" w:w="10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(logging)</w:t>
            </w:r>
          </w:p>
        </w:tc>
      </w:tr>
      <w:tr>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Sin requerimiento de hardware adicional</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(sensores)</w:t>
            </w:r>
          </w:p>
        </w:tc>
        <w:tc>
          <w:tcPr>
            <w:tcW w:type="dxa" w:w="10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Retroalimentación correctiva diferenciada (crítico/advertencia)</w:t>
            </w:r>
          </w:p>
        </w:tc>
        <w:tc>
          <w:tcPr>
            <w:tcW w:type="dxa" w:w="1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Parcial</w:t>
            </w:r>
          </w:p>
        </w:tc>
        <w:tc>
          <w:tcPr>
            <w:tcW w:type="dxa" w:w="13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Parcial</w:t>
            </w:r>
          </w:p>
        </w:tc>
        <w:tc>
          <w:tcPr>
            <w:tcW w:type="dxa" w:w="12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0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Privacidad total (sin envío de video)</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N/A</w:t>
            </w:r>
          </w:p>
        </w:tc>
        <w:tc>
          <w:tcPr>
            <w:tcW w:type="dxa" w:w="10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Disponible en iOS y Android</w:t>
            </w:r>
          </w:p>
        </w:tc>
        <w:tc>
          <w:tcPr>
            <w:tcW w:type="dxa" w:w="1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2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N/A</w:t>
            </w:r>
          </w:p>
        </w:tc>
        <w:tc>
          <w:tcPr>
            <w:tcW w:type="dxa" w:w="10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Detección de 5 parámetros cinemáticos del deadlift</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(lab)</w:t>
            </w:r>
          </w:p>
        </w:tc>
        <w:tc>
          <w:tcPr>
            <w:tcW w:type="dxa" w:w="10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Registro histórico de sesiones</w:t>
            </w:r>
          </w:p>
        </w:tc>
        <w:tc>
          <w:tcPr>
            <w:tcW w:type="dxa" w:w="1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Parcial</w:t>
            </w:r>
          </w:p>
        </w:tc>
        <w:tc>
          <w:tcPr>
            <w:tcW w:type="dxa" w:w="12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N/A</w:t>
            </w:r>
          </w:p>
        </w:tc>
        <w:tc>
          <w:tcPr>
            <w:tcW w:type="dxa" w:w="10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Orientado a usuarios sin supervisor presencial</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0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Modelo de negocio freemium</w:t>
            </w:r>
          </w:p>
        </w:tc>
        <w:tc>
          <w:tcPr>
            <w:tcW w:type="dxa" w:w="1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(proyectado)</w:t>
            </w:r>
          </w:p>
        </w:tc>
        <w:tc>
          <w:tcPr>
            <w:tcW w:type="dxa" w:w="1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3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2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(académico)</w:t>
            </w:r>
          </w:p>
        </w:tc>
        <w:tc>
          <w:tcPr>
            <w:tcW w:type="dxa" w:w="10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r>
    </w:tbl>
    <w:p>
      <w:pPr>
        <w:spacing w:after="200" w:before="40"/>
        <w:jc w:val="left"/>
      </w:pPr>
      <w:r>
        <w:rPr>
          <w:rFonts w:ascii="Times New Roman" w:cs="Times New Roman" w:eastAsia="Times New Roman" w:hAnsi="Times New Roman"/>
          <w:i/>
          <w:iCs/>
          <w:sz w:val="20"/>
          <w:szCs w:val="20"/>
        </w:rPr>
        <w:t xml:space="preserve">Nota. Elaboración propia. ✓ = funcionalidad presente; ✗ = funcionalidad ausente; Parcial = implementación limitada. Ko et al. (2024) hace referencia al sistema de análisis posturalpara powerlifting desarrollado con YOLOv5 y MediaPipe en contexto de laboratorio.</w:t>
      </w:r>
    </w:p>
    <w:p>
      <w:pPr>
        <w:spacing w:after="200" w:before="0" w:line="360" w:lineRule="auto"/>
        <w:ind w:firstLine="720"/>
        <w:jc w:val="both"/>
      </w:pPr>
      <w:r>
        <w:rPr>
          <w:rFonts w:ascii="Times New Roman" w:cs="Times New Roman" w:eastAsia="Times New Roman" w:hAnsi="Times New Roman"/>
          <w:sz w:val="24"/>
          <w:szCs w:val="24"/>
        </w:rPr>
        <w:t xml:space="preserve">El análisis comparativo evidencia que RepRight ocupa una posición diferenciada en el mercado por la convergencia de tres atributos que no se encuentran combinados en ninguna solución comercial disponible: (1) especialización exclusiva en la biomecánica del deadlift con detección de cinco parámetros cinemáticos críticos sustentados en literatura científica, (2) procesamiento íntegramente on-device mediante MoveNet Lightning vía TensorFlow Lite, que garantiza latencia inferior a 100 ms y privacidad total sin transferencia de video a servidores externos, y (3) retroalimentación correctiva diferenciada que distingue errores críticos de advertencias, facilitando una jerarquización pedagógica del aprendizaje motor. Las soluciones académicas como la de Ko et al. (2024) alcanzan mayor precisión técnica, pero operan en condiciones de laboratorio con sensores especializados, lo que hace inviable su adopción masiva. Las aplicaciones comerciales como Kemtai o FormCheck AI ofrecen análisis general del movimiento, pero carecen de especificidad biomecánica para el deadlift y dependen de infraestructura en nube, comprometiendo privacidad y operabilidad sin conectividad estable.</w:t>
      </w:r>
    </w:p>
    <w:p>
      <w:pPr>
        <w:spacing w:after="120" w:before="360" w:line="360" w:lineRule="auto"/>
        <w:jc w:val="left"/>
      </w:pPr>
      <w:r>
        <w:rPr>
          <w:rFonts w:ascii="Times New Roman" w:cs="Times New Roman" w:eastAsia="Times New Roman" w:hAnsi="Times New Roman"/>
          <w:b/>
          <w:bCs/>
          <w:sz w:val="24"/>
          <w:szCs w:val="24"/>
        </w:rPr>
        <w:t xml:space="preserve">4.2 Mecanismo para poblar información al sistema</w:t>
      </w:r>
    </w:p>
    <w:p>
      <w:pPr>
        <w:spacing w:after="200" w:before="0" w:line="360" w:lineRule="auto"/>
        <w:ind w:firstLine="720"/>
        <w:jc w:val="both"/>
      </w:pPr>
      <w:r>
        <w:rPr>
          <w:rFonts w:ascii="Times New Roman" w:cs="Times New Roman" w:eastAsia="Times New Roman" w:hAnsi="Times New Roman"/>
          <w:sz w:val="24"/>
          <w:szCs w:val="24"/>
        </w:rPr>
        <w:t xml:space="preserve">La estrategia de adquisición de usuarios y de generación de datos en el sistema RepRight opera en dos dimensiones interrelacionadas: el crecimiento de la base de usuarios y la acumulación de datos de uso que retroalimentan la mejora continua del producto. Ambas dimensiones son interdependientes, dado que la utilidad del sistema para el usuario individual aumenta con el uso sostenido, y los datos agregados anonimizados —con consentimiento explícito— pueden informar refinamientos futuros de los umbrales biomecánicos.</w:t>
      </w:r>
    </w:p>
    <w:p>
      <w:pPr>
        <w:spacing w:after="80" w:before="240" w:line="360" w:lineRule="auto"/>
        <w:jc w:val="left"/>
      </w:pPr>
      <w:r>
        <w:rPr>
          <w:rFonts w:ascii="Times New Roman" w:cs="Times New Roman" w:eastAsia="Times New Roman" w:hAnsi="Times New Roman"/>
          <w:b/>
          <w:bCs/>
          <w:i w:val="false"/>
          <w:iCs w:val="false"/>
          <w:sz w:val="24"/>
          <w:szCs w:val="24"/>
        </w:rPr>
        <w:t xml:space="preserve">4.2.1 Estrategias de adquisición orgánica</w:t>
      </w:r>
    </w:p>
    <w:p>
      <w:pPr>
        <w:spacing w:after="200" w:before="0" w:line="360" w:lineRule="auto"/>
        <w:ind w:firstLine="720"/>
        <w:jc w:val="both"/>
      </w:pPr>
      <w:r>
        <w:rPr>
          <w:rFonts w:ascii="Times New Roman" w:cs="Times New Roman" w:eastAsia="Times New Roman" w:hAnsi="Times New Roman"/>
          <w:sz w:val="24"/>
          <w:szCs w:val="24"/>
        </w:rPr>
        <w:t xml:space="preserve">La estrategia primaria de adquisición se fundamenta en la distribución gratuita a través de las tiendas oficiales App Store (Apple) y Google Play (Alphabet), bajo un modelo freemium que permite a los usuarios acceder a las funcionalidades de análisis en tiempo real sin barrera económica de entrada. La versión gratuita incluye análisis ilimitado de sesiones, retroalimentación en tiempo real y registro histórico básico. Las funcionalidades premium —reportes avanzados de progresión, exportación de datos y configuración de metas— se ofrecerán mediante suscripción mensual proyectada en USD 9.99.</w:t>
      </w:r>
    </w:p>
    <w:p>
      <w:pPr>
        <w:spacing w:after="200" w:before="0" w:line="360" w:lineRule="auto"/>
        <w:ind w:firstLine="720"/>
        <w:jc w:val="both"/>
      </w:pPr>
      <w:r>
        <w:rPr>
          <w:rFonts w:ascii="Times New Roman" w:cs="Times New Roman" w:eastAsia="Times New Roman" w:hAnsi="Times New Roman"/>
          <w:sz w:val="24"/>
          <w:szCs w:val="24"/>
        </w:rPr>
        <w:t xml:space="preserve">Como canal complementario, se contempla la colaboración con comunidades de entrenamiento de fuerza en plataformas digitales (YouTube, Instagram, TikTok) a través de creadores de contenido especializados en powerlifting y levantamiento olímpico. Estos canales representan audiencias de alto valor por su predisposición hacia la mejora técnica y su disposición a adoptar herramientas de análisis del movimiento. La estrategia de contenido generado por el usuario (UGC) —que consiste en que los propios usuarios compartan capturas o clips de sus análisis— opera como mecanismo de difusión viral de bajo costo.</w:t>
      </w:r>
    </w:p>
    <w:p>
      <w:pPr>
        <w:spacing w:after="80" w:before="240" w:line="360" w:lineRule="auto"/>
        <w:jc w:val="left"/>
      </w:pPr>
      <w:r>
        <w:rPr>
          <w:rFonts w:ascii="Times New Roman" w:cs="Times New Roman" w:eastAsia="Times New Roman" w:hAnsi="Times New Roman"/>
          <w:b/>
          <w:bCs/>
          <w:i w:val="false"/>
          <w:iCs w:val="false"/>
          <w:sz w:val="24"/>
          <w:szCs w:val="24"/>
        </w:rPr>
        <w:t xml:space="preserve">4.2.2 Estrategias de adquisición institucional (B2B)</w:t>
      </w:r>
    </w:p>
    <w:p>
      <w:pPr>
        <w:spacing w:after="200" w:before="0" w:line="360" w:lineRule="auto"/>
        <w:ind w:firstLine="720"/>
        <w:jc w:val="both"/>
      </w:pPr>
      <w:r>
        <w:rPr>
          <w:rFonts w:ascii="Times New Roman" w:cs="Times New Roman" w:eastAsia="Times New Roman" w:hAnsi="Times New Roman"/>
          <w:sz w:val="24"/>
          <w:szCs w:val="24"/>
        </w:rPr>
        <w:t xml:space="preserve">En el segmento institucional, se proyecta el establecimiento de acuerdos de licenciamiento con gimnasios comerciales que integren el acceso a RepRight como valor diferenciador en sus paquetes de membresía. Esta modalidad genera ingresos recurrentes por licencias institucionales, que se proyectan en el presupuesto de la Sección 4.4, a la vez que expone el producto a usuarios finales en condiciones reales de entrenamiento. Los programas de bienestar corporativo representan un segundo vector B2B, dado que empleadores en sectores de alta demanda física pueden subsidiar suscripciones como componente de estrategias de prevención de lesiones y reducción de costos en seguros de salud.</w:t>
      </w:r>
    </w:p>
    <w:p>
      <w:pPr>
        <w:spacing w:after="80" w:before="240" w:line="360" w:lineRule="auto"/>
        <w:jc w:val="left"/>
      </w:pPr>
      <w:r>
        <w:rPr>
          <w:rFonts w:ascii="Times New Roman" w:cs="Times New Roman" w:eastAsia="Times New Roman" w:hAnsi="Times New Roman"/>
          <w:b/>
          <w:bCs/>
          <w:i w:val="false"/>
          <w:iCs w:val="false"/>
          <w:sz w:val="24"/>
          <w:szCs w:val="24"/>
        </w:rPr>
        <w:t xml:space="preserve">4.2.3 Poblamiento de datos para mejora del sistema</w:t>
      </w:r>
    </w:p>
    <w:p>
      <w:pPr>
        <w:spacing w:after="200" w:before="0" w:line="360" w:lineRule="auto"/>
        <w:ind w:firstLine="720"/>
        <w:jc w:val="both"/>
      </w:pPr>
      <w:r>
        <w:rPr>
          <w:rFonts w:ascii="Times New Roman" w:cs="Times New Roman" w:eastAsia="Times New Roman" w:hAnsi="Times New Roman"/>
          <w:sz w:val="24"/>
          <w:szCs w:val="24"/>
        </w:rPr>
        <w:t xml:space="preserve">RepRight opera con un modelo de privacidad total por diseño: los datos de pose se procesan exclusivamente en el dispositivo y no se transmiten a servidores externos. Sin embargo, la mejora continua de los algoritmos de detección puede nutrirse de dos fuentes de datos consentidas: (1) métricas de uso anonimizadas —frecuencia de sesiones, distribución de errores detectados, tasas de adherencia— que el usuario puede optar por compartir con fines de mejora del producto, y (2) datos de la fase de validación académica, que comprende 15 participantes bajo protocolo ético aprobado por el Comité de Ética de UNIBE. Estos conjuntos de datos fundamentan la calibración de umbrales biomecánicos y la evaluación de la representatividad del comportamiento de usuarios intermedios en el contexto dominicano.</w:t>
      </w:r>
    </w:p>
    <w:p>
      <w:pPr>
        <w:spacing w:after="120" w:before="360" w:line="360" w:lineRule="auto"/>
        <w:jc w:val="left"/>
      </w:pPr>
      <w:r>
        <w:rPr>
          <w:rFonts w:ascii="Times New Roman" w:cs="Times New Roman" w:eastAsia="Times New Roman" w:hAnsi="Times New Roman"/>
          <w:b/>
          <w:bCs/>
          <w:sz w:val="24"/>
          <w:szCs w:val="24"/>
        </w:rPr>
        <w:t xml:space="preserve">4.3 Modelo de negocio (Método Canvas)</w:t>
      </w:r>
    </w:p>
    <w:p>
      <w:pPr>
        <w:spacing w:after="200" w:before="0" w:line="360" w:lineRule="auto"/>
        <w:ind w:firstLine="720"/>
        <w:jc w:val="both"/>
      </w:pPr>
      <w:r>
        <w:rPr>
          <w:rFonts w:ascii="Times New Roman" w:cs="Times New Roman" w:eastAsia="Times New Roman" w:hAnsi="Times New Roman"/>
          <w:sz w:val="24"/>
          <w:szCs w:val="24"/>
        </w:rPr>
        <w:t xml:space="preserve">El modelo de negocio Canvas de RepRight sintetiza los nueve bloques que estructuran la propuesta de valor y la lógica de generación de ingresos. La tabla siguiente presenta cada bloque con su contenido específico para el contexto del proyecto.</w:t>
      </w:r>
    </w:p>
    <w:p>
      <w:pPr>
        <w:spacing w:after="80" w:before="360"/>
        <w:jc w:val="left"/>
      </w:pPr>
      <w:r>
        <w:rPr>
          <w:rFonts w:ascii="Times New Roman" w:cs="Times New Roman" w:eastAsia="Times New Roman" w:hAnsi="Times New Roman"/>
          <w:b w:val="false"/>
          <w:bCs w:val="false"/>
          <w:sz w:val="24"/>
          <w:szCs w:val="24"/>
        </w:rPr>
        <w:t xml:space="preserve">Tabla 5</w:t>
      </w:r>
      <w:r>
        <w:rPr>
          <w:rFonts w:ascii="Times New Roman" w:cs="Times New Roman" w:eastAsia="Times New Roman" w:hAnsi="Times New Roman"/>
          <w:i/>
          <w:iCs/>
          <w:sz w:val="24"/>
          <w:szCs w:val="24"/>
        </w:rPr>
        <w:br/>
        <w:t xml:space="preserve">
Modelo de negocio Canvas – RepRight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FFFFFF"/>
                <w:sz w:val="20"/>
                <w:szCs w:val="20"/>
              </w:rPr>
              <w:t xml:space="preserve">Bloque Canvas</w:t>
            </w:r>
          </w:p>
        </w:tc>
        <w:tc>
          <w:tcPr>
            <w:tcW w:type="dxa" w:w="696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FFFFFF"/>
                <w:sz w:val="20"/>
                <w:szCs w:val="20"/>
              </w:rPr>
              <w:t xml:space="preserve">Contenido para RepRight</w:t>
            </w:r>
          </w:p>
        </w:tc>
      </w:tr>
      <w:tr>
        <w:tc>
          <w:tcPr>
            <w:tcW w:type="dxa" w:w="2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Segmentos de clientes</w:t>
            </w:r>
          </w:p>
        </w:tc>
        <w:tc>
          <w:tcPr>
            <w:tcW w:type="dxa" w:w="69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Adultos de 18–45 años que practican entrenamiento de fuerza en gimnasios sin supervisor presencial. Subgrupos: entusiastas del fitness autodidactas, atletas recreativos de powerlifting, gimnasios comerciales (B2B) y programas de wellness corporativo.</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Propuesta de valor</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Sistema de análisis biomecánico del deadlift en tiempo real, 100 % on-device, sin costo de hardware adicional, con retroalimentación correctiva diferenciada y privacidad total. Democratiza el acceso a análisis de movimiento especializado previamente reservado a atletas con entrenador certificado.</w:t>
            </w:r>
          </w:p>
        </w:tc>
      </w:tr>
      <w:tr>
        <w:tc>
          <w:tcPr>
            <w:tcW w:type="dxa" w:w="2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Canales</w:t>
            </w:r>
          </w:p>
        </w:tc>
        <w:tc>
          <w:tcPr>
            <w:tcW w:type="dxa" w:w="69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App Store (iOS) y Google Play (Android) como canales primarios de distribución. Comunidades digitales de fitness (YouTube, Instagram, TikTok) para adquisición orgánica. Acuerdos directos con gimnasios para distribución institucional.</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Relaciones con clientes</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Autoservicio mediante interfaz de usuario intuitiva. Notificaciones push con análisis de progresión. Comunidad de usuarios (foros en app, versión futura). Soporte por correo para usuarios premium y socios institucionales.</w:t>
            </w:r>
          </w:p>
        </w:tc>
      </w:tr>
      <w:tr>
        <w:tc>
          <w:tcPr>
            <w:tcW w:type="dxa" w:w="2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Fuentes de ingresos</w:t>
            </w:r>
          </w:p>
        </w:tc>
        <w:tc>
          <w:tcPr>
            <w:tcW w:type="dxa" w:w="69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Suscripción mensual individual (USD 9.99/mes). Suscripción anual con descuento (USD 79.99/año). Licencias institucionales para gimnasios (USD 49.99–199.99/mes según número de miembros). Programas de wellness corporativo (contrato anual negociado).</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Recursos clave</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Codebase React Native multiplataforma. Modelo MoveNet Lightning (.tflite) con algoritmos de análisis biomecánico propietarios. Propiedad intelectual de los algoritmos de detección de errores y scoring. Capital humano del equipo de desarrollo.</w:t>
            </w:r>
          </w:p>
        </w:tc>
      </w:tr>
      <w:tr>
        <w:tc>
          <w:tcPr>
            <w:tcW w:type="dxa" w:w="2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Actividades clave</w:t>
            </w:r>
          </w:p>
        </w:tc>
        <w:tc>
          <w:tcPr>
            <w:tcW w:type="dxa" w:w="69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Desarrollo y mantenimiento de la aplicación móvil. Calibración y actualización de modelos de detección. Adquisición y retención de usuarios. Validación clínica continua con entrenadores certificados.</w:t>
            </w:r>
          </w:p>
        </w:tc>
      </w:tr>
      <w:tr>
        <w:tc>
          <w:tcPr>
            <w:tcW w:type="dxa" w:w="24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Socios clave</w:t>
            </w:r>
          </w:p>
        </w:tc>
        <w:tc>
          <w:tcPr>
            <w:tcW w:type="dxa" w:w="69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Apple y Google como plataformas de distribución. Google (TensorFlow/LiteRT) como proveedor de infraestructura de inferencia. Gimnasios y entrenadores certificados como validadores y canales institucionales. Fondos de inversión en etapas de crecimiento.</w:t>
            </w:r>
          </w:p>
        </w:tc>
      </w:tr>
      <w:tr>
        <w:tc>
          <w:tcPr>
            <w:tcW w:type="dxa" w:w="24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Estructura de costos</w:t>
            </w:r>
          </w:p>
        </w:tc>
        <w:tc>
          <w:tcPr>
            <w:tcW w:type="dxa" w:w="69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Desarrollo de software (principal inversión inicial). Registro en App Store (USD 99/año) y Google Play (USD 25 único). Marketing digital y creación de contenido. Soporte técnico y mantenimiento. Costos de personal en etapa de escalamiento. La ausencia de infraestructura de servidores para inferencia mantiene costos operacionales variables cercanos a cero.</w:t>
            </w:r>
          </w:p>
        </w:tc>
      </w:tr>
    </w:tbl>
    <w:p>
      <w:pPr>
        <w:spacing w:after="200" w:before="40"/>
        <w:jc w:val="left"/>
      </w:pPr>
      <w:r>
        <w:rPr>
          <w:rFonts w:ascii="Times New Roman" w:cs="Times New Roman" w:eastAsia="Times New Roman" w:hAnsi="Times New Roman"/>
          <w:i/>
          <w:iCs/>
          <w:sz w:val="20"/>
          <w:szCs w:val="20"/>
        </w:rPr>
        <w:t xml:space="preserve">Nota. Elaboración propia basada en el marco Canvas de Osterwalder y Pigneur (2010).</w:t>
      </w:r>
    </w:p>
    <w:p>
      <w:pPr>
        <w:spacing w:after="120" w:before="360" w:line="360" w:lineRule="auto"/>
        <w:jc w:val="left"/>
      </w:pPr>
      <w:r>
        <w:rPr>
          <w:rFonts w:ascii="Times New Roman" w:cs="Times New Roman" w:eastAsia="Times New Roman" w:hAnsi="Times New Roman"/>
          <w:b/>
          <w:bCs/>
          <w:sz w:val="24"/>
          <w:szCs w:val="24"/>
        </w:rPr>
        <w:t xml:space="preserve">4.4 Presupuesto</w:t>
      </w:r>
    </w:p>
    <w:p>
      <w:pPr>
        <w:spacing w:after="200" w:before="0" w:line="360" w:lineRule="auto"/>
        <w:ind w:firstLine="720"/>
        <w:jc w:val="both"/>
      </w:pPr>
      <w:r>
        <w:rPr>
          <w:rFonts w:ascii="Times New Roman" w:cs="Times New Roman" w:eastAsia="Times New Roman" w:hAnsi="Times New Roman"/>
          <w:sz w:val="24"/>
          <w:szCs w:val="24"/>
        </w:rPr>
        <w:t xml:space="preserve">El presupuesto de RepRight se estructura en dos fases: (1) la fase de desarrollo y validación académica, comprendida entre enero y agosto de 2026, que abarca el período de elaboración del prototipo funcional y la ejecución del estudio de validación con participantes, y (2) una proyección de la fase de lanzamiento y operación inicial en el mercado (año 1 post-lanzamiento). Todos los valores se expresan en dólares estadounidenses (USD). La tasa de conversión de referencia utilizada para partidas cotizadas originalmente en pesos dominicanos es de DOP 59.50 por USD, correspondiente al tipo de cambio de referencia del Banco Central de la República Dominicana al cierre del primer trimestre de 2026.</w:t>
      </w:r>
    </w:p>
    <w:p>
      <w:pPr>
        <w:spacing w:after="80" w:before="240" w:line="360" w:lineRule="auto"/>
        <w:jc w:val="left"/>
      </w:pPr>
      <w:r>
        <w:rPr>
          <w:rFonts w:ascii="Times New Roman" w:cs="Times New Roman" w:eastAsia="Times New Roman" w:hAnsi="Times New Roman"/>
          <w:b/>
          <w:bCs/>
          <w:i w:val="false"/>
          <w:iCs w:val="false"/>
          <w:sz w:val="24"/>
          <w:szCs w:val="24"/>
        </w:rPr>
        <w:t xml:space="preserve">4.4.1 Fase de desarrollo y validación (enero–agosto 2026)</w:t>
      </w:r>
    </w:p>
    <w:p>
      <w:pPr>
        <w:spacing w:after="80" w:before="360"/>
        <w:jc w:val="left"/>
      </w:pPr>
      <w:r>
        <w:rPr>
          <w:rFonts w:ascii="Times New Roman" w:cs="Times New Roman" w:eastAsia="Times New Roman" w:hAnsi="Times New Roman"/>
          <w:b w:val="false"/>
          <w:bCs w:val="false"/>
          <w:sz w:val="24"/>
          <w:szCs w:val="24"/>
        </w:rPr>
        <w:t xml:space="preserve">Tabla 6</w:t>
      </w:r>
      <w:r>
        <w:rPr>
          <w:rFonts w:ascii="Times New Roman" w:cs="Times New Roman" w:eastAsia="Times New Roman" w:hAnsi="Times New Roman"/>
          <w:i/>
          <w:iCs/>
          <w:sz w:val="24"/>
          <w:szCs w:val="24"/>
        </w:rPr>
        <w:br/>
        <w:t xml:space="preserve">
Presupuesto de la fase de desarrollo y validación académica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FFFFFF"/>
                <w:sz w:val="20"/>
                <w:szCs w:val="20"/>
              </w:rPr>
              <w:t xml:space="preserve">Partida</w:t>
            </w:r>
          </w:p>
        </w:tc>
        <w:tc>
          <w:tcPr>
            <w:tcW w:type="dxa" w:w="16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Cantidad / Unidad</w:t>
            </w:r>
          </w:p>
        </w:tc>
        <w:tc>
          <w:tcPr>
            <w:tcW w:type="dxa" w:w="16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Costo unitario (USD)</w:t>
            </w:r>
          </w:p>
        </w:tc>
        <w:tc>
          <w:tcPr>
            <w:tcW w:type="dxa" w:w="16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Total (USD)</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Recursos humanos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Horas de desarrollo (3 ingenieros × 640 h c/u × USD 0.00*)</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1,920 h</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0.00</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0.00</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Recursos tecnológicos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Dispositivos de prueba (2 smartphones gama media, promediado entre equipo existente)</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 unidades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250.00</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500.00</w:t>
            </w:r>
          </w:p>
        </w:tc>
      </w:tr>
      <w:tr>
        <w:tc>
          <w:tcPr>
            <w:tcW w:type="dxa" w:w="4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Cuentas de desarrollador (Apple Developer Program)</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 cuenta/año</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99.00</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99.00</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Cuentas de desarrollador (Google Play)</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 cuenta (único)</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25.00</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25.00</w:t>
            </w:r>
          </w:p>
        </w:tc>
      </w:tr>
      <w:tr>
        <w:tc>
          <w:tcPr>
            <w:tcW w:type="dxa" w:w="4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Servicios de nube para CI/CD (GitHub Actions — tier gratuito)</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 meses</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0.00</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0.00</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Recolección de datos / validación</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r>
      <w:tr>
        <w:tc>
          <w:tcPr>
            <w:tcW w:type="dxa" w:w="4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Honorario entrenadores certificados para validación (2 evaluadores × 4 sesiones)</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 sesiones</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35.00</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280.00</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Incentivo participantes del estudio (15 × RD$ 300 ≈ USD 5.04 c/u)</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 participantes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5.04</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75.60</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Materiales e insumos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Impresión de instrumentos y consentimientos informados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 sets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0.50</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7.50</w:t>
            </w:r>
          </w:p>
        </w:tc>
      </w:tr>
      <w:tr>
        <w:tc>
          <w:tcPr>
            <w:tcW w:type="dxa" w:w="4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Transporte para recolección de datos en gimnasios</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 visitas</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5.00</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40.00</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Misceláneos y contingencia (5 % del total)</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51.36</w:t>
            </w:r>
          </w:p>
        </w:tc>
      </w:tr>
      <w:tr>
        <w:tc>
          <w:tcPr>
            <w:tcW w:type="dxa" w:w="4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TOTAL FASE DESARROLLO</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1,078.46</w:t>
            </w:r>
          </w:p>
        </w:tc>
      </w:tr>
    </w:tbl>
    <w:p>
      <w:pPr>
        <w:spacing w:after="200" w:before="40"/>
        <w:jc w:val="left"/>
      </w:pPr>
      <w:r>
        <w:rPr>
          <w:rFonts w:ascii="Times New Roman" w:cs="Times New Roman" w:eastAsia="Times New Roman" w:hAnsi="Times New Roman"/>
          <w:i/>
          <w:iCs/>
          <w:sz w:val="20"/>
          <w:szCs w:val="20"/>
        </w:rPr>
        <w:t xml:space="preserve">Nota. Elaboración propia. * El costo de horas de desarrollo se registra como USD 0.00 dado que el equipo de desarrollo está conformado por los propios autores del proyecto académico, cuya labor constituye la contribución en especie del equipo. El costo de oportunidad estimado, si se valorara a tarifa de mercado junior (USD 15/h), ascendería a USD 28,800, lo que ilustra el valor real del trabajo aportado.</w:t>
      </w:r>
    </w:p>
    <w:p>
      <w:pPr>
        <w:spacing w:after="80" w:before="240" w:line="360" w:lineRule="auto"/>
        <w:jc w:val="left"/>
      </w:pPr>
      <w:r>
        <w:rPr>
          <w:rFonts w:ascii="Times New Roman" w:cs="Times New Roman" w:eastAsia="Times New Roman" w:hAnsi="Times New Roman"/>
          <w:b/>
          <w:bCs/>
          <w:i w:val="false"/>
          <w:iCs w:val="false"/>
          <w:sz w:val="24"/>
          <w:szCs w:val="24"/>
        </w:rPr>
        <w:t xml:space="preserve">4.4.2 Proyección fase de lanzamiento (año 1 post-defensa)</w:t>
      </w:r>
    </w:p>
    <w:p>
      <w:pPr>
        <w:spacing w:after="80" w:before="360"/>
        <w:jc w:val="left"/>
      </w:pPr>
      <w:r>
        <w:rPr>
          <w:rFonts w:ascii="Times New Roman" w:cs="Times New Roman" w:eastAsia="Times New Roman" w:hAnsi="Times New Roman"/>
          <w:b w:val="false"/>
          <w:bCs w:val="false"/>
          <w:sz w:val="24"/>
          <w:szCs w:val="24"/>
        </w:rPr>
        <w:t xml:space="preserve">Tabla 7</w:t>
      </w:r>
      <w:r>
        <w:rPr>
          <w:rFonts w:ascii="Times New Roman" w:cs="Times New Roman" w:eastAsia="Times New Roman" w:hAnsi="Times New Roman"/>
          <w:i/>
          <w:iCs/>
          <w:sz w:val="24"/>
          <w:szCs w:val="24"/>
        </w:rPr>
        <w:br/>
        <w:t xml:space="preserve">
Presupuesto proyectado del primer año de operación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FFFFFF"/>
                <w:sz w:val="20"/>
                <w:szCs w:val="20"/>
              </w:rPr>
              <w:t xml:space="preserve">Partida</w:t>
            </w:r>
          </w:p>
        </w:tc>
        <w:tc>
          <w:tcPr>
            <w:tcW w:type="dxa" w:w="16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Cantidad / Unidad</w:t>
            </w:r>
          </w:p>
        </w:tc>
        <w:tc>
          <w:tcPr>
            <w:tcW w:type="dxa" w:w="16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Costo unitario (USD)</w:t>
            </w:r>
          </w:p>
        </w:tc>
        <w:tc>
          <w:tcPr>
            <w:tcW w:type="dxa" w:w="16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Total (USD)</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Desarrollo y mantenimiento</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Desarrollo de nuevas funcionalidades premium (200 h/año)</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200 h</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15.00</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3,000.00</w:t>
            </w:r>
          </w:p>
        </w:tc>
      </w:tr>
      <w:tr>
        <w:tc>
          <w:tcPr>
            <w:tcW w:type="dxa" w:w="4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Corrección de bugs y soporte técnico (estimado)</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anual</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600.00</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Plataformas y distribución</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r>
      <w:tr>
        <w:tc>
          <w:tcPr>
            <w:tcW w:type="dxa" w:w="4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Apple Developer Program (renovación anual)</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 cuenta</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99.00</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99.00</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Google Play (ya pagado, no recurrente)</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0.00</w:t>
            </w:r>
          </w:p>
        </w:tc>
      </w:tr>
      <w:tr>
        <w:tc>
          <w:tcPr>
            <w:tcW w:type="dxa" w:w="4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Hosting y servicios (analytics, crash reporting — Firebase Spark)</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 meses</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0.00</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0.00</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Marketing y adquisición de usuarios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r>
      <w:tr>
        <w:tc>
          <w:tcPr>
            <w:tcW w:type="dxa" w:w="4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Publicidad en redes sociales (Meta Ads, TikTok Ads)</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 meses</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83.33</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1,000.00</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Contenido (producción de videos demostrativos)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 videos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75.00</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300.00</w:t>
            </w:r>
          </w:p>
        </w:tc>
      </w:tr>
      <w:tr>
        <w:tc>
          <w:tcPr>
            <w:tcW w:type="dxa" w:w="4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Colaboraciones con creadores de contenido fitness</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 acuerdos</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125.00</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500.00</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Operaciones y administración</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r>
      <w:tr>
        <w:tc>
          <w:tcPr>
            <w:tcW w:type="dxa" w:w="4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Servicios legales (registro de marca, términos de uso)</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único</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500.00</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Herramientas de productividad y colaboración</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 meses</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15.00</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180.00</w:t>
            </w:r>
          </w:p>
        </w:tc>
      </w:tr>
      <w:tr>
        <w:tc>
          <w:tcPr>
            <w:tcW w:type="dxa" w:w="4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Contingencia (8 % del subtotal)</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494.32</w:t>
            </w:r>
          </w:p>
        </w:tc>
      </w:tr>
      <w:tr>
        <w:tc>
          <w:tcPr>
            <w:tcW w:type="dxa" w:w="4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TOTAL AÑO 1 OPERACIÓN</w:t>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6,673.32</w:t>
            </w:r>
          </w:p>
        </w:tc>
      </w:tr>
    </w:tbl>
    <w:p>
      <w:pPr>
        <w:spacing w:after="200" w:before="40"/>
        <w:jc w:val="left"/>
      </w:pPr>
      <w:r>
        <w:rPr>
          <w:rFonts w:ascii="Times New Roman" w:cs="Times New Roman" w:eastAsia="Times New Roman" w:hAnsi="Times New Roman"/>
          <w:i/>
          <w:iCs/>
          <w:sz w:val="20"/>
          <w:szCs w:val="20"/>
        </w:rPr>
        <w:t xml:space="preserve">Nota. Elaboración propia. Los valores corresponden a proyecciones conservadoras basadas en tarifas de mercado vigentes al primer trimestre de 2026. El modelo de inferencia on-device elimina el costo operacional variable de servidores de GPU en nube, que en soluciones equivalentes basadas en nube puede oscilar entre USD 500 y USD 2,000 mensuales según volumen de solicitudes.</w:t>
      </w:r>
    </w:p>
    <w:p>
      <w:pPr>
        <w:spacing w:after="120" w:before="360" w:line="360" w:lineRule="auto"/>
        <w:jc w:val="left"/>
      </w:pPr>
      <w:r>
        <w:rPr>
          <w:rFonts w:ascii="Times New Roman" w:cs="Times New Roman" w:eastAsia="Times New Roman" w:hAnsi="Times New Roman"/>
          <w:b/>
          <w:bCs/>
          <w:sz w:val="24"/>
          <w:szCs w:val="24"/>
        </w:rPr>
        <w:t xml:space="preserve">4.5 Retorno de la Inversión (ROI)</w:t>
      </w:r>
    </w:p>
    <w:p>
      <w:pPr>
        <w:spacing w:after="200" w:before="0" w:line="360" w:lineRule="auto"/>
        <w:ind w:firstLine="720"/>
        <w:jc w:val="both"/>
      </w:pPr>
      <w:r>
        <w:rPr>
          <w:rFonts w:ascii="Times New Roman" w:cs="Times New Roman" w:eastAsia="Times New Roman" w:hAnsi="Times New Roman"/>
          <w:sz w:val="24"/>
          <w:szCs w:val="24"/>
        </w:rPr>
        <w:t xml:space="preserve">El retorno sobre la inversión se calcula mediante la fórmula estándar ROI = (Ingresos – Inversión) / Inversión, expresada como porcentaje. Para efectos de proyección, se establecen dos escenarios: uno conservador y uno moderado, correspondientes al primer año de operación post-lanzamiento. La inversión de referencia para el cálculo incluye tanto el costo real de la fase de desarrollo (USD 1,078.46) como el presupuesto operacional del año 1 (USD 6,673.32), totalizando USD 7,751.78 de inversión efectiva en el período.</w:t>
      </w:r>
    </w:p>
    <w:p>
      <w:pPr>
        <w:spacing w:after="80" w:before="240" w:line="360" w:lineRule="auto"/>
        <w:jc w:val="left"/>
      </w:pPr>
      <w:r>
        <w:rPr>
          <w:rFonts w:ascii="Times New Roman" w:cs="Times New Roman" w:eastAsia="Times New Roman" w:hAnsi="Times New Roman"/>
          <w:b/>
          <w:bCs/>
          <w:i w:val="false"/>
          <w:iCs w:val="false"/>
          <w:sz w:val="24"/>
          <w:szCs w:val="24"/>
        </w:rPr>
        <w:t xml:space="preserve">4.5.1 Proyección de ingresos</w:t>
      </w:r>
    </w:p>
    <w:p>
      <w:pPr>
        <w:spacing w:after="200" w:before="0" w:line="360" w:lineRule="auto"/>
        <w:ind w:firstLine="720"/>
        <w:jc w:val="both"/>
      </w:pPr>
      <w:r>
        <w:rPr>
          <w:rFonts w:ascii="Times New Roman" w:cs="Times New Roman" w:eastAsia="Times New Roman" w:hAnsi="Times New Roman"/>
          <w:sz w:val="24"/>
          <w:szCs w:val="24"/>
        </w:rPr>
        <w:t xml:space="preserve">Las proyecciones de ingresos se basan en tasas de conversión y retención conservadoras, sustentadas en benchmarks del sector de aplicaciones de fitness de nicho. El mercado global de aplicaciones de fitness superó los USD 12.12 billones en 2025 y proyecta alcanzar USD 33.58 billones en 2033, con una tasa de crecimiento compuesto anual (CAGR) del 13.40 % (Grand View Research, 2026). El segmento de entrenamiento de fuerza representa aproximadamente el 15 % del total de usuarios activos de aplicaciones de fitness (Grand View Research, 2026).</w:t>
      </w:r>
    </w:p>
    <w:p>
      <w:pPr>
        <w:spacing w:after="80" w:before="360"/>
        <w:jc w:val="left"/>
      </w:pPr>
      <w:r>
        <w:rPr>
          <w:rFonts w:ascii="Times New Roman" w:cs="Times New Roman" w:eastAsia="Times New Roman" w:hAnsi="Times New Roman"/>
          <w:b w:val="false"/>
          <w:bCs w:val="false"/>
          <w:sz w:val="24"/>
          <w:szCs w:val="24"/>
        </w:rPr>
        <w:t xml:space="preserve">Tabla 8</w:t>
      </w:r>
      <w:r>
        <w:rPr>
          <w:rFonts w:ascii="Times New Roman" w:cs="Times New Roman" w:eastAsia="Times New Roman" w:hAnsi="Times New Roman"/>
          <w:i/>
          <w:iCs/>
          <w:sz w:val="24"/>
          <w:szCs w:val="24"/>
        </w:rPr>
        <w:br/>
        <w:t xml:space="preserve">
Proyección de ingresos a 12 meses — escenarios conservador y moderado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rPr>
          <w:tblHeader/>
        </w:trPr>
        <w:tc>
          <w:tcPr>
            <w:tcW w:type="dxa" w:w="356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FFFFFF"/>
                <w:sz w:val="20"/>
                <w:szCs w:val="20"/>
              </w:rPr>
              <w:t xml:space="preserve">Parámetro</w:t>
            </w:r>
          </w:p>
        </w:tc>
        <w:tc>
          <w:tcPr>
            <w:tcW w:type="dxa" w:w="29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Escenario conservador</w:t>
            </w:r>
          </w:p>
        </w:tc>
        <w:tc>
          <w:tcPr>
            <w:tcW w:type="dxa" w:w="29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Escenario moderado</w:t>
            </w:r>
          </w:p>
        </w:tc>
      </w:tr>
      <w:tr>
        <w:trPr>
          <w:tblHeader w:val="false"/>
        </w:trPr>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Usuarios activos al cierre del mes 12</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500</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1,500</w:t>
            </w:r>
          </w:p>
        </w:tc>
      </w:tr>
      <w:tr>
        <w:trPr>
          <w:tblHeader w:val="false"/>
        </w:trPr>
        <w:tc>
          <w:tcPr>
            <w:tcW w:type="dxa" w:w="3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Tasa de conversión freemium → premium</w:t>
            </w:r>
          </w:p>
        </w:tc>
        <w:tc>
          <w:tcPr>
            <w:tcW w:type="dxa" w:w="29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4 %</w:t>
            </w:r>
          </w:p>
        </w:tc>
        <w:tc>
          <w:tcPr>
            <w:tcW w:type="dxa" w:w="29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7 %</w:t>
            </w:r>
          </w:p>
        </w:tc>
      </w:tr>
      <w:tr>
        <w:trPr>
          <w:tblHeader w:val="false"/>
        </w:trPr>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Usuarios premium (suscripción mensual USD 9.99)</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20</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105</w:t>
            </w:r>
          </w:p>
        </w:tc>
      </w:tr>
      <w:tr>
        <w:trPr>
          <w:tblHeader w:val="false"/>
        </w:trPr>
        <w:tc>
          <w:tcPr>
            <w:tcW w:type="dxa" w:w="3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Ingresos por suscripción individual (12 meses)</w:t>
            </w:r>
          </w:p>
        </w:tc>
        <w:tc>
          <w:tcPr>
            <w:tcW w:type="dxa" w:w="29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2,397.60</w:t>
            </w:r>
          </w:p>
        </w:tc>
        <w:tc>
          <w:tcPr>
            <w:tcW w:type="dxa" w:w="29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12,587.40</w:t>
            </w:r>
          </w:p>
        </w:tc>
      </w:tr>
      <w:tr>
        <w:trPr>
          <w:tblHeader w:val="false"/>
        </w:trPr>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Contratos institucionales (gimnasios, promedio USD 99/mes)</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 contratos</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 contratos</w:t>
            </w:r>
          </w:p>
        </w:tc>
      </w:tr>
      <w:tr>
        <w:trPr>
          <w:tblHeader w:val="false"/>
        </w:trPr>
        <w:tc>
          <w:tcPr>
            <w:tcW w:type="dxa" w:w="3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Ingresos institucionales (12 meses)</w:t>
            </w:r>
          </w:p>
        </w:tc>
        <w:tc>
          <w:tcPr>
            <w:tcW w:type="dxa" w:w="29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2,376.00</w:t>
            </w:r>
          </w:p>
        </w:tc>
        <w:tc>
          <w:tcPr>
            <w:tcW w:type="dxa" w:w="29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5,940.00</w:t>
            </w:r>
          </w:p>
        </w:tc>
      </w:tr>
      <w:tr>
        <w:trPr>
          <w:tblHeader w:val="false"/>
        </w:trPr>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INGRESOS TOTALES AÑO 1</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USD 4,773.60</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USD 18,527.40</w:t>
            </w:r>
          </w:p>
        </w:tc>
      </w:tr>
    </w:tbl>
    <w:p>
      <w:pPr>
        <w:spacing w:after="200" w:before="40"/>
        <w:jc w:val="left"/>
      </w:pPr>
      <w:r>
        <w:rPr>
          <w:rFonts w:ascii="Times New Roman" w:cs="Times New Roman" w:eastAsia="Times New Roman" w:hAnsi="Times New Roman"/>
          <w:i/>
          <w:iCs/>
          <w:sz w:val="20"/>
          <w:szCs w:val="20"/>
        </w:rPr>
        <w:t xml:space="preserve">Nota. Elaboración propia. Las tasas de conversión freemium se basan en benchmarks del sector de aplicaciones de fitness de nicho (Grand View Research, 2026; Future Market Report, 2024).</w:t>
      </w:r>
    </w:p>
    <w:p>
      <w:pPr>
        <w:spacing w:after="80" w:before="240" w:line="360" w:lineRule="auto"/>
        <w:jc w:val="left"/>
      </w:pPr>
      <w:r>
        <w:rPr>
          <w:rFonts w:ascii="Times New Roman" w:cs="Times New Roman" w:eastAsia="Times New Roman" w:hAnsi="Times New Roman"/>
          <w:b/>
          <w:bCs/>
          <w:i w:val="false"/>
          <w:iCs w:val="false"/>
          <w:sz w:val="24"/>
          <w:szCs w:val="24"/>
        </w:rPr>
        <w:t xml:space="preserve">4.5.2 Cálculo del ROI</w:t>
      </w:r>
    </w:p>
    <w:p>
      <w:pPr>
        <w:spacing w:after="200" w:before="0" w:line="360" w:lineRule="auto"/>
        <w:ind w:firstLine="720"/>
        <w:jc w:val="both"/>
      </w:pPr>
      <w:r>
        <w:rPr>
          <w:rFonts w:ascii="Times New Roman" w:cs="Times New Roman" w:eastAsia="Times New Roman" w:hAnsi="Times New Roman"/>
          <w:sz w:val="24"/>
          <w:szCs w:val="24"/>
        </w:rPr>
        <w:t xml:space="preserve">Con base en la inversión total de USD 7,751.78 y las proyecciones de ingresos presentadas, el ROI del primer año de operación se calcula de la siguiente manera:</w:t>
      </w:r>
    </w:p>
    <w:p>
      <w:pPr>
        <w:spacing w:after="80" w:before="360"/>
        <w:jc w:val="left"/>
      </w:pPr>
      <w:r>
        <w:rPr>
          <w:rFonts w:ascii="Times New Roman" w:cs="Times New Roman" w:eastAsia="Times New Roman" w:hAnsi="Times New Roman"/>
          <w:b w:val="false"/>
          <w:bCs w:val="false"/>
          <w:sz w:val="24"/>
          <w:szCs w:val="24"/>
        </w:rPr>
        <w:t xml:space="preserve">Tabla 9</w:t>
      </w:r>
      <w:r>
        <w:rPr>
          <w:rFonts w:ascii="Times New Roman" w:cs="Times New Roman" w:eastAsia="Times New Roman" w:hAnsi="Times New Roman"/>
          <w:i/>
          <w:iCs/>
          <w:sz w:val="24"/>
          <w:szCs w:val="24"/>
        </w:rPr>
        <w:br/>
        <w:t xml:space="preserve">
Cálculo del Retorno sobre la Inversión — año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rPr>
          <w:tblHeader/>
        </w:trPr>
        <w:tc>
          <w:tcPr>
            <w:tcW w:type="dxa" w:w="356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FFFFFF"/>
                <w:sz w:val="20"/>
                <w:szCs w:val="20"/>
              </w:rPr>
              <w:t xml:space="preserve">Concepto</w:t>
            </w:r>
          </w:p>
        </w:tc>
        <w:tc>
          <w:tcPr>
            <w:tcW w:type="dxa" w:w="29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Escenario conservador</w:t>
            </w:r>
          </w:p>
        </w:tc>
        <w:tc>
          <w:tcPr>
            <w:tcW w:type="dxa" w:w="2900"/>
            <w:tcBorders>
              <w:top w:val="single" w:color="F08030" w:sz="1"/>
              <w:left w:val="single" w:color="F08030" w:sz="1"/>
              <w:bottom w:val="single" w:color="F08030" w:sz="1"/>
              <w:right w:val="single" w:color="F08030" w:sz="1"/>
            </w:tcBorders>
            <w:shd w:fill="F08030"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FFFFFF"/>
                <w:sz w:val="20"/>
                <w:szCs w:val="20"/>
              </w:rPr>
              <w:t xml:space="preserve">Escenario moderado</w:t>
            </w:r>
          </w:p>
        </w:tc>
      </w:tr>
      <w:tr>
        <w:trPr>
          <w:tblHeader w:val="false"/>
        </w:trPr>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Inversión total (desarrollo + operación año 1)</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7,751.78</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7,751.78</w:t>
            </w:r>
          </w:p>
        </w:tc>
      </w:tr>
      <w:tr>
        <w:trPr>
          <w:tblHeader w:val="false"/>
        </w:trPr>
        <w:tc>
          <w:tcPr>
            <w:tcW w:type="dxa" w:w="3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Ingresos proyectados año 1</w:t>
            </w:r>
          </w:p>
        </w:tc>
        <w:tc>
          <w:tcPr>
            <w:tcW w:type="dxa" w:w="29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4,773.60</w:t>
            </w:r>
          </w:p>
        </w:tc>
        <w:tc>
          <w:tcPr>
            <w:tcW w:type="dxa" w:w="29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18,527.40</w:t>
            </w:r>
          </w:p>
        </w:tc>
      </w:tr>
      <w:tr>
        <w:trPr>
          <w:tblHeader w:val="false"/>
        </w:trPr>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Ganancia / Pérdida neta</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2,978.18</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+USD 10,775.62</w:t>
            </w:r>
          </w:p>
        </w:tc>
      </w:tr>
      <w:tr>
        <w:trPr>
          <w:tblHeader w:val="false"/>
        </w:trPr>
        <w:tc>
          <w:tcPr>
            <w:tcW w:type="dxa" w:w="356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ROI = (Ingresos – Inversión) / Inversión</w:t>
            </w:r>
          </w:p>
        </w:tc>
        <w:tc>
          <w:tcPr>
            <w:tcW w:type="dxa" w:w="29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–38.4 %</w:t>
            </w:r>
          </w:p>
        </w:tc>
        <w:tc>
          <w:tcPr>
            <w:tcW w:type="dxa" w:w="2900"/>
            <w:tcBorders>
              <w:top w:val="single" w:color="AAAAAA" w:sz="1"/>
              <w:left w:val="single" w:color="AAAAAA" w:sz="1"/>
              <w:bottom w:val="single" w:color="AAAAAA" w:sz="1"/>
              <w:right w:val="single" w:color="AAAAAA" w:sz="1"/>
            </w:tcBorders>
            <w:shd w:fill="FFF3E6" w:val="clear"/>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+139.0 %</w:t>
            </w:r>
          </w:p>
        </w:tc>
      </w:tr>
      <w:tr>
        <w:trPr>
          <w:tblHeader w:val="false"/>
        </w:trPr>
        <w:tc>
          <w:tcPr>
            <w:tcW w:type="dxa" w:w="356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color w:val="000000"/>
                <w:sz w:val="20"/>
                <w:szCs w:val="20"/>
              </w:rPr>
              <w:t xml:space="preserve">Punto de equilibrio (mes estimado)</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Mes 18–24</w:t>
            </w:r>
          </w:p>
        </w:tc>
        <w:tc>
          <w:tcPr>
            <w:tcW w:type="dxa" w:w="2900"/>
            <w:tcBorders>
              <w:top w:val="single" w:color="AAAAAA" w:sz="1"/>
              <w:left w:val="single" w:color="AAAAAA" w:sz="1"/>
              <w:bottom w:val="single" w:color="AAAAAA" w:sz="1"/>
              <w:right w:val="single" w:color="AAAAAA" w:sz="1"/>
            </w:tcBorders>
            <w:tcMar>
              <w:top w:type="dxa" w:w="80"/>
              <w:left w:type="dxa" w:w="140"/>
              <w:bottom w:type="dxa" w:w="80"/>
              <w:right w:type="dxa" w:w="140"/>
            </w:tcMar>
            <w:vAlign w:val="center"/>
          </w:tcPr>
          <w:p>
            <w:pPr>
              <w:spacing w:after="40" w:before="40"/>
              <w:jc w:val="center"/>
            </w:pPr>
            <w:r>
              <w:rPr>
                <w:rFonts w:ascii="Times New Roman" w:cs="Times New Roman" w:eastAsia="Times New Roman" w:hAnsi="Times New Roman"/>
                <w:b/>
                <w:bCs/>
                <w:color w:val="000000"/>
                <w:sz w:val="20"/>
                <w:szCs w:val="20"/>
              </w:rPr>
              <w:t xml:space="preserve">Mes 8–10</w:t>
            </w:r>
          </w:p>
        </w:tc>
      </w:tr>
    </w:tbl>
    <w:p>
      <w:pPr>
        <w:spacing w:after="200" w:before="40"/>
        <w:jc w:val="left"/>
      </w:pPr>
      <w:r>
        <w:rPr>
          <w:rFonts w:ascii="Times New Roman" w:cs="Times New Roman" w:eastAsia="Times New Roman" w:hAnsi="Times New Roman"/>
          <w:i/>
          <w:iCs/>
          <w:sz w:val="20"/>
          <w:szCs w:val="20"/>
        </w:rPr>
        <w:t xml:space="preserve">Nota. Elaboración propia. El escenario conservador refleja el período de construcción de masa crítica de usuarios típico de aplicaciones de nicho; el ROI negativo en año 1 es consistente con modelos freemium donde la adquisición orgánica se acelera en el año 2 conforme el producto gana visibilidad en plataformas de distribución.</w:t>
      </w:r>
    </w:p>
    <w:p>
      <w:pPr>
        <w:spacing w:after="200" w:before="0" w:line="360" w:lineRule="auto"/>
        <w:ind w:firstLine="720"/>
        <w:jc w:val="both"/>
      </w:pPr>
      <w:r>
        <w:rPr>
          <w:rFonts w:ascii="Times New Roman" w:cs="Times New Roman" w:eastAsia="Times New Roman" w:hAnsi="Times New Roman"/>
          <w:sz w:val="24"/>
          <w:szCs w:val="24"/>
        </w:rPr>
        <w:t xml:space="preserve">El escenario conservador proyecta un ROI negativo del –38.4 % en el primer año, lo que implica un período de recuperación de la inversión estimado entre el mes 18 y el mes 24. Este resultado es coherente con la naturaleza de los negocios de software de nicho, donde la adquisición orgánica de usuarios —sin inversión significativa en publicidad pagada— requiere tiempo para alcanzar masa crítica. El escenario moderado, que implica una base de 1,500 usuarios activos y siete conversiones a planes premium, proyecta un ROI positivo del +139.0 % al cierre del año 1, con punto de equilibrio estimado entre el mes 8 y el mes 10. Ambos escenarios son económicamente defendibles dado que la estructura de costos de RepRight no incluye costos variables de infraestructura de inferencia en nube, lo que significa que el costo marginal de agregar un usuario adicional es prácticamente nulo una vez que el producto está disponible en tiendas.</w:t>
      </w:r>
    </w:p>
    <w:p>
      <w:pPr>
        <w:spacing w:after="200" w:before="0" w:line="360" w:lineRule="auto"/>
        <w:ind w:firstLine="720"/>
        <w:jc w:val="both"/>
      </w:pPr>
      <w:r>
        <w:rPr>
          <w:rFonts w:ascii="Times New Roman" w:cs="Times New Roman" w:eastAsia="Times New Roman" w:hAnsi="Times New Roman"/>
          <w:sz w:val="24"/>
          <w:szCs w:val="24"/>
        </w:rPr>
        <w:t xml:space="preserve">Es importante destacar que el valor de RepRight trasciende su dimensión comercial en el corto plazo. La validación académica del sistema, documentada en el presente proyecto, constituye un activo de credibilidad diferenciador que facilita la adopción por parte de gimnasios y programas de bienestar institucional. Asimismo, la arquitectura escalable del sistema —que permite la extensión a otros ejercicios de fuerza como el squat, el press de banca o el press militar con un costo de adaptación marginal— amplía el mercado direccionable total (TAM) en el mediano plazo, mejorando las perspectivas de retorno sobre la inversión acumulada.</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2026-05-25T08:05:52.286Z</dcterms:created>
  <dcterms:modified xsi:type="dcterms:W3CDTF">2026-05-25T08:05:52.300Z</dcterms:modified>
</cp:coreProperties>
</file>

<file path=docProps/custom.xml><?xml version="1.0" encoding="utf-8"?>
<Properties xmlns="http://schemas.openxmlformats.org/officeDocument/2006/custom-properties" xmlns:vt="http://schemas.openxmlformats.org/officeDocument/2006/docPropsVTypes"/>
</file>