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12960" w:hRule="exact"/>
        </w:trPr>
        <w:tc>
          <w:tcPr>
            <w:tcW w:type="dxa" w:w="10656"/>
            <w:shd w:fill="050505"/>
            <w:vAlign w:val="center"/>
            <w:tcMar>
              <w:top w:w="520" w:type="dxa"/>
              <w:start w:w="420" w:type="dxa"/>
              <w:bottom w:w="500" w:type="dxa"/>
              <w:end w:w="420" w:type="dxa"/>
            </w:tcMar>
          </w:tcPr>
          <w:p>
            <w:pPr>
              <w:jc w:val="left"/>
            </w:pPr>
            <w:r>
              <w:rPr>
                <w:rFonts w:ascii="Liberation Mono" w:hAnsi="Liberation Mono"/>
                <w:b/>
                <w:color w:val="E0BC67"/>
                <w:sz w:val="18"/>
              </w:rPr>
              <w:t>DIGI02 / WEB SYSTEM</w:t>
            </w:r>
          </w:p>
          <w:p>
            <w:pPr>
              <w:spacing w:after="280"/>
              <w:jc w:val="left"/>
            </w:pPr>
            <w:r>
              <w:rPr>
                <w:rFonts w:ascii="Inter Display" w:hAnsi="Inter Display"/>
                <w:b/>
                <w:color w:val="F7F6F2"/>
                <w:sz w:val="76"/>
              </w:rPr>
              <w:t>Web Design</w:t>
              <w:br/>
              <w:t>Foundation</w:t>
            </w:r>
          </w:p>
          <w:p>
            <w:pPr>
              <w:spacing w:after="360"/>
            </w:pPr>
            <w:r>
              <w:rPr>
                <w:rFonts w:ascii="Inter Display" w:hAnsi="Inter Display"/>
                <w:b/>
                <w:color w:val="E0BC67"/>
                <w:sz w:val="30"/>
              </w:rPr>
              <w:t>BLACK / WHITE / GOLD</w:t>
            </w:r>
          </w:p>
          <w:p>
            <w:pPr>
              <w:spacing w:after="480"/>
            </w:pPr>
            <w:r>
              <w:rPr>
                <w:rFonts w:ascii="Inter" w:hAnsi="Inter"/>
                <w:color w:val="E7E5DF"/>
                <w:sz w:val="22"/>
              </w:rPr>
              <w:t>A practical foundation for a premium engineering-led Digi02 website, combining cinematic product storytelling with architecture-first technical communication.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56"/>
              <w:gridCol w:w="7056"/>
            </w:tblGrid>
            <w:tr>
              <w:tc>
                <w:tcPr>
                  <w:tcW w:type="dxa" w:w="5328"/>
                  <w:shd w:fill="C9A34A"/>
                  <w:tcMar>
                    <w:top w:w="18" w:type="dxa"/>
                    <w:start w:w="0" w:type="dxa"/>
                    <w:bottom w:w="18" w:type="dxa"/>
                    <w:end w:w="0" w:type="dxa"/>
                  </w:tcMar>
                </w:tcPr>
                <w:p/>
              </w:tc>
              <w:tc>
                <w:tcPr>
                  <w:tcW w:type="dxa" w:w="5328"/>
                  <w:shd w:fill="050505"/>
                  <w:tcMar>
                    <w:top w:w="18" w:type="dxa"/>
                    <w:start w:w="0" w:type="dxa"/>
                    <w:bottom w:w="18" w:type="dxa"/>
                    <w:end w:w="0" w:type="dxa"/>
                  </w:tcMar>
                </w:tcPr>
                <w:p/>
              </w:tc>
            </w:tr>
          </w:tbl>
          <w:p/>
          <w:p>
            <w:pPr>
              <w:spacing w:before="400"/>
            </w:pPr>
            <w:r>
              <w:rPr>
                <w:rFonts w:ascii="Liberation Mono" w:hAnsi="Liberation Mono"/>
                <w:color w:val="AAA8A2"/>
                <w:sz w:val="17"/>
              </w:rPr>
              <w:t>Version 1.0  •  14 August 2026</w:t>
            </w:r>
          </w:p>
          <w:p>
            <w:r>
              <w:rPr>
                <w:rFonts w:ascii="Inter" w:hAnsi="Inter"/>
                <w:color w:val="AAA8A2"/>
                <w:sz w:val="17"/>
              </w:rPr>
              <w:t>Reference DNA: Mobile Hacking Lab + Intent HQ Deep Privacy  |  Adapted for Digi02, not copied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TechLabel"/>
      </w:pPr>
      <w:r>
        <w:t>00 / NORTH STAR</w:t>
      </w:r>
    </w:p>
    <w:p>
      <w:pPr>
        <w:pStyle w:val="Heading1"/>
      </w:pPr>
      <w:r>
        <w:t>The design goal</w:t>
      </w:r>
    </w:p>
    <w:p>
      <w:r>
        <w:t>Digi02 should not look like a generic agency, a luxury brand, a crypto company, or a template-driven SaaS site. The website should feel like a precision instrument: technically credible, visually controlled, and confident enough to let real systems, diagrams, hardware, interfaces, and evidence do the talking.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0B0B0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C9A34A"/>
              <w:left w:val="single" w:sz="18" w:color="C9A34A"/>
              <w:bottom w:val="single" w:sz="4" w:color="C9A34A"/>
              <w:right w:val="single" w:sz="4" w:color="C9A34A"/>
            </w:tcBorders>
          </w:tcPr>
          <w:p>
            <w:r>
              <w:rPr>
                <w:rFonts w:ascii="Inter" w:hAnsi="Inter"/>
                <w:b/>
                <w:color w:val="E0BC67"/>
                <w:sz w:val="20"/>
              </w:rPr>
              <w:t>DESIGN NORTH STAR</w:t>
            </w:r>
          </w:p>
          <w:p>
            <w:r>
              <w:rPr>
                <w:color w:val="E7E5DF"/>
                <w:sz w:val="18"/>
              </w:rPr>
              <w:t>A visitor should leave thinking: “These people engineer serious technology.” Beauty is a consequence of precision, not decoration.</w:t>
            </w:r>
          </w:p>
        </w:tc>
      </w:tr>
    </w:tbl>
    <w:p>
      <w:pPr>
        <w:spacing w:after="0"/>
      </w:pPr>
    </w:p>
    <w:p>
      <w:pPr>
        <w:pStyle w:val="Heading2"/>
      </w:pPr>
      <w:r>
        <w:t>What we are borrowing — and what we are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3744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Reference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Borrow the principle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Do not copy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Mobile Hacking Lab</w:t>
            </w:r>
          </w:p>
        </w:tc>
        <w:tc>
          <w:tcPr>
            <w:tcW w:type="dxa" w:w="39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Cinematic hardware scale, scroll-driven chapters, technical micro-labels, layered product storytelling, aggressive visual hierarchy.</w:t>
            </w:r>
          </w:p>
        </w:tc>
        <w:tc>
          <w:tcPr>
            <w:tcW w:type="dxa" w:w="37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Their exact imagery, course structure, green accent, copy, component geometry, certification language, or animations.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Intent HQ / Deep Privacy</w:t>
            </w:r>
          </w:p>
        </w:tc>
        <w:tc>
          <w:tcPr>
            <w:tcW w:type="dxa" w:w="396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Architecture-first storytelling, working demonstrations, evidence-led sections, calm editorial rhythm, diagrams that explain the product.</w:t>
            </w:r>
          </w:p>
        </w:tc>
        <w:tc>
          <w:tcPr>
            <w:tcW w:type="dxa" w:w="37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Their brown palette, privacy terminology, card compositions, diagrams, typography, or branded interaction patterns.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Digi02</w:t>
            </w:r>
          </w:p>
        </w:tc>
        <w:tc>
          <w:tcPr>
            <w:tcW w:type="dxa" w:w="39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Real products, real capabilities, real evidence, black/white/gold identity, Africa-rooted engineering confidence.</w:t>
            </w:r>
          </w:p>
        </w:tc>
        <w:tc>
          <w:tcPr>
            <w:tcW w:type="dxa" w:w="37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Stock “innovation” imagery, fake metrics, decorative sci-fi HUDs, generic service cards, or unsupported claims.</w:t>
            </w:r>
          </w:p>
        </w:tc>
      </w:tr>
    </w:tbl>
    <w:p>
      <w:pPr>
        <w:spacing w:after="0"/>
      </w:pPr>
    </w:p>
    <w:p>
      <w:pPr>
        <w:pStyle w:val="Heading2"/>
      </w:pPr>
      <w:r>
        <w:t>Core design principles</w:t>
      </w:r>
    </w:p>
    <w:p>
      <w:pPr>
        <w:pStyle w:val="ListNumber"/>
        <w:spacing w:after="40"/>
      </w:pPr>
      <w:r>
        <w:t>Show systems, not slogans. Every major claim should be demonstrated with a product view, diagram, real interface, hardware image, process, metric, or case evidence.</w:t>
      </w:r>
    </w:p>
    <w:p>
      <w:pPr>
        <w:pStyle w:val="ListNumber"/>
        <w:spacing w:after="40"/>
      </w:pPr>
      <w:r>
        <w:t>One capability, one visual grammar. UAV, payments, ERP, payroll, POS, and custom software should feel related but not be the same page with different words.</w:t>
      </w:r>
    </w:p>
    <w:p>
      <w:pPr>
        <w:pStyle w:val="ListNumber"/>
        <w:spacing w:after="40"/>
      </w:pPr>
      <w:r>
        <w:t>Gold signals importance. It is an accent for focus, state, and hierarchy — never wallpaper.</w:t>
      </w:r>
    </w:p>
    <w:p>
      <w:pPr>
        <w:pStyle w:val="ListNumber"/>
        <w:spacing w:after="40"/>
      </w:pPr>
      <w:r>
        <w:t>Motion explains. Animation should reveal relationships, progression, state, or system behavior; it should not exist only to look expensive.</w:t>
      </w:r>
    </w:p>
    <w:p>
      <w:pPr>
        <w:pStyle w:val="ListNumber"/>
        <w:spacing w:after="40"/>
      </w:pPr>
      <w:r>
        <w:t>Dark space is structural. Large black areas should create focus and pacing, not simply make the site “dark mode.”</w:t>
      </w:r>
    </w:p>
    <w:p>
      <w:pPr>
        <w:pStyle w:val="ListNumber"/>
        <w:spacing w:after="40"/>
      </w:pPr>
      <w:r>
        <w:t>Reduce before adding. If a section works without a card, glow, gradient, badge, or icon, do not add one.</w:t>
      </w:r>
    </w:p>
    <w:p>
      <w:r>
        <w:br w:type="page"/>
      </w:r>
    </w:p>
    <w:p>
      <w:pPr>
        <w:pStyle w:val="TechLabel"/>
      </w:pPr>
      <w:r>
        <w:t>01 / QUICK REFERENCE</w:t>
      </w:r>
    </w:p>
    <w:p>
      <w:pPr>
        <w:pStyle w:val="Heading1"/>
      </w:pPr>
      <w:r>
        <w:t>One-page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tblHeader w:val="true"/>
        </w:trPr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Area</w:t>
            </w:r>
          </w:p>
        </w:tc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Decision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Visual concept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Precision Systems — black canvas, monumental white typography, controlled gold, real engineering subject matter.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Display font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 Grotesk 600–700 (fallback: Inter Display).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Body / UI font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 400–600.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Technical labels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IBM Plex Mono 500 or JetBrains Mono 500; uppercase; 0.12–0.18em tracking.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Base spacing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8px system, with 4px only for micro-adjustments.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Desktop grid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 columns; max content 1440px; 64–80px side margins; 24px gutters.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Mobile grid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 columns; 20px margins; 16px gutters.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Section spacing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Desktop 120–160px; tablet 88–120px; mobile 64–88px.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 background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#050505.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 text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#F7F6F2.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accent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#C9A34A; use roughly 3–7% of a screen.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Radii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4px controls; 8px cards; 12px large media. Avoid over-rounding.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Fast 160ms; UI 240ms; section 420ms; cinematic 800–1200ms.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 easing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Primary: cubic-bezier(0.22, 1, 0.36, 1).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Image rule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Real product/hardware/UI first. Avoid generic “people using laptops” stock.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Cards</w:t>
            </w:r>
          </w:p>
        </w:tc>
        <w:tc>
          <w:tcPr>
            <w:tcW w:type="dxa" w:w="727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Use only when content is genuinely a bounded object. Prefer open editorial layouts for storytelling.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Accessibility</w:t>
            </w:r>
          </w:p>
        </w:tc>
        <w:tc>
          <w:tcPr>
            <w:tcW w:type="dxa" w:w="72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WCAG AA contrast, visible focus, keyboard support, reduced motion, semantic structure, alt text.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02 / VISUAL REFERENCES</w:t>
      </w:r>
    </w:p>
    <w:p>
      <w:pPr>
        <w:pStyle w:val="Heading1"/>
      </w:pPr>
      <w:r>
        <w:t>Reference DNA</w:t>
      </w:r>
    </w:p>
    <w:p>
      <w:r>
        <w:t>The following screenshots were supplied as visual references. The useful lesson is not their surface styling; it is how each site makes the subject matter itself become the interface.</w:t>
      </w:r>
    </w:p>
    <w:p>
      <w:pPr>
        <w:pStyle w:val="Heading2"/>
      </w:pPr>
      <w:r>
        <w:t>Mobile Hacking Lab — cinematic product storytelling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71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8-14_17-25-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7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Reference: a cinematic hero where the environment and subject establish credibility before the interface explains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9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8-14_17-26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Reference: the device internals become the page background; information is layered over real subject matter rather than placed into generic cards.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58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8-14_17-26-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Reference: a certification/path map uses a clear progression line, numbered nodes, compact metadata, and a single strong CTA.</w:t>
      </w:r>
    </w:p>
    <w:p>
      <w:pPr>
        <w:pStyle w:val="Heading2"/>
      </w:pPr>
      <w:r>
        <w:t>Intent HQ — architecture-first storytelling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153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8-14_17-23-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15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Reference: a technical architecture is explained visually beside concise editorial copy.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99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8-14_17-24-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Reference: working demonstrations turn abstract technical claims into interactive proof.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AF7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C28A"/>
              <w:left w:val="single" w:sz="18" w:color="D9C28A"/>
              <w:bottom w:val="single" w:sz="4" w:color="D9C28A"/>
              <w:right w:val="single" w:sz="4" w:color="D9C28A"/>
            </w:tcBorders>
          </w:tcPr>
          <w:p>
            <w:r>
              <w:rPr>
                <w:rFonts w:ascii="Inter" w:hAnsi="Inter"/>
                <w:b/>
                <w:color w:val="86672B"/>
                <w:sz w:val="20"/>
              </w:rPr>
              <w:t>THE DIGI02 ADAPTATION</w:t>
            </w:r>
          </w:p>
          <w:p>
            <w:r>
              <w:rPr>
                <w:color w:val="111112"/>
                <w:sz w:val="18"/>
              </w:rPr>
              <w:t>Use Mobile Hacking Lab for scale, chapters, product drama, and scroll choreography. Use Intent for diagrams, demonstrations, evidence, and editorial restraint. Bind both with Digi02’s black / white / gold identity.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03 / COLOR</w:t>
      </w:r>
    </w:p>
    <w:p>
      <w:pPr>
        <w:pStyle w:val="Heading1"/>
      </w:pPr>
      <w:r>
        <w:t>Color system</w:t>
      </w:r>
    </w:p>
    <w:p>
      <w:r>
        <w:t>The palette must read as engineering, not “luxury gold.” The gold is a precision accent. Black carries the atmosphere; white carries information; gold carries priority.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656"/>
        <w:gridCol w:w="5832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Token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Hex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Use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Black 950</w:t>
            </w:r>
          </w:p>
        </w:tc>
        <w:tc>
          <w:tcPr>
            <w:tcW w:type="dxa" w:w="1656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#050505</w:t>
            </w:r>
          </w:p>
        </w:tc>
        <w:tc>
          <w:tcPr>
            <w:tcW w:type="dxa" w:w="58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 page background; cinematic sections.</w:t>
            </w:r>
          </w:p>
        </w:tc>
      </w:tr>
      <w:tr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Black 900</w:t>
            </w:r>
          </w:p>
        </w:tc>
        <w:tc>
          <w:tcPr>
            <w:tcW w:type="dxa" w:w="1656"/>
            <w:shd w:fill="0B0B0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#0B0B0C</w:t>
            </w:r>
          </w:p>
        </w:tc>
        <w:tc>
          <w:tcPr>
            <w:tcW w:type="dxa" w:w="58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Navigation, overlays, deep cards.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Black 800</w:t>
            </w:r>
          </w:p>
        </w:tc>
        <w:tc>
          <w:tcPr>
            <w:tcW w:type="dxa" w:w="1656"/>
            <w:shd w:fill="11111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#111112</w:t>
            </w:r>
          </w:p>
        </w:tc>
        <w:tc>
          <w:tcPr>
            <w:tcW w:type="dxa" w:w="58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Elevated surfaces.</w:t>
            </w:r>
          </w:p>
        </w:tc>
      </w:tr>
      <w:tr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Black 700</w:t>
            </w:r>
          </w:p>
        </w:tc>
        <w:tc>
          <w:tcPr>
            <w:tcW w:type="dxa" w:w="1656"/>
            <w:shd w:fill="18181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#181818</w:t>
            </w:r>
          </w:p>
        </w:tc>
        <w:tc>
          <w:tcPr>
            <w:tcW w:type="dxa" w:w="58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Hover surfaces and secondary panels.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White 50</w:t>
            </w:r>
          </w:p>
        </w:tc>
        <w:tc>
          <w:tcPr>
            <w:tcW w:type="dxa" w:w="1656"/>
            <w:shd w:fill="F7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050505"/>
                <w:sz w:val="17"/>
              </w:rPr>
              <w:t>#F7F6F2</w:t>
            </w:r>
          </w:p>
        </w:tc>
        <w:tc>
          <w:tcPr>
            <w:tcW w:type="dxa" w:w="58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 text on dark.</w:t>
            </w:r>
          </w:p>
        </w:tc>
      </w:tr>
      <w:tr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White 100</w:t>
            </w:r>
          </w:p>
        </w:tc>
        <w:tc>
          <w:tcPr>
            <w:tcW w:type="dxa" w:w="1656"/>
            <w:shd w:fill="E7E5D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050505"/>
                <w:sz w:val="17"/>
              </w:rPr>
              <w:t>#E7E5DF</w:t>
            </w:r>
          </w:p>
        </w:tc>
        <w:tc>
          <w:tcPr>
            <w:tcW w:type="dxa" w:w="58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Secondary high-contrast text.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Neutral 400</w:t>
            </w:r>
          </w:p>
        </w:tc>
        <w:tc>
          <w:tcPr>
            <w:tcW w:type="dxa" w:w="1656"/>
            <w:shd w:fill="AAA8A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050505"/>
                <w:sz w:val="17"/>
              </w:rPr>
              <w:t>#AAA8A2</w:t>
            </w:r>
          </w:p>
        </w:tc>
        <w:tc>
          <w:tcPr>
            <w:tcW w:type="dxa" w:w="58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Body secondary text / metadata.</w:t>
            </w:r>
          </w:p>
        </w:tc>
      </w:tr>
      <w:tr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Neutral 600</w:t>
            </w:r>
          </w:p>
        </w:tc>
        <w:tc>
          <w:tcPr>
            <w:tcW w:type="dxa" w:w="1656"/>
            <w:shd w:fill="73716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050505"/>
                <w:sz w:val="17"/>
              </w:rPr>
              <w:t>#73716C</w:t>
            </w:r>
          </w:p>
        </w:tc>
        <w:tc>
          <w:tcPr>
            <w:tcW w:type="dxa" w:w="58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Disabled / tertiary copy.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500</w:t>
            </w:r>
          </w:p>
        </w:tc>
        <w:tc>
          <w:tcPr>
            <w:tcW w:type="dxa" w:w="1656"/>
            <w:shd w:fill="C9A34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#C9A34A</w:t>
            </w:r>
          </w:p>
        </w:tc>
        <w:tc>
          <w:tcPr>
            <w:tcW w:type="dxa" w:w="58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Brand accent; active states; key lines; selected metadata.</w:t>
            </w:r>
          </w:p>
        </w:tc>
      </w:tr>
      <w:tr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400</w:t>
            </w:r>
          </w:p>
        </w:tc>
        <w:tc>
          <w:tcPr>
            <w:tcW w:type="dxa" w:w="1656"/>
            <w:shd w:fill="E0BC6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#E0BC67</w:t>
            </w:r>
          </w:p>
        </w:tc>
        <w:tc>
          <w:tcPr>
            <w:tcW w:type="dxa" w:w="58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Small highlights; focus emphasis; dark-background icons.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700</w:t>
            </w:r>
          </w:p>
        </w:tc>
        <w:tc>
          <w:tcPr>
            <w:tcW w:type="dxa" w:w="1656"/>
            <w:shd w:fill="86672B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F7F6F2"/>
                <w:sz w:val="17"/>
              </w:rPr>
              <w:t>#86672B</w:t>
            </w:r>
          </w:p>
        </w:tc>
        <w:tc>
          <w:tcPr>
            <w:tcW w:type="dxa" w:w="58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text on light surfaces; subtle borders.</w:t>
            </w:r>
          </w:p>
        </w:tc>
      </w:tr>
      <w:tr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100</w:t>
            </w:r>
          </w:p>
        </w:tc>
        <w:tc>
          <w:tcPr>
            <w:tcW w:type="dxa" w:w="1656"/>
            <w:shd w:fill="F1E2BD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b/>
                <w:color w:val="050505"/>
                <w:sz w:val="17"/>
              </w:rPr>
              <w:t>#F1E2BD</w:t>
            </w:r>
          </w:p>
        </w:tc>
        <w:tc>
          <w:tcPr>
            <w:tcW w:type="dxa" w:w="58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Soft gold surface tint; rare editorial callout.</w:t>
            </w:r>
          </w:p>
        </w:tc>
      </w:tr>
    </w:tbl>
    <w:p>
      <w:pPr>
        <w:spacing w:after="0"/>
      </w:pPr>
    </w:p>
    <w:p>
      <w:pPr>
        <w:pStyle w:val="Heading2"/>
      </w:pPr>
      <w:r>
        <w:t>Color usage ratio</w:t>
      </w:r>
    </w:p>
    <w:p>
      <w:pPr>
        <w:pStyle w:val="ListBullet"/>
        <w:spacing w:after="40"/>
      </w:pPr>
      <w:r>
        <w:t>80–85% black / dark neutrals: atmosphere, canvas, continuity.</w:t>
      </w:r>
    </w:p>
    <w:p>
      <w:pPr>
        <w:pStyle w:val="ListBullet"/>
        <w:spacing w:after="40"/>
      </w:pPr>
      <w:r>
        <w:t>10–15% white / near-white: typography, diagrams, primary UI information.</w:t>
      </w:r>
    </w:p>
    <w:p>
      <w:pPr>
        <w:pStyle w:val="ListBullet"/>
        <w:spacing w:after="40"/>
      </w:pPr>
      <w:r>
        <w:t>3–7% gold: CTA, active state, key line, selected node, metric emphasis, focus ring, or one focal word.</w:t>
      </w:r>
    </w:p>
    <w:p>
      <w:pPr>
        <w:pStyle w:val="ListBullet"/>
        <w:spacing w:after="40"/>
      </w:pPr>
      <w:r>
        <w:t>Semantic red/green/amber may appear only for real system states. They are functional, never part of the decorative brand palette.</w:t>
      </w:r>
    </w:p>
    <w:p>
      <w:pPr>
        <w:pStyle w:val="Heading2"/>
      </w:pPr>
      <w:r>
        <w:t>Gold rules</w:t>
      </w:r>
    </w:p>
    <w:p>
      <w:pPr>
        <w:pStyle w:val="ListBullet"/>
        <w:spacing w:after="40"/>
      </w:pPr>
      <w:r>
        <w:t>Never use gold as a large page background.</w:t>
      </w:r>
    </w:p>
    <w:p>
      <w:pPr>
        <w:pStyle w:val="ListBullet"/>
        <w:spacing w:after="40"/>
      </w:pPr>
      <w:r>
        <w:t>Do not put gold on every icon, border, title, and button simultaneously.</w:t>
      </w:r>
    </w:p>
    <w:p>
      <w:pPr>
        <w:pStyle w:val="ListBullet"/>
        <w:spacing w:after="40"/>
      </w:pPr>
      <w:r>
        <w:t>Prefer one active gold element per visual group.</w:t>
      </w:r>
    </w:p>
    <w:p>
      <w:pPr>
        <w:pStyle w:val="ListBullet"/>
        <w:spacing w:after="40"/>
      </w:pPr>
      <w:r>
        <w:t>Avoid metallic gradients for normal UI. If a metallic treatment appears, reserve it for a hero render, physical product, or rare 1–2px accent line.</w:t>
      </w:r>
    </w:p>
    <w:p>
      <w:pPr>
        <w:pStyle w:val="ListBullet"/>
        <w:spacing w:after="40"/>
      </w:pPr>
      <w:r>
        <w:t>Never pair black + gold with excessive serif typography, marble textures, crowns, sparkles, or “luxury” motifs.</w:t>
      </w:r>
    </w:p>
    <w:p>
      <w:pPr>
        <w:pStyle w:val="TechLabel"/>
      </w:pPr>
      <w:r>
        <w:t>04 / TYPE</w:t>
      </w:r>
    </w:p>
    <w:p>
      <w:pPr>
        <w:pStyle w:val="Heading1"/>
      </w:pPr>
      <w:r>
        <w:t>Typography system</w:t>
      </w:r>
    </w:p>
    <w:p>
      <w:r>
        <w:t>The typographic contrast should echo the references: very large, confident display type paired with restrained body copy and tiny technical metadata. This creates authority without clutter.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88"/>
        <w:gridCol w:w="1440"/>
        <w:gridCol w:w="1440"/>
        <w:gridCol w:w="2592"/>
      </w:tblGrid>
      <w:tr>
        <w:trPr>
          <w:tblHeader w:val="true"/>
        </w:trPr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Role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Font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Desktop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Mobile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Weight / tracking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Hero Display</w:t>
            </w:r>
          </w:p>
        </w:tc>
        <w:tc>
          <w:tcPr>
            <w:tcW w:type="dxa" w:w="20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 Grotesk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72–104px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48–64px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600–700 / -0.035em</w:t>
            </w:r>
          </w:p>
        </w:tc>
      </w:tr>
      <w:tr>
        <w:tc>
          <w:tcPr>
            <w:tcW w:type="dxa" w:w="19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H1</w:t>
            </w:r>
          </w:p>
        </w:tc>
        <w:tc>
          <w:tcPr>
            <w:tcW w:type="dxa" w:w="20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 Grotesk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56–72px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40–48px</w:t>
            </w:r>
          </w:p>
        </w:tc>
        <w:tc>
          <w:tcPr>
            <w:tcW w:type="dxa" w:w="25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600–700 / -0.03em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H2</w:t>
            </w:r>
          </w:p>
        </w:tc>
        <w:tc>
          <w:tcPr>
            <w:tcW w:type="dxa" w:w="20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 Grotesk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40–52px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32–40px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600–700 / -0.02em</w:t>
            </w:r>
          </w:p>
        </w:tc>
      </w:tr>
      <w:tr>
        <w:tc>
          <w:tcPr>
            <w:tcW w:type="dxa" w:w="19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H3</w:t>
            </w:r>
          </w:p>
        </w:tc>
        <w:tc>
          <w:tcPr>
            <w:tcW w:type="dxa" w:w="20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 Grotesk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28–36px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24–30px</w:t>
            </w:r>
          </w:p>
        </w:tc>
        <w:tc>
          <w:tcPr>
            <w:tcW w:type="dxa" w:w="25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600 / -0.015em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Lead</w:t>
            </w:r>
          </w:p>
        </w:tc>
        <w:tc>
          <w:tcPr>
            <w:tcW w:type="dxa" w:w="20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20–24px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18–20px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400 / -0.01em</w:t>
            </w:r>
          </w:p>
        </w:tc>
      </w:tr>
      <w:tr>
        <w:tc>
          <w:tcPr>
            <w:tcW w:type="dxa" w:w="19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Body</w:t>
            </w:r>
          </w:p>
        </w:tc>
        <w:tc>
          <w:tcPr>
            <w:tcW w:type="dxa" w:w="20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16–18px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16–17px</w:t>
            </w:r>
          </w:p>
        </w:tc>
        <w:tc>
          <w:tcPr>
            <w:tcW w:type="dxa" w:w="25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400 / normal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UI / Button</w:t>
            </w:r>
          </w:p>
        </w:tc>
        <w:tc>
          <w:tcPr>
            <w:tcW w:type="dxa" w:w="20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14–16px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14–16px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600 / 0 to +0.01em</w:t>
            </w:r>
          </w:p>
        </w:tc>
      </w:tr>
      <w:tr>
        <w:tc>
          <w:tcPr>
            <w:tcW w:type="dxa" w:w="19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Technical label</w:t>
            </w:r>
          </w:p>
        </w:tc>
        <w:tc>
          <w:tcPr>
            <w:tcW w:type="dxa" w:w="20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IBM Plex Mono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10–12px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10–11px</w:t>
            </w:r>
          </w:p>
        </w:tc>
        <w:tc>
          <w:tcPr>
            <w:tcW w:type="dxa" w:w="25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500 / +0.12–0.18em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Caption</w:t>
            </w:r>
          </w:p>
        </w:tc>
        <w:tc>
          <w:tcPr>
            <w:tcW w:type="dxa" w:w="20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12–13px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12px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400–500 / +0.01em</w:t>
            </w:r>
          </w:p>
        </w:tc>
      </w:tr>
    </w:tbl>
    <w:p>
      <w:pPr>
        <w:spacing w:after="0"/>
      </w:pPr>
    </w:p>
    <w:p>
      <w:pPr>
        <w:pStyle w:val="Heading2"/>
      </w:pPr>
      <w:r>
        <w:t>Typography rules</w:t>
      </w:r>
    </w:p>
    <w:p>
      <w:pPr>
        <w:pStyle w:val="ListBullet"/>
        <w:spacing w:after="40"/>
      </w:pPr>
      <w:r>
        <w:t>Hero headlines should usually fit in 2–4 lines, not a full paragraph.</w:t>
      </w:r>
    </w:p>
    <w:p>
      <w:pPr>
        <w:pStyle w:val="ListBullet"/>
        <w:spacing w:after="40"/>
      </w:pPr>
      <w:r>
        <w:t>Use sentence case for human-facing headings; reserve uppercase for technical labels and navigation microcopy.</w:t>
      </w:r>
    </w:p>
    <w:p>
      <w:pPr>
        <w:pStyle w:val="ListBullet"/>
        <w:spacing w:after="40"/>
      </w:pPr>
      <w:r>
        <w:t>Keep body copy measure around 55–75 characters per line.</w:t>
      </w:r>
    </w:p>
    <w:p>
      <w:pPr>
        <w:pStyle w:val="ListBullet"/>
        <w:spacing w:after="40"/>
      </w:pPr>
      <w:r>
        <w:t>Use mono labels to identify systems, modes, coordinates, stages, and metadata — not for long reading.</w:t>
      </w:r>
    </w:p>
    <w:p>
      <w:pPr>
        <w:pStyle w:val="ListBullet"/>
        <w:spacing w:after="40"/>
      </w:pPr>
      <w:r>
        <w:t>One accent word in gold can work in a hero, but never color every second word.</w:t>
      </w:r>
    </w:p>
    <w:p>
      <w:pPr>
        <w:pStyle w:val="ListBullet"/>
        <w:spacing w:after="40"/>
      </w:pPr>
      <w:r>
        <w:t>Avoid centered body copy except for very short statements. Default to left alignment for authority and readability.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AF7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C28A"/>
              <w:left w:val="single" w:sz="18" w:color="D9C28A"/>
              <w:bottom w:val="single" w:sz="4" w:color="D9C28A"/>
              <w:right w:val="single" w:sz="4" w:color="D9C28A"/>
            </w:tcBorders>
          </w:tcPr>
          <w:p>
            <w:r>
              <w:rPr>
                <w:rFonts w:ascii="Inter" w:hAnsi="Inter"/>
                <w:b/>
                <w:color w:val="86672B"/>
                <w:sz w:val="20"/>
              </w:rPr>
              <w:t>FONT FALLBACK</w:t>
            </w:r>
          </w:p>
          <w:p>
            <w:r>
              <w:rPr>
                <w:color w:val="111112"/>
                <w:sz w:val="18"/>
              </w:rPr>
              <w:t>If loading three families is too heavy: use Inter Display + Inter for all human-facing type, and a single mono family only where technical metadata materially adds meaning.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05 / LAYOUT</w:t>
      </w:r>
    </w:p>
    <w:p>
      <w:pPr>
        <w:pStyle w:val="Heading1"/>
      </w:pPr>
      <w:r>
        <w:t>Grid, spacing &amp; composition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6264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Token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Value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Rule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space-0.5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4px</w:t>
            </w:r>
          </w:p>
        </w:tc>
        <w:tc>
          <w:tcPr>
            <w:tcW w:type="dxa" w:w="62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Micro alignment only.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space-1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8px</w:t>
            </w:r>
          </w:p>
        </w:tc>
        <w:tc>
          <w:tcPr>
            <w:tcW w:type="dxa" w:w="626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Base unit.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space-2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16px</w:t>
            </w:r>
          </w:p>
        </w:tc>
        <w:tc>
          <w:tcPr>
            <w:tcW w:type="dxa" w:w="62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Inline / compact stack.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space-3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24px</w:t>
            </w:r>
          </w:p>
        </w:tc>
        <w:tc>
          <w:tcPr>
            <w:tcW w:type="dxa" w:w="626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Card padding / grid gutter.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space-4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32px</w:t>
            </w:r>
          </w:p>
        </w:tc>
        <w:tc>
          <w:tcPr>
            <w:tcW w:type="dxa" w:w="62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Component separation.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space-5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40px</w:t>
            </w:r>
          </w:p>
        </w:tc>
        <w:tc>
          <w:tcPr>
            <w:tcW w:type="dxa" w:w="626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Large component spacing.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space-6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48px</w:t>
            </w:r>
          </w:p>
        </w:tc>
        <w:tc>
          <w:tcPr>
            <w:tcW w:type="dxa" w:w="62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Subsection spacing.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space-8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64px</w:t>
            </w:r>
          </w:p>
        </w:tc>
        <w:tc>
          <w:tcPr>
            <w:tcW w:type="dxa" w:w="626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Major internal spacing.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space-10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80px</w:t>
            </w:r>
          </w:p>
        </w:tc>
        <w:tc>
          <w:tcPr>
            <w:tcW w:type="dxa" w:w="62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Large section rhythm.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space-12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96px</w:t>
            </w:r>
          </w:p>
        </w:tc>
        <w:tc>
          <w:tcPr>
            <w:tcW w:type="dxa" w:w="626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Editorial breathing room.</w:t>
            </w:r>
          </w:p>
        </w:tc>
      </w:tr>
      <w:tr>
        <w:tc>
          <w:tcPr>
            <w:tcW w:type="dxa" w:w="18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space-15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120px</w:t>
            </w:r>
          </w:p>
        </w:tc>
        <w:tc>
          <w:tcPr>
            <w:tcW w:type="dxa" w:w="62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Standard section gap desktop.</w:t>
            </w:r>
          </w:p>
        </w:tc>
      </w:tr>
      <w:tr>
        <w:tc>
          <w:tcPr>
            <w:tcW w:type="dxa" w:w="18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space-20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160px</w:t>
            </w:r>
          </w:p>
        </w:tc>
        <w:tc>
          <w:tcPr>
            <w:tcW w:type="dxa" w:w="626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Cinematic section gap desktop.</w:t>
            </w:r>
          </w:p>
        </w:tc>
      </w:tr>
    </w:tbl>
    <w:p>
      <w:pPr>
        <w:spacing w:after="0"/>
      </w:pPr>
    </w:p>
    <w:p>
      <w:pPr>
        <w:pStyle w:val="Heading2"/>
      </w:pPr>
      <w:r>
        <w:t>Desktop grid</w:t>
      </w:r>
    </w:p>
    <w:p>
      <w:pPr>
        <w:pStyle w:val="ListBullet"/>
        <w:spacing w:after="40"/>
      </w:pPr>
      <w:r>
        <w:t>12 columns, 24px gutters.</w:t>
      </w:r>
    </w:p>
    <w:p>
      <w:pPr>
        <w:pStyle w:val="ListBullet"/>
        <w:spacing w:after="40"/>
      </w:pPr>
      <w:r>
        <w:t>Max content width: 1440px. Hero media may exceed the content container when composition requires it.</w:t>
      </w:r>
    </w:p>
    <w:p>
      <w:pPr>
        <w:pStyle w:val="ListBullet"/>
        <w:spacing w:after="40"/>
      </w:pPr>
      <w:r>
        <w:t>Standard side margin: 64px at 1440px and above; expand toward 80–96px on very wide screens.</w:t>
      </w:r>
    </w:p>
    <w:p>
      <w:pPr>
        <w:pStyle w:val="ListBullet"/>
        <w:spacing w:after="40"/>
      </w:pPr>
      <w:r>
        <w:t>Do not center every section. Alternate 4/8, 5/7, 6/6, and full-bleed compositions to create editorial pacing.</w:t>
      </w:r>
    </w:p>
    <w:p>
      <w:pPr>
        <w:pStyle w:val="Heading2"/>
      </w:pPr>
      <w:r>
        <w:t>Responsive 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440"/>
        <w:gridCol w:w="1728"/>
        <w:gridCol w:w="1440"/>
        <w:gridCol w:w="2016"/>
      </w:tblGrid>
      <w:tr>
        <w:trPr>
          <w:tblHeader w:val="true"/>
        </w:trPr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Viewport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Columns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Margins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Gutters</w:t>
            </w:r>
          </w:p>
        </w:tc>
        <w:tc>
          <w:tcPr>
            <w:tcW w:type="dxa" w:w="203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Section gap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≥ 1440px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</w:t>
            </w:r>
          </w:p>
        </w:tc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64–96px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24px</w:t>
            </w:r>
          </w:p>
        </w:tc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120–160px</w:t>
            </w:r>
          </w:p>
        </w:tc>
      </w:tr>
      <w:tr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1024–1439px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</w:t>
            </w:r>
          </w:p>
        </w:tc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40–56px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20–24px</w:t>
            </w:r>
          </w:p>
        </w:tc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96–128px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768–1023px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</w:t>
            </w:r>
          </w:p>
        </w:tc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32px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20px</w:t>
            </w:r>
          </w:p>
        </w:tc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80–104px</w:t>
            </w:r>
          </w:p>
        </w:tc>
      </w:tr>
      <w:tr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480–767px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</w:t>
            </w:r>
          </w:p>
        </w:tc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20–24px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16px</w:t>
            </w:r>
          </w:p>
        </w:tc>
        <w:tc>
          <w:tcPr>
            <w:tcW w:type="dxa" w:w="201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64–88px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&lt; 480px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</w:t>
            </w:r>
          </w:p>
        </w:tc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20px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16px</w:t>
            </w:r>
          </w:p>
        </w:tc>
        <w:tc>
          <w:tcPr>
            <w:tcW w:type="dxa" w:w="20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56–72px</w:t>
            </w:r>
          </w:p>
        </w:tc>
      </w:tr>
    </w:tbl>
    <w:p>
      <w:pPr>
        <w:spacing w:after="0"/>
      </w:pPr>
    </w:p>
    <w:p>
      <w:pPr>
        <w:pStyle w:val="Heading2"/>
      </w:pPr>
      <w:r>
        <w:t>Composition rule</w:t>
      </w:r>
    </w:p>
    <w:p>
      <w:r>
        <w:t>Every page should alternate density: cinematic / explanatory / evidence / interactive / breathing space. Do not stack six equally-sized sections with identical card grids. Rhythm is part of the brand.</w:t>
      </w:r>
    </w:p>
    <w:p>
      <w:r>
        <w:br w:type="page"/>
      </w:r>
    </w:p>
    <w:p>
      <w:pPr>
        <w:pStyle w:val="TechLabel"/>
      </w:pPr>
      <w:r>
        <w:t>06 / SURFACE</w:t>
      </w:r>
    </w:p>
    <w:p>
      <w:pPr>
        <w:pStyle w:val="Heading1"/>
      </w:pPr>
      <w:r>
        <w:t>Surfaces, borders, radii &amp; depth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440"/>
        <w:gridCol w:w="3024"/>
        <w:gridCol w:w="2592"/>
      </w:tblGrid>
      <w:tr>
        <w:trPr>
          <w:tblHeader w:val="true"/>
        </w:trPr>
        <w:tc>
          <w:tcPr>
            <w:tcW w:type="dxa" w:w="2541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Element</w:t>
            </w:r>
          </w:p>
        </w:tc>
        <w:tc>
          <w:tcPr>
            <w:tcW w:type="dxa" w:w="2541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Radius</w:t>
            </w:r>
          </w:p>
        </w:tc>
        <w:tc>
          <w:tcPr>
            <w:tcW w:type="dxa" w:w="2541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Border</w:t>
            </w:r>
          </w:p>
        </w:tc>
        <w:tc>
          <w:tcPr>
            <w:tcW w:type="dxa" w:w="2541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Depth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Buttons / inputs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4px</w:t>
            </w:r>
          </w:p>
        </w:tc>
        <w:tc>
          <w:tcPr>
            <w:tcW w:type="dxa" w:w="302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1px neutral or gold focus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No default shadow.</w:t>
            </w:r>
          </w:p>
        </w:tc>
      </w:tr>
      <w:tr>
        <w:tc>
          <w:tcPr>
            <w:tcW w:type="dxa" w:w="244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Cards / data panels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8px</w:t>
            </w:r>
          </w:p>
        </w:tc>
        <w:tc>
          <w:tcPr>
            <w:tcW w:type="dxa" w:w="302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1px rgba(255,255,255,.10)</w:t>
            </w:r>
          </w:p>
        </w:tc>
        <w:tc>
          <w:tcPr>
            <w:tcW w:type="dxa" w:w="25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Tonal lift only.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Large media / hero modules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12px</w:t>
            </w:r>
          </w:p>
        </w:tc>
        <w:tc>
          <w:tcPr>
            <w:tcW w:type="dxa" w:w="302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Usually none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Image itself creates depth.</w:t>
            </w:r>
          </w:p>
        </w:tc>
      </w:tr>
      <w:tr>
        <w:tc>
          <w:tcPr>
            <w:tcW w:type="dxa" w:w="244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Pills / tags</w:t>
            </w:r>
          </w:p>
        </w:tc>
        <w:tc>
          <w:tcPr>
            <w:tcW w:type="dxa" w:w="14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999px</w:t>
            </w:r>
          </w:p>
        </w:tc>
        <w:tc>
          <w:tcPr>
            <w:tcW w:type="dxa" w:w="302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1px subtle</w:t>
            </w:r>
          </w:p>
        </w:tc>
        <w:tc>
          <w:tcPr>
            <w:tcW w:type="dxa" w:w="25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Use sparingly for metadata.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Floating nav</w:t>
            </w:r>
          </w:p>
        </w:tc>
        <w:tc>
          <w:tcPr>
            <w:tcW w:type="dxa" w:w="14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12–16px</w:t>
            </w:r>
          </w:p>
        </w:tc>
        <w:tc>
          <w:tcPr>
            <w:tcW w:type="dxa" w:w="302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1px white/10%</w:t>
            </w:r>
          </w:p>
        </w:tc>
        <w:tc>
          <w:tcPr>
            <w:tcW w:type="dxa" w:w="25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Optional backdrop blur 12–18px.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Prefer tonal layers over heavy shadows.</w:t>
      </w:r>
    </w:p>
    <w:p>
      <w:pPr>
        <w:pStyle w:val="ListBullet"/>
        <w:spacing w:after="40"/>
      </w:pPr>
      <w:r>
        <w:t>Use gold glow only for focused/active states, never as ambient decoration behind every card.</w:t>
      </w:r>
    </w:p>
    <w:p>
      <w:pPr>
        <w:pStyle w:val="ListBullet"/>
        <w:spacing w:after="40"/>
      </w:pPr>
      <w:r>
        <w:t>One-pixel lines are part of the visual language: architecture lines, progress tracks, dividers, and active borders.</w:t>
      </w:r>
    </w:p>
    <w:p>
      <w:pPr>
        <w:pStyle w:val="ListBullet"/>
        <w:spacing w:after="40"/>
      </w:pPr>
      <w:r>
        <w:t>Avoid consumer-app roundness. Large 24–32px radii will make the site feel soft and generic.</w:t>
      </w:r>
    </w:p>
    <w:p>
      <w:r>
        <w:br w:type="page"/>
      </w:r>
    </w:p>
    <w:p>
      <w:pPr>
        <w:pStyle w:val="TechLabel"/>
      </w:pPr>
      <w:r>
        <w:t>07 / IMAGERY</w:t>
      </w:r>
    </w:p>
    <w:p>
      <w:pPr>
        <w:pStyle w:val="Heading1"/>
      </w:pPr>
      <w:r>
        <w:t>Imagery &amp; visual asset language</w:t>
      </w:r>
    </w:p>
    <w:p>
      <w:pPr>
        <w:pStyle w:val="Heading2"/>
      </w:pPr>
      <w:r>
        <w:t>Priority order</w:t>
      </w:r>
    </w:p>
    <w:p>
      <w:pPr>
        <w:pStyle w:val="ListNumber"/>
        <w:spacing w:after="40"/>
      </w:pPr>
      <w:r>
        <w:t>Real Digi02 product / hardware / interface imagery.</w:t>
      </w:r>
    </w:p>
    <w:p>
      <w:pPr>
        <w:pStyle w:val="ListNumber"/>
        <w:spacing w:after="40"/>
      </w:pPr>
      <w:r>
        <w:t>High-quality 3D or technical render based on a real Digi02 system.</w:t>
      </w:r>
    </w:p>
    <w:p>
      <w:pPr>
        <w:pStyle w:val="ListNumber"/>
        <w:spacing w:after="40"/>
      </w:pPr>
      <w:r>
        <w:t>Architecture diagram or system visualization derived from the product.</w:t>
      </w:r>
    </w:p>
    <w:p>
      <w:pPr>
        <w:pStyle w:val="ListNumber"/>
        <w:spacing w:after="40"/>
      </w:pPr>
      <w:r>
        <w:t>Documentary photography of real people working with the product.</w:t>
      </w:r>
    </w:p>
    <w:p>
      <w:pPr>
        <w:pStyle w:val="ListNumber"/>
        <w:spacing w:after="40"/>
      </w:pPr>
      <w:r>
        <w:t>Abstract visuals only when they communicate a system concept. Generic stock imagery is the last resort.</w:t>
      </w:r>
    </w:p>
    <w:p>
      <w:pPr>
        <w:pStyle w:val="Heading2"/>
      </w:pPr>
      <w:r>
        <w:t>Cinematic product treatment</w:t>
      </w:r>
    </w:p>
    <w:p>
      <w:pPr>
        <w:pStyle w:val="ListBullet"/>
        <w:spacing w:after="40"/>
      </w:pPr>
      <w:r>
        <w:t>Allow a device, UAV, interface, or technical assembly to occupy 50–80% of a hero viewport.</w:t>
      </w:r>
    </w:p>
    <w:p>
      <w:pPr>
        <w:pStyle w:val="ListBullet"/>
        <w:spacing w:after="40"/>
      </w:pPr>
      <w:r>
        <w:t>Crop intentionally. The whole object does not need to fit; close-ups create scale and confidence.</w:t>
      </w:r>
    </w:p>
    <w:p>
      <w:pPr>
        <w:pStyle w:val="ListBullet"/>
        <w:spacing w:after="40"/>
      </w:pPr>
      <w:r>
        <w:t>Use lighting that separates the object from black without making it look like a luxury ad.</w:t>
      </w:r>
    </w:p>
    <w:p>
      <w:pPr>
        <w:pStyle w:val="ListBullet"/>
        <w:spacing w:after="40"/>
      </w:pPr>
      <w:r>
        <w:t>Overlay information only where the image has negative space. Never cover the important product area with text.</w:t>
      </w:r>
    </w:p>
    <w:p>
      <w:pPr>
        <w:pStyle w:val="ListBullet"/>
        <w:spacing w:after="40"/>
      </w:pPr>
      <w:r>
        <w:t>Use gold as a locator: a line, active node, highlighted subsystem, or small label — not a giant glow.</w:t>
      </w:r>
    </w:p>
    <w:p>
      <w:pPr>
        <w:pStyle w:val="Heading2"/>
      </w:pPr>
      <w:r>
        <w:t>Photography</w:t>
      </w:r>
    </w:p>
    <w:p>
      <w:pPr>
        <w:pStyle w:val="ListBullet"/>
        <w:spacing w:after="40"/>
      </w:pPr>
      <w:r>
        <w:t>Prefer real engineering environments, field deployment, hardware interaction, control rooms, laboratories, offices, or client operations.</w:t>
      </w:r>
    </w:p>
    <w:p>
      <w:pPr>
        <w:pStyle w:val="ListBullet"/>
        <w:spacing w:after="40"/>
      </w:pPr>
      <w:r>
        <w:t>Avoid handshake photos, generic coders looking at screens, fake holograms, random server racks, and “innovation team” stock scenes.</w:t>
      </w:r>
    </w:p>
    <w:p>
      <w:pPr>
        <w:pStyle w:val="ListBullet"/>
        <w:spacing w:after="40"/>
      </w:pPr>
      <w:r>
        <w:t>Grade images toward neutral blacks, controlled warm highlights, and natural skin tones. Do not wash every image in gold.</w:t>
      </w:r>
    </w:p>
    <w:p>
      <w:r>
        <w:br w:type="page"/>
      </w:r>
    </w:p>
    <w:p>
      <w:pPr>
        <w:pStyle w:val="TechLabel"/>
      </w:pPr>
      <w:r>
        <w:t>08 / SYSTEM VISUALS</w:t>
      </w:r>
    </w:p>
    <w:p>
      <w:pPr>
        <w:pStyle w:val="Heading1"/>
      </w:pPr>
      <w:r>
        <w:t>Architecture diagrams &amp; technical visual language</w:t>
      </w:r>
    </w:p>
    <w:p>
      <w:r>
        <w:t>Intent HQ demonstrates a critical idea: technical complexity can be a visual asset when it is made understandable. Digi02 should use diagrams as product communication, not decoration.</w:t>
      </w:r>
    </w:p>
    <w:p>
      <w:pPr>
        <w:pStyle w:val="Heading2"/>
      </w:pPr>
      <w:r>
        <w:t>Diagram grammar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tblHeader w:val="true"/>
        </w:trPr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Element</w:t>
            </w:r>
          </w:p>
        </w:tc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Default treatment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Node</w:t>
            </w:r>
          </w:p>
        </w:tc>
        <w:tc>
          <w:tcPr>
            <w:tcW w:type="dxa" w:w="73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Dark surface, 1px white/10% border; active node uses gold border or dot.</w:t>
            </w:r>
          </w:p>
        </w:tc>
      </w:tr>
      <w:tr>
        <w:tc>
          <w:tcPr>
            <w:tcW w:type="dxa" w:w="216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Connector</w:t>
            </w:r>
          </w:p>
        </w:tc>
        <w:tc>
          <w:tcPr>
            <w:tcW w:type="dxa" w:w="73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1px neutral line; gold only for the current/active path.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Stage number</w:t>
            </w:r>
          </w:p>
        </w:tc>
        <w:tc>
          <w:tcPr>
            <w:tcW w:type="dxa" w:w="73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Mono 10–12px; 01, 02, 03...</w:t>
            </w:r>
          </w:p>
        </w:tc>
      </w:tr>
      <w:tr>
        <w:tc>
          <w:tcPr>
            <w:tcW w:type="dxa" w:w="216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Stage title</w:t>
            </w:r>
          </w:p>
        </w:tc>
        <w:tc>
          <w:tcPr>
            <w:tcW w:type="dxa" w:w="73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Inter/Space Grotesk 18–28px depending scale.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Metadata</w:t>
            </w:r>
          </w:p>
        </w:tc>
        <w:tc>
          <w:tcPr>
            <w:tcW w:type="dxa" w:w="73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Mono uppercase, muted white; 0.12em tracking.</w:t>
            </w:r>
          </w:p>
        </w:tc>
      </w:tr>
      <w:tr>
        <w:tc>
          <w:tcPr>
            <w:tcW w:type="dxa" w:w="216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Status</w:t>
            </w:r>
          </w:p>
        </w:tc>
        <w:tc>
          <w:tcPr>
            <w:tcW w:type="dxa" w:w="73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Small dot + concise word: ACTIVE, VERIFIED, LOCAL, SECURE.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Annotation</w:t>
            </w:r>
          </w:p>
        </w:tc>
        <w:tc>
          <w:tcPr>
            <w:tcW w:type="dxa" w:w="73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Short, specific, placed close to the object it explains.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interactive diagram patterns</w:t>
      </w:r>
    </w:p>
    <w:p>
      <w:pPr>
        <w:pStyle w:val="ListBullet"/>
        <w:spacing w:after="40"/>
      </w:pPr>
      <w:r>
        <w:t>Scroll-to-activate pipeline: one stage becomes gold while the rest remain muted.</w:t>
      </w:r>
    </w:p>
    <w:p>
      <w:pPr>
        <w:pStyle w:val="ListBullet"/>
        <w:spacing w:after="40"/>
      </w:pPr>
      <w:r>
        <w:t>Hover-to-inspect subsystem: reveal specs or explanatory layer without navigating away.</w:t>
      </w:r>
    </w:p>
    <w:p>
      <w:pPr>
        <w:pStyle w:val="ListBullet"/>
        <w:spacing w:after="40"/>
      </w:pPr>
      <w:r>
        <w:t>Before/after or split-state slider for transformation workflows.</w:t>
      </w:r>
    </w:p>
    <w:p>
      <w:pPr>
        <w:pStyle w:val="ListBullet"/>
        <w:spacing w:after="40"/>
      </w:pPr>
      <w:r>
        <w:t>Sticky architecture canvas with narrative text advancing beside it.</w:t>
      </w:r>
    </w:p>
    <w:p>
      <w:pPr>
        <w:pStyle w:val="ListBullet"/>
        <w:spacing w:after="40"/>
      </w:pPr>
      <w:r>
        <w:t>Clickable node map for complex systems, with keyboard-equivalent controls.</w:t>
      </w:r>
    </w:p>
    <w:p>
      <w:r>
        <w:br w:type="page"/>
      </w:r>
    </w:p>
    <w:p>
      <w:pPr>
        <w:pStyle w:val="TechLabel"/>
      </w:pPr>
      <w:r>
        <w:t>09 / UI LANGUAGE</w:t>
      </w:r>
    </w:p>
    <w:p>
      <w:pPr>
        <w:pStyle w:val="Heading1"/>
      </w:pPr>
      <w:r>
        <w:t>Iconography, metadata &amp; micro-labels</w:t>
      </w:r>
    </w:p>
    <w:p>
      <w:pPr>
        <w:pStyle w:val="ListBullet"/>
        <w:spacing w:after="40"/>
      </w:pPr>
      <w:r>
        <w:t>Use a consistent outline icon family at 1.5–1.75px stroke. Avoid mixed filled/outline icon packs.</w:t>
      </w:r>
    </w:p>
    <w:p>
      <w:pPr>
        <w:pStyle w:val="ListBullet"/>
        <w:spacing w:after="40"/>
      </w:pPr>
      <w:r>
        <w:t>Use icons for recognition, not decoration. If text is clearer, use text.</w:t>
      </w:r>
    </w:p>
    <w:p>
      <w:pPr>
        <w:pStyle w:val="ListBullet"/>
        <w:spacing w:after="40"/>
      </w:pPr>
      <w:r>
        <w:t>Technical micro-label format: DIGI02 / AUTONOMOUS SYSTEMS, SYSTEM 04, LINK / ACTIVE, NAV / AUTONOMOUS.</w:t>
      </w:r>
    </w:p>
    <w:p>
      <w:pPr>
        <w:pStyle w:val="ListBullet"/>
        <w:spacing w:after="40"/>
      </w:pPr>
      <w:r>
        <w:t>Do not fabricate telemetry. Any value that looks like a real metric must be real, explicitly illustrative, or clearly labeled DEMO.</w:t>
      </w:r>
    </w:p>
    <w:p>
      <w:pPr>
        <w:pStyle w:val="ListBullet"/>
        <w:spacing w:after="40"/>
      </w:pPr>
      <w:r>
        <w:t>Use numerals for progression and hierarchy: 01 / 02 / 03. This works especially well for process, architecture, or product layers.</w:t>
      </w:r>
    </w:p>
    <w:p>
      <w:r>
        <w:br w:type="page"/>
      </w:r>
    </w:p>
    <w:p>
      <w:pPr>
        <w:pStyle w:val="TechLabel"/>
      </w:pPr>
      <w:r>
        <w:t>10 / MOTION</w:t>
      </w:r>
    </w:p>
    <w:p>
      <w:pPr>
        <w:pStyle w:val="Heading1"/>
      </w:pPr>
      <w:r>
        <w:t>Motion &amp; interaction system</w:t>
      </w:r>
    </w:p>
    <w:p>
      <w:r>
        <w:t>Motion should have a job: orient, reveal, connect, demonstrate, or acknowledge. The best reference moments feel cinematic because they use scale and sequencing, not because everything moves.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5688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Token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Duration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Use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motion-instant</w:t>
            </w:r>
          </w:p>
        </w:tc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100–120ms</w:t>
            </w:r>
          </w:p>
        </w:tc>
        <w:tc>
          <w:tcPr>
            <w:tcW w:type="dxa" w:w="56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Press feedback, icon response.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motion-fast</w:t>
            </w:r>
          </w:p>
        </w:tc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160ms</w:t>
            </w:r>
          </w:p>
        </w:tc>
        <w:tc>
          <w:tcPr>
            <w:tcW w:type="dxa" w:w="56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Hover color, border, opacity.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motion-ui</w:t>
            </w:r>
          </w:p>
        </w:tc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240ms</w:t>
            </w:r>
          </w:p>
        </w:tc>
        <w:tc>
          <w:tcPr>
            <w:tcW w:type="dxa" w:w="56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Menus, tooltips, small overlays.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motion-component</w:t>
            </w:r>
          </w:p>
        </w:tc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360–420ms</w:t>
            </w:r>
          </w:p>
        </w:tc>
        <w:tc>
          <w:tcPr>
            <w:tcW w:type="dxa" w:w="56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Cards, drawers, section content reveal.</w:t>
            </w:r>
          </w:p>
        </w:tc>
      </w:tr>
      <w:tr>
        <w:tc>
          <w:tcPr>
            <w:tcW w:type="dxa" w:w="2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motion-scene</w:t>
            </w:r>
          </w:p>
        </w:tc>
        <w:tc>
          <w:tcPr>
            <w:tcW w:type="dxa" w:w="17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600–800ms</w:t>
            </w:r>
          </w:p>
        </w:tc>
        <w:tc>
          <w:tcPr>
            <w:tcW w:type="dxa" w:w="56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Large visual transition or diagram state.</w:t>
            </w:r>
          </w:p>
        </w:tc>
      </w:tr>
      <w:tr>
        <w:tc>
          <w:tcPr>
            <w:tcW w:type="dxa" w:w="223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motion-cinematic</w:t>
            </w:r>
          </w:p>
        </w:tc>
        <w:tc>
          <w:tcPr>
            <w:tcW w:type="dxa" w:w="17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800–1200ms</w:t>
            </w:r>
          </w:p>
        </w:tc>
        <w:tc>
          <w:tcPr>
            <w:tcW w:type="dxa" w:w="56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Hero object rotation, scene shift, product dissection.</w:t>
            </w:r>
          </w:p>
        </w:tc>
      </w:tr>
    </w:tbl>
    <w:p>
      <w:pPr>
        <w:spacing w:after="0"/>
      </w:pPr>
    </w:p>
    <w:p>
      <w:pPr>
        <w:pStyle w:val="Heading2"/>
      </w:pPr>
      <w:r>
        <w:t>Easing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0B0B0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2B2B2B"/>
              <w:left w:val="single" w:sz="4" w:color="2B2B2B"/>
              <w:bottom w:val="single" w:sz="4" w:color="2B2B2B"/>
              <w:right w:val="single" w:sz="4" w:color="2B2B2B"/>
            </w:tcBorders>
          </w:tcPr>
          <w:p>
            <w:pPr>
              <w:pStyle w:val="CodeToken"/>
            </w:pPr>
            <w:r>
              <w:t>--ease-standard: cubic-bezier(0.22, 1, 0.36, 1);</w:t>
            </w:r>
          </w:p>
          <w:p>
            <w:pPr>
              <w:pStyle w:val="CodeToken"/>
            </w:pPr>
            <w:r>
              <w:t>--ease-emphasized: cubic-bezier(0.16, 1, 0.3, 1);</w:t>
            </w:r>
          </w:p>
          <w:p>
            <w:pPr>
              <w:pStyle w:val="CodeToken"/>
            </w:pPr>
            <w:r>
              <w:t>--ease-exit: cubic-bezier(0.4, 0, 1, 1);</w:t>
            </w:r>
          </w:p>
        </w:tc>
      </w:tr>
    </w:tbl>
    <w:p>
      <w:pPr>
        <w:spacing w:after="0"/>
      </w:pPr>
    </w:p>
    <w:p>
      <w:pPr>
        <w:pStyle w:val="Heading2"/>
      </w:pPr>
      <w:r>
        <w:t>Scroll behavior</w:t>
      </w:r>
    </w:p>
    <w:p>
      <w:pPr>
        <w:pStyle w:val="ListBullet"/>
        <w:spacing w:after="40"/>
      </w:pPr>
      <w:r>
        <w:t>Use sticky sections for chapter-based storytelling; do not pin the entire site.</w:t>
      </w:r>
    </w:p>
    <w:p>
      <w:pPr>
        <w:pStyle w:val="ListBullet"/>
        <w:spacing w:after="40"/>
      </w:pPr>
      <w:r>
        <w:t>Translate elements modestly: 16–40px is usually enough. Avoid objects flying 300px into view.</w:t>
      </w:r>
    </w:p>
    <w:p>
      <w:pPr>
        <w:pStyle w:val="ListBullet"/>
        <w:spacing w:after="40"/>
      </w:pPr>
      <w:r>
        <w:t>Use opacity + transform, not blur-heavy reveals on every section.</w:t>
      </w:r>
    </w:p>
    <w:p>
      <w:pPr>
        <w:pStyle w:val="ListBullet"/>
        <w:spacing w:after="40"/>
      </w:pPr>
      <w:r>
        <w:t>For product rotation/disassembly, scrub motion to scroll progress only when the visual meaning remains understandable at any point.</w:t>
      </w:r>
    </w:p>
    <w:p>
      <w:pPr>
        <w:pStyle w:val="ListBullet"/>
        <w:spacing w:after="40"/>
      </w:pPr>
      <w:r>
        <w:t>Use progress indicators for long chapter sequences. A thin gold line or numbered chapter state is enough.</w:t>
      </w:r>
    </w:p>
    <w:p>
      <w:pPr>
        <w:pStyle w:val="ListBullet"/>
        <w:spacing w:after="40"/>
      </w:pPr>
      <w:r>
        <w:t>Never hide critical information behind hover-only interactions.</w:t>
      </w:r>
    </w:p>
    <w:p>
      <w:pPr>
        <w:pStyle w:val="Heading2"/>
      </w:pPr>
      <w:r>
        <w:t>Hover &amp; focus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rPr>
          <w:tblHeader w:val="true"/>
        </w:trPr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Interaction</w:t>
            </w:r>
          </w:p>
        </w:tc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Behavior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 button</w:t>
            </w:r>
          </w:p>
        </w:tc>
        <w:tc>
          <w:tcPr>
            <w:tcW w:type="dxa" w:w="72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surface brightens slightly; arrow moves 3–4px; 160ms.</w:t>
            </w:r>
          </w:p>
        </w:tc>
      </w:tr>
      <w:tr>
        <w:tc>
          <w:tcPr>
            <w:tcW w:type="dxa" w:w="23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Secondary button</w:t>
            </w:r>
          </w:p>
        </w:tc>
        <w:tc>
          <w:tcPr>
            <w:tcW w:type="dxa" w:w="72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Border shifts from white/18% to gold/70%; text stays stable.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Text link</w:t>
            </w:r>
          </w:p>
        </w:tc>
        <w:tc>
          <w:tcPr>
            <w:tcW w:type="dxa" w:w="72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underline draws from left to right; arrow moves 2px.</w:t>
            </w:r>
          </w:p>
        </w:tc>
      </w:tr>
      <w:tr>
        <w:tc>
          <w:tcPr>
            <w:tcW w:type="dxa" w:w="23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Card</w:t>
            </w:r>
          </w:p>
        </w:tc>
        <w:tc>
          <w:tcPr>
            <w:tcW w:type="dxa" w:w="72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1–2px lift or subtle tonal change; do not scale aggressively.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Diagram node</w:t>
            </w:r>
          </w:p>
        </w:tc>
        <w:tc>
          <w:tcPr>
            <w:tcW w:type="dxa" w:w="72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ring + connected path activates; details appear in adjacent panel.</w:t>
            </w:r>
          </w:p>
        </w:tc>
      </w:tr>
      <w:tr>
        <w:tc>
          <w:tcPr>
            <w:tcW w:type="dxa" w:w="23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Keyboard focus</w:t>
            </w:r>
          </w:p>
        </w:tc>
        <w:tc>
          <w:tcPr>
            <w:tcW w:type="dxa" w:w="72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2px gold focus ring with 2px offset; must remain clearly visible.</w:t>
            </w:r>
          </w:p>
        </w:tc>
      </w:tr>
    </w:tbl>
    <w:p>
      <w:pPr>
        <w:spacing w:after="0"/>
      </w:pPr>
    </w:p>
    <w:p>
      <w:pPr>
        <w:pStyle w:val="Heading2"/>
      </w:pPr>
      <w:r>
        <w:t>Reduced motion</w:t>
      </w:r>
    </w:p>
    <w:p>
      <w:r>
        <w:t>When prefers-reduced-motion is enabled, remove parallax, 3D rotation, autoplay scene changes, and scrubbed transforms. Preserve hierarchy with instant or short opacity transitions and static diagrams.</w:t>
      </w:r>
    </w:p>
    <w:p>
      <w:r>
        <w:br w:type="page"/>
      </w:r>
    </w:p>
    <w:p>
      <w:pPr>
        <w:pStyle w:val="TechLabel"/>
      </w:pPr>
      <w:r>
        <w:t>11 / NAVIGATION</w:t>
      </w:r>
    </w:p>
    <w:p>
      <w:pPr>
        <w:pStyle w:val="Heading1"/>
      </w:pPr>
      <w:r>
        <w:t>Navigation &amp; information architecture</w:t>
      </w:r>
    </w:p>
    <w:p>
      <w:pPr>
        <w:pStyle w:val="Heading2"/>
      </w:pPr>
      <w:r>
        <w:t>Recommended top-level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200"/>
      </w:tblGrid>
      <w:tr>
        <w:trPr>
          <w:tblHeader w:val="true"/>
        </w:trPr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Primary</w:t>
            </w:r>
          </w:p>
        </w:tc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Purpose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Capabilities</w:t>
            </w:r>
          </w:p>
        </w:tc>
        <w:tc>
          <w:tcPr>
            <w:tcW w:type="dxa" w:w="72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Software, ERP, payroll, transaction systems, autonomous systems.</w:t>
            </w:r>
          </w:p>
        </w:tc>
      </w:tr>
      <w:tr>
        <w:tc>
          <w:tcPr>
            <w:tcW w:type="dxa" w:w="23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Systems</w:t>
            </w:r>
          </w:p>
        </w:tc>
        <w:tc>
          <w:tcPr>
            <w:tcW w:type="dxa" w:w="72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Named Digi02 products/platforms or grouped system families.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Industries</w:t>
            </w:r>
          </w:p>
        </w:tc>
        <w:tc>
          <w:tcPr>
            <w:tcW w:type="dxa" w:w="72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Where the systems operate and who they serve.</w:t>
            </w:r>
          </w:p>
        </w:tc>
      </w:tr>
      <w:tr>
        <w:tc>
          <w:tcPr>
            <w:tcW w:type="dxa" w:w="23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Company</w:t>
            </w:r>
          </w:p>
        </w:tc>
        <w:tc>
          <w:tcPr>
            <w:tcW w:type="dxa" w:w="72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About, leadership, careers, partnerships.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Insights</w:t>
            </w:r>
          </w:p>
        </w:tc>
        <w:tc>
          <w:tcPr>
            <w:tcW w:type="dxa" w:w="72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Case studies, engineering notes, research, news.</w:t>
            </w:r>
          </w:p>
        </w:tc>
      </w:tr>
      <w:tr>
        <w:tc>
          <w:tcPr>
            <w:tcW w:type="dxa" w:w="23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Talk to Engineering</w:t>
            </w:r>
          </w:p>
        </w:tc>
        <w:tc>
          <w:tcPr>
            <w:tcW w:type="dxa" w:w="72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 CTA; opens contact or project enquiry path.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Keep top navigation to 5–6 primary items.</w:t>
      </w:r>
    </w:p>
    <w:p>
      <w:pPr>
        <w:pStyle w:val="ListBullet"/>
        <w:spacing w:after="40"/>
      </w:pPr>
      <w:r>
        <w:t>Use a dark mega-menu with grouped capability families, short descriptions, and one featured case or system visual.</w:t>
      </w:r>
    </w:p>
    <w:p>
      <w:pPr>
        <w:pStyle w:val="ListBullet"/>
        <w:spacing w:after="40"/>
      </w:pPr>
      <w:r>
        <w:t>Floating navigation may use a subtle translucent black surface, 1px white/10% border, and 12–18px blur.</w:t>
      </w:r>
    </w:p>
    <w:p>
      <w:pPr>
        <w:pStyle w:val="ListBullet"/>
        <w:spacing w:after="40"/>
      </w:pPr>
      <w:r>
        <w:t>Do not overfill the nav with every service. The page should feel curated, not like a sitemap.</w:t>
      </w:r>
    </w:p>
    <w:p>
      <w:r>
        <w:br w:type="page"/>
      </w:r>
    </w:p>
    <w:p>
      <w:pPr>
        <w:pStyle w:val="TechLabel"/>
      </w:pPr>
      <w:r>
        <w:t>12 / COMPONENTS</w:t>
      </w:r>
    </w:p>
    <w:p>
      <w:pPr>
        <w:pStyle w:val="Heading1"/>
      </w:pPr>
      <w:r>
        <w:t>Core component rules</w:t>
      </w:r>
    </w:p>
    <w:p>
      <w:pPr>
        <w:pStyle w:val="Heading2"/>
      </w:pPr>
      <w:r>
        <w:t>Buttons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240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Variant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Treatment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Use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Primary</w:t>
            </w:r>
          </w:p>
        </w:tc>
        <w:tc>
          <w:tcPr>
            <w:tcW w:type="dxa" w:w="432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Gold background, black text, 4px radius, concise label + arrow.</w:t>
            </w:r>
          </w:p>
        </w:tc>
        <w:tc>
          <w:tcPr>
            <w:tcW w:type="dxa" w:w="32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One dominant CTA per section.</w:t>
            </w:r>
          </w:p>
        </w:tc>
      </w:tr>
      <w:tr>
        <w:tc>
          <w:tcPr>
            <w:tcW w:type="dxa" w:w="19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Secondary</w:t>
            </w:r>
          </w:p>
        </w:tc>
        <w:tc>
          <w:tcPr>
            <w:tcW w:type="dxa" w:w="432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Transparent, white/18% border, white text.</w:t>
            </w:r>
          </w:p>
        </w:tc>
        <w:tc>
          <w:tcPr>
            <w:tcW w:type="dxa" w:w="32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Alternative action.</w:t>
            </w:r>
          </w:p>
        </w:tc>
      </w:tr>
      <w:tr>
        <w:tc>
          <w:tcPr>
            <w:tcW w:type="dxa" w:w="19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Ghost</w:t>
            </w:r>
          </w:p>
        </w:tc>
        <w:tc>
          <w:tcPr>
            <w:tcW w:type="dxa" w:w="432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Text only, optional arrow, gold on interaction.</w:t>
            </w:r>
          </w:p>
        </w:tc>
        <w:tc>
          <w:tcPr>
            <w:tcW w:type="dxa" w:w="32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Navigation and low-priority actions.</w:t>
            </w:r>
          </w:p>
        </w:tc>
      </w:tr>
      <w:tr>
        <w:tc>
          <w:tcPr>
            <w:tcW w:type="dxa" w:w="19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Dark-on-light</w:t>
            </w:r>
          </w:p>
        </w:tc>
        <w:tc>
          <w:tcPr>
            <w:tcW w:type="dxa" w:w="432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Black background, white text.</w:t>
            </w:r>
          </w:p>
        </w:tc>
        <w:tc>
          <w:tcPr>
            <w:tcW w:type="dxa" w:w="324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Rare light/editorial sections.</w:t>
            </w:r>
          </w:p>
        </w:tc>
      </w:tr>
    </w:tbl>
    <w:p>
      <w:pPr>
        <w:spacing w:after="0"/>
      </w:pPr>
    </w:p>
    <w:p>
      <w:pPr>
        <w:pStyle w:val="Heading2"/>
      </w:pPr>
      <w:r>
        <w:t>Cards</w:t>
      </w:r>
    </w:p>
    <w:p>
      <w:r>
        <w:t>Cards are not the default layout. Use them when the content is a bounded object: a case study, product module, dataset, article, comparison item, or interactive demo. For service storytelling, prefer open compositions, diagrams, or full-width media.</w:t>
      </w:r>
    </w:p>
    <w:p>
      <w:pPr>
        <w:pStyle w:val="Heading2"/>
      </w:pPr>
      <w:r>
        <w:t>Tags and chips</w:t>
      </w:r>
    </w:p>
    <w:p>
      <w:pPr>
        <w:pStyle w:val="ListBullet"/>
        <w:spacing w:after="40"/>
      </w:pPr>
      <w:r>
        <w:t>Use for metadata such as AUTONOMOUS, SECURE PAYMENTS, ERP, DEPLOYED, CASE STUDY.</w:t>
      </w:r>
    </w:p>
    <w:p>
      <w:pPr>
        <w:pStyle w:val="ListBullet"/>
        <w:spacing w:after="40"/>
      </w:pPr>
      <w:r>
        <w:t>Small height (24–28px), subtle border, minimal radius, mono or small UI text.</w:t>
      </w:r>
    </w:p>
    <w:p>
      <w:pPr>
        <w:pStyle w:val="ListBullet"/>
        <w:spacing w:after="40"/>
      </w:pPr>
      <w:r>
        <w:t>Avoid clouds of 10–15 decorative tags.</w:t>
      </w:r>
    </w:p>
    <w:p>
      <w:pPr>
        <w:pStyle w:val="Heading2"/>
      </w:pPr>
      <w:r>
        <w:t>Forms</w:t>
      </w:r>
    </w:p>
    <w:p>
      <w:pPr>
        <w:pStyle w:val="ListBullet"/>
        <w:spacing w:after="40"/>
      </w:pPr>
      <w:r>
        <w:t>Labels above inputs; never rely on placeholder as label.</w:t>
      </w:r>
    </w:p>
    <w:p>
      <w:pPr>
        <w:pStyle w:val="ListBullet"/>
        <w:spacing w:after="40"/>
      </w:pPr>
      <w:r>
        <w:t>Dark input surface #111112; 1px border white/12%; gold focus state.</w:t>
      </w:r>
    </w:p>
    <w:p>
      <w:pPr>
        <w:pStyle w:val="ListBullet"/>
        <w:spacing w:after="40"/>
      </w:pPr>
      <w:r>
        <w:t>Error messaging must be specific and adjacent to the field.</w:t>
      </w:r>
    </w:p>
    <w:p>
      <w:pPr>
        <w:pStyle w:val="ListBullet"/>
        <w:spacing w:after="40"/>
      </w:pPr>
      <w:r>
        <w:t>Project enquiry form should feel consultative, not like a generic “Contact us” form.</w:t>
      </w:r>
    </w:p>
    <w:p>
      <w:r>
        <w:br w:type="page"/>
      </w:r>
    </w:p>
    <w:p>
      <w:pPr>
        <w:pStyle w:val="TechLabel"/>
      </w:pPr>
      <w:r>
        <w:t>13 / CONTENT</w:t>
      </w:r>
    </w:p>
    <w:p>
      <w:pPr>
        <w:pStyle w:val="Heading1"/>
      </w:pPr>
      <w:r>
        <w:t>Content, voice &amp; evidence</w:t>
      </w:r>
    </w:p>
    <w:p>
      <w:pPr>
        <w:pStyle w:val="Heading2"/>
      </w:pPr>
      <w:r>
        <w:t>Voice</w:t>
      </w:r>
    </w:p>
    <w:p>
      <w:pPr>
        <w:pStyle w:val="ListBullet"/>
        <w:spacing w:after="40"/>
      </w:pPr>
      <w:r>
        <w:t>Technical, calm, specific, confident.</w:t>
      </w:r>
    </w:p>
    <w:p>
      <w:pPr>
        <w:pStyle w:val="ListBullet"/>
        <w:spacing w:after="40"/>
      </w:pPr>
      <w:r>
        <w:t>Short claims followed by proof.</w:t>
      </w:r>
    </w:p>
    <w:p>
      <w:pPr>
        <w:pStyle w:val="ListBullet"/>
        <w:spacing w:after="40"/>
      </w:pPr>
      <w:r>
        <w:t>Use verbs: engineer, integrate, automate, secure, deploy, control, monitor, reconcile, optimize.</w:t>
      </w:r>
    </w:p>
    <w:p>
      <w:pPr>
        <w:pStyle w:val="ListBullet"/>
        <w:spacing w:after="40"/>
      </w:pPr>
      <w:r>
        <w:t>Avoid empty phrases: cutting-edge, revolutionary, world-class, seamless, innovative solutions, next-generation — unless the claim is immediately substantiated.</w:t>
      </w:r>
    </w:p>
    <w:p>
      <w:pPr>
        <w:pStyle w:val="ListBullet"/>
        <w:spacing w:after="40"/>
      </w:pPr>
      <w:r>
        <w:t>Write like engineers explaining capability to serious buyers, not like an agency trying to impress everyone.</w:t>
      </w:r>
    </w:p>
    <w:p>
      <w:pPr>
        <w:pStyle w:val="Heading2"/>
      </w:pPr>
      <w:r>
        <w:t>Evidence hierarchy</w:t>
      </w:r>
    </w:p>
    <w:p>
      <w:pPr>
        <w:pStyle w:val="ListNumber"/>
        <w:spacing w:after="40"/>
      </w:pPr>
      <w:r>
        <w:t>Case outcome: measurable result, named context when permission allows.</w:t>
      </w:r>
    </w:p>
    <w:p>
      <w:pPr>
        <w:pStyle w:val="ListNumber"/>
        <w:spacing w:after="40"/>
      </w:pPr>
      <w:r>
        <w:t>System proof: architecture, product screenshot, live demo, deployment view, spec, integration map.</w:t>
      </w:r>
    </w:p>
    <w:p>
      <w:pPr>
        <w:pStyle w:val="ListNumber"/>
        <w:spacing w:after="40"/>
      </w:pPr>
      <w:r>
        <w:t>Operational proof: uptime, throughput, transactions, deployments, users, regions — only if verified.</w:t>
      </w:r>
    </w:p>
    <w:p>
      <w:pPr>
        <w:pStyle w:val="ListNumber"/>
        <w:spacing w:after="40"/>
      </w:pPr>
      <w:r>
        <w:t>Trust proof: certifications, partners, audits, patents, standards, security controls — only if current and accurate.</w:t>
      </w:r>
    </w:p>
    <w:p>
      <w:pPr>
        <w:pStyle w:val="ListNumber"/>
        <w:spacing w:after="40"/>
      </w:pPr>
      <w:r>
        <w:t>Human proof: client quote or expert endorsement with clear identity and permission.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0B0B0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C9A34A"/>
              <w:left w:val="single" w:sz="18" w:color="C9A34A"/>
              <w:bottom w:val="single" w:sz="4" w:color="C9A34A"/>
              <w:right w:val="single" w:sz="4" w:color="C9A34A"/>
            </w:tcBorders>
          </w:tcPr>
          <w:p>
            <w:r>
              <w:rPr>
                <w:rFonts w:ascii="Inter" w:hAnsi="Inter"/>
                <w:b/>
                <w:color w:val="E0BC67"/>
                <w:sz w:val="20"/>
              </w:rPr>
              <w:t>NO FAKE TELEMETRY</w:t>
            </w:r>
          </w:p>
          <w:p>
            <w:r>
              <w:rPr>
                <w:color w:val="E7E5DF"/>
                <w:sz w:val="18"/>
              </w:rPr>
              <w:t>A premium technical website loses trust instantly when decorative metrics look real but are invented. Use verified data, clearly labeled demo data, or purely qualitative diagrams.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14 / HOME</w:t>
      </w:r>
    </w:p>
    <w:p>
      <w:pPr>
        <w:pStyle w:val="Heading1"/>
      </w:pPr>
      <w:r>
        <w:t>Homepage choreography</w:t>
      </w:r>
    </w:p>
    <w:p>
      <w:r>
        <w:t>The homepage should behave like a controlled introduction to a systems company, not a catalogue of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4392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Chapter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Purpose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Recommended visual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01 / Hero</w:t>
            </w:r>
          </w:p>
        </w:tc>
        <w:tc>
          <w:tcPr>
            <w:tcW w:type="dxa" w:w="35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Define the company in one sentence.</w:t>
            </w:r>
          </w:p>
        </w:tc>
        <w:tc>
          <w:tcPr>
            <w:tcW w:type="dxa" w:w="43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Large real system/product visual; subtle chapter label; one primary CTA.</w:t>
            </w:r>
          </w:p>
        </w:tc>
      </w:tr>
      <w:tr>
        <w:tc>
          <w:tcPr>
            <w:tcW w:type="dxa" w:w="165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02 / Proof</w:t>
            </w:r>
          </w:p>
        </w:tc>
        <w:tc>
          <w:tcPr>
            <w:tcW w:type="dxa" w:w="35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Establish scale and credibility fast.</w:t>
            </w:r>
          </w:p>
        </w:tc>
        <w:tc>
          <w:tcPr>
            <w:tcW w:type="dxa" w:w="43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3–5 verified metrics, clients, deployments, standards, or outcomes.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03 / Systems</w:t>
            </w:r>
          </w:p>
        </w:tc>
        <w:tc>
          <w:tcPr>
            <w:tcW w:type="dxa" w:w="35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Reveal the capability families.</w:t>
            </w:r>
          </w:p>
        </w:tc>
        <w:tc>
          <w:tcPr>
            <w:tcW w:type="dxa" w:w="43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Scroll-driven system chapters; each with its own subject matter.</w:t>
            </w:r>
          </w:p>
        </w:tc>
      </w:tr>
      <w:tr>
        <w:tc>
          <w:tcPr>
            <w:tcW w:type="dxa" w:w="165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04 / Architecture</w:t>
            </w:r>
          </w:p>
        </w:tc>
        <w:tc>
          <w:tcPr>
            <w:tcW w:type="dxa" w:w="35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Explain how Digi02 thinks.</w:t>
            </w:r>
          </w:p>
        </w:tc>
        <w:tc>
          <w:tcPr>
            <w:tcW w:type="dxa" w:w="43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Interactive system map connecting software, transactions, enterprise, and autonomous systems.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05 / Case evidence</w:t>
            </w:r>
          </w:p>
        </w:tc>
        <w:tc>
          <w:tcPr>
            <w:tcW w:type="dxa" w:w="35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Show what has worked.</w:t>
            </w:r>
          </w:p>
        </w:tc>
        <w:tc>
          <w:tcPr>
            <w:tcW w:type="dxa" w:w="43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Editorial case stories; outcome first, then architecture.</w:t>
            </w:r>
          </w:p>
        </w:tc>
      </w:tr>
      <w:tr>
        <w:tc>
          <w:tcPr>
            <w:tcW w:type="dxa" w:w="165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06 / Engineering approach</w:t>
            </w:r>
          </w:p>
        </w:tc>
        <w:tc>
          <w:tcPr>
            <w:tcW w:type="dxa" w:w="35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Show how Digi02 builds.</w:t>
            </w:r>
          </w:p>
        </w:tc>
        <w:tc>
          <w:tcPr>
            <w:tcW w:type="dxa" w:w="43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Process, stack, security, quality, deployment model.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07 / Insights</w:t>
            </w:r>
          </w:p>
        </w:tc>
        <w:tc>
          <w:tcPr>
            <w:tcW w:type="dxa" w:w="35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Show ongoing expertise.</w:t>
            </w:r>
          </w:p>
        </w:tc>
        <w:tc>
          <w:tcPr>
            <w:tcW w:type="dxa" w:w="439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Engineering notes, research, product updates.</w:t>
            </w:r>
          </w:p>
        </w:tc>
      </w:tr>
      <w:tr>
        <w:tc>
          <w:tcPr>
            <w:tcW w:type="dxa" w:w="1656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08 / CTA</w:t>
            </w:r>
          </w:p>
        </w:tc>
        <w:tc>
          <w:tcPr>
            <w:tcW w:type="dxa" w:w="352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Invite a serious conversation.</w:t>
            </w:r>
          </w:p>
        </w:tc>
        <w:tc>
          <w:tcPr>
            <w:tcW w:type="dxa" w:w="4392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Minimal black/gold contact section: “Talk to Engineering.”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15 / CAPABILITY PAGES</w:t>
      </w:r>
    </w:p>
    <w:p>
      <w:pPr>
        <w:pStyle w:val="Heading1"/>
      </w:pPr>
      <w:r>
        <w:t>Capability-specific visual grammar</w:t>
      </w:r>
    </w:p>
    <w:p>
      <w:pPr>
        <w:pStyle w:val="Heading2"/>
      </w:pPr>
      <w:r>
        <w:t>UAV / Autonomous systems</w:t>
      </w:r>
    </w:p>
    <w:p>
      <w:pPr>
        <w:pStyle w:val="ListBullet"/>
        <w:spacing w:after="40"/>
      </w:pPr>
      <w:r>
        <w:t>Most cinematic page in the system.</w:t>
      </w:r>
    </w:p>
    <w:p>
      <w:pPr>
        <w:pStyle w:val="ListBullet"/>
        <w:spacing w:after="40"/>
      </w:pPr>
      <w:r>
        <w:t>Large aircraft imagery or 3D render; subsystem callouts; mission-control views; flight path or autonomy architecture.</w:t>
      </w:r>
    </w:p>
    <w:p>
      <w:pPr>
        <w:pStyle w:val="ListBullet"/>
        <w:spacing w:after="40"/>
      </w:pPr>
      <w:r>
        <w:t>Use stages such as FLIGHT CONTROL / NAVIGATION / TELEMETRY / PAYLOAD / GROUND CONTROL / MISSION DATA.</w:t>
      </w:r>
    </w:p>
    <w:p>
      <w:pPr>
        <w:pStyle w:val="ListBullet"/>
        <w:spacing w:after="40"/>
      </w:pPr>
      <w:r>
        <w:t>Motion can include controlled rotation, exploded view, map route draw, and subsystem activation.</w:t>
      </w:r>
    </w:p>
    <w:p>
      <w:pPr>
        <w:pStyle w:val="Heading2"/>
      </w:pPr>
      <w:r>
        <w:t>Secure payments</w:t>
      </w:r>
    </w:p>
    <w:p>
      <w:pPr>
        <w:pStyle w:val="ListBullet"/>
        <w:spacing w:after="40"/>
      </w:pPr>
      <w:r>
        <w:t>Use transaction-flow storytelling rather than generic card grids.</w:t>
      </w:r>
    </w:p>
    <w:p>
      <w:pPr>
        <w:pStyle w:val="ListBullet"/>
        <w:spacing w:after="40"/>
      </w:pPr>
      <w:r>
        <w:t>Visual path: DEVICE → AUTHENTICATION → TRANSACTION ENGINE → SECURITY → SETTLEMENT → REPORTING.</w:t>
      </w:r>
    </w:p>
    <w:p>
      <w:pPr>
        <w:pStyle w:val="ListBullet"/>
        <w:spacing w:after="40"/>
      </w:pPr>
      <w:r>
        <w:t>Gold = current transaction stage; white = verified; muted = inactive.</w:t>
      </w:r>
    </w:p>
    <w:p>
      <w:pPr>
        <w:pStyle w:val="Heading2"/>
      </w:pPr>
      <w:r>
        <w:t>Enterprise ERP</w:t>
      </w:r>
    </w:p>
    <w:p>
      <w:pPr>
        <w:pStyle w:val="ListBullet"/>
        <w:spacing w:after="40"/>
      </w:pPr>
      <w:r>
        <w:t>Present the organization as a connected operating system.</w:t>
      </w:r>
    </w:p>
    <w:p>
      <w:pPr>
        <w:pStyle w:val="ListBullet"/>
        <w:spacing w:after="40"/>
      </w:pPr>
      <w:r>
        <w:t>Modules can orbit or connect to a central operating layer: Finance, HR, Inventory, Procurement, Operations, Analytics.</w:t>
      </w:r>
    </w:p>
    <w:p>
      <w:pPr>
        <w:pStyle w:val="ListBullet"/>
        <w:spacing w:after="40"/>
      </w:pPr>
      <w:r>
        <w:t>Use interaction to show data crossing departments and becoming a unified view.</w:t>
      </w:r>
    </w:p>
    <w:p>
      <w:pPr>
        <w:pStyle w:val="Heading2"/>
      </w:pPr>
      <w:r>
        <w:t>Payroll automation</w:t>
      </w:r>
    </w:p>
    <w:p>
      <w:pPr>
        <w:pStyle w:val="ListBullet"/>
        <w:spacing w:after="40"/>
      </w:pPr>
      <w:r>
        <w:t>Use a pipeline metaphor: Employee data → Attendance → Allowances → Tax/PAYE → Approval → Payroll → Reporting.</w:t>
      </w:r>
    </w:p>
    <w:p>
      <w:pPr>
        <w:pStyle w:val="ListBullet"/>
        <w:spacing w:after="40"/>
      </w:pPr>
      <w:r>
        <w:t>Use before/after or throughput visualization to show reduction of manual work when evidence is available.</w:t>
      </w:r>
    </w:p>
    <w:p>
      <w:pPr>
        <w:pStyle w:val="Heading2"/>
      </w:pPr>
      <w:r>
        <w:t>POS systems</w:t>
      </w:r>
    </w:p>
    <w:p>
      <w:pPr>
        <w:pStyle w:val="ListBullet"/>
        <w:spacing w:after="40"/>
      </w:pPr>
      <w:r>
        <w:t>Borrow the “hardware as interface” philosophy from Mobile Hacking Lab.</w:t>
      </w:r>
    </w:p>
    <w:p>
      <w:pPr>
        <w:pStyle w:val="ListBullet"/>
        <w:spacing w:after="40"/>
      </w:pPr>
      <w:r>
        <w:t>Use device close-ups, exploded layers, or retail context; explain hardware → payment → inventory → analytics → branch management.</w:t>
      </w:r>
    </w:p>
    <w:p>
      <w:pPr>
        <w:pStyle w:val="ListBullet"/>
        <w:spacing w:after="40"/>
      </w:pPr>
      <w:r>
        <w:t>Do not make the page look like an e-commerce product listing.</w:t>
      </w:r>
    </w:p>
    <w:p>
      <w:pPr>
        <w:pStyle w:val="Heading2"/>
      </w:pPr>
      <w:r>
        <w:t>Custom software</w:t>
      </w:r>
    </w:p>
    <w:p>
      <w:pPr>
        <w:pStyle w:val="ListBullet"/>
        <w:spacing w:after="40"/>
      </w:pPr>
      <w:r>
        <w:t>Show architecture constructing itself: Frontend → API → Services → Data → Cloud → Security → Monitoring → Integrations.</w:t>
      </w:r>
    </w:p>
    <w:p>
      <w:pPr>
        <w:pStyle w:val="ListBullet"/>
        <w:spacing w:after="40"/>
      </w:pPr>
      <w:r>
        <w:t>Show real screenshots or anonymized product views where possible.</w:t>
      </w:r>
    </w:p>
    <w:p>
      <w:pPr>
        <w:pStyle w:val="ListBullet"/>
        <w:spacing w:after="40"/>
      </w:pPr>
      <w:r>
        <w:t>Use case studies to demonstrate range instead of listing every framework or language in a logo cloud.</w:t>
      </w:r>
    </w:p>
    <w:p>
      <w:r>
        <w:br w:type="page"/>
      </w:r>
    </w:p>
    <w:p>
      <w:pPr>
        <w:pStyle w:val="TechLabel"/>
      </w:pPr>
      <w:r>
        <w:t>16 / RESPONSIVE</w:t>
      </w:r>
    </w:p>
    <w:p>
      <w:pPr>
        <w:pStyle w:val="Heading1"/>
      </w:pPr>
      <w:r>
        <w:t>Responsive behavior</w:t>
      </w:r>
    </w:p>
    <w:p>
      <w:pPr>
        <w:pStyle w:val="ListBullet"/>
        <w:spacing w:after="40"/>
      </w:pPr>
      <w:r>
        <w:t>Mobile is not desktop stacked vertically. Recompose the story around a narrower viewport.</w:t>
      </w:r>
    </w:p>
    <w:p>
      <w:pPr>
        <w:pStyle w:val="ListBullet"/>
        <w:spacing w:after="40"/>
      </w:pPr>
      <w:r>
        <w:t>Cinematic hero objects should crop more aggressively on mobile rather than shrink into tiny full-object images.</w:t>
      </w:r>
    </w:p>
    <w:p>
      <w:pPr>
        <w:pStyle w:val="ListBullet"/>
        <w:spacing w:after="40"/>
      </w:pPr>
      <w:r>
        <w:t>Sticky scrollytelling should become shorter, simpler sequences; if the interaction is fragile on touch, replace it with a controlled carousel or stepped story.</w:t>
      </w:r>
    </w:p>
    <w:p>
      <w:pPr>
        <w:pStyle w:val="ListBullet"/>
        <w:spacing w:after="40"/>
      </w:pPr>
      <w:r>
        <w:t>Horizontal architecture maps should become vertical progressions or swipeable panels with clear position indicators.</w:t>
      </w:r>
    </w:p>
    <w:p>
      <w:pPr>
        <w:pStyle w:val="ListBullet"/>
        <w:spacing w:after="40"/>
      </w:pPr>
      <w:r>
        <w:t>Keep touch targets at least 44×44px.</w:t>
      </w:r>
    </w:p>
    <w:p>
      <w:pPr>
        <w:pStyle w:val="ListBullet"/>
        <w:spacing w:after="40"/>
      </w:pPr>
      <w:r>
        <w:t>Maintain 16px minimum body text.</w:t>
      </w:r>
    </w:p>
    <w:p>
      <w:pPr>
        <w:pStyle w:val="ListBullet"/>
        <w:spacing w:after="40"/>
      </w:pPr>
      <w:r>
        <w:t>Do not use hover as the only way to reveal important content.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3744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Pattern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Desktop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Mobile adaptation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Hero split</w:t>
            </w:r>
          </w:p>
        </w:tc>
        <w:tc>
          <w:tcPr>
            <w:tcW w:type="dxa" w:w="36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Text 4–5 cols / media 7–8 cols</w:t>
            </w:r>
          </w:p>
        </w:tc>
        <w:tc>
          <w:tcPr>
            <w:tcW w:type="dxa" w:w="37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Text first; media full bleed or cropped beneath.</w:t>
            </w:r>
          </w:p>
        </w:tc>
      </w:tr>
      <w:tr>
        <w:tc>
          <w:tcPr>
            <w:tcW w:type="dxa" w:w="216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System map</w:t>
            </w:r>
          </w:p>
        </w:tc>
        <w:tc>
          <w:tcPr>
            <w:tcW w:type="dxa" w:w="36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Horizontal or layered canvas</w:t>
            </w:r>
          </w:p>
        </w:tc>
        <w:tc>
          <w:tcPr>
            <w:tcW w:type="dxa" w:w="37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Vertical stages with active connector.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Mega-menu</w:t>
            </w:r>
          </w:p>
        </w:tc>
        <w:tc>
          <w:tcPr>
            <w:tcW w:type="dxa" w:w="36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Multi-column grouped panel</w:t>
            </w:r>
          </w:p>
        </w:tc>
        <w:tc>
          <w:tcPr>
            <w:tcW w:type="dxa" w:w="37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Full-height navigation sheet.</w:t>
            </w:r>
          </w:p>
        </w:tc>
      </w:tr>
      <w:tr>
        <w:tc>
          <w:tcPr>
            <w:tcW w:type="dxa" w:w="216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Large data grid</w:t>
            </w:r>
          </w:p>
        </w:tc>
        <w:tc>
          <w:tcPr>
            <w:tcW w:type="dxa" w:w="36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3–4 columns</w:t>
            </w:r>
          </w:p>
        </w:tc>
        <w:tc>
          <w:tcPr>
            <w:tcW w:type="dxa" w:w="374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1 column, prioritised content.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Sticky product scene</w:t>
            </w:r>
          </w:p>
        </w:tc>
        <w:tc>
          <w:tcPr>
            <w:tcW w:type="dxa" w:w="36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60–100vh pin</w:t>
            </w:r>
          </w:p>
        </w:tc>
        <w:tc>
          <w:tcPr>
            <w:tcW w:type="dxa" w:w="374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Short pin or static keyframes.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17 / ACCESSIBILITY</w:t>
      </w:r>
    </w:p>
    <w:p>
      <w:pPr>
        <w:pStyle w:val="Heading1"/>
      </w:pPr>
      <w:r>
        <w:t>Accessibility &amp; inclusive interaction</w:t>
      </w:r>
    </w:p>
    <w:p>
      <w:pPr>
        <w:pStyle w:val="Heading2"/>
      </w:pPr>
      <w:r>
        <w:t>Non-negotiables</w:t>
      </w:r>
    </w:p>
    <w:p>
      <w:pPr>
        <w:pStyle w:val="ListBullet"/>
        <w:spacing w:after="40"/>
      </w:pPr>
      <w:r>
        <w:t>Meet WCAG 2.2 AA contrast for text and meaningful controls.</w:t>
      </w:r>
    </w:p>
    <w:p>
      <w:pPr>
        <w:pStyle w:val="ListBullet"/>
        <w:spacing w:after="40"/>
      </w:pPr>
      <w:r>
        <w:t>Visible keyboard focus for every interactive element; gold focus ring recommended.</w:t>
      </w:r>
    </w:p>
    <w:p>
      <w:pPr>
        <w:pStyle w:val="ListBullet"/>
        <w:spacing w:after="40"/>
      </w:pPr>
      <w:r>
        <w:t>Logical heading order; one H1 per page.</w:t>
      </w:r>
    </w:p>
    <w:p>
      <w:pPr>
        <w:pStyle w:val="ListBullet"/>
        <w:spacing w:after="40"/>
      </w:pPr>
      <w:r>
        <w:t>Meaningful alt text for product and diagram imagery; decorative imagery should be ignored by assistive technology.</w:t>
      </w:r>
    </w:p>
    <w:p>
      <w:pPr>
        <w:pStyle w:val="ListBullet"/>
        <w:spacing w:after="40"/>
      </w:pPr>
      <w:r>
        <w:t>Architecture diagrams need a text equivalent or structured explanation.</w:t>
      </w:r>
    </w:p>
    <w:p>
      <w:pPr>
        <w:pStyle w:val="ListBullet"/>
        <w:spacing w:after="40"/>
      </w:pPr>
      <w:r>
        <w:t>Interactive demos must work with keyboard and touch, not mouse only.</w:t>
      </w:r>
    </w:p>
    <w:p>
      <w:pPr>
        <w:pStyle w:val="ListBullet"/>
        <w:spacing w:after="40"/>
      </w:pPr>
      <w:r>
        <w:t>Respect prefers-reduced-motion.</w:t>
      </w:r>
    </w:p>
    <w:p>
      <w:pPr>
        <w:pStyle w:val="ListBullet"/>
        <w:spacing w:after="40"/>
      </w:pPr>
      <w:r>
        <w:t>Never communicate status by color alone; pair color with text, icon, or pattern.</w:t>
      </w:r>
    </w:p>
    <w:p>
      <w:pPr>
        <w:pStyle w:val="Heading2"/>
      </w:pPr>
      <w:r>
        <w:t>Gold contrast warning</w:t>
      </w:r>
    </w:p>
    <w:p>
      <w:r>
        <w:t>Gold text on white often fails contrast when the gold is too light. Use Gold 700 (#86672B) for small text on light backgrounds. Gold 500 (#C9A34A) is best used as an accent, border, icon, large display accent, or on very dark surfaces — not as default small body text.</w:t>
      </w:r>
    </w:p>
    <w:p>
      <w:r>
        <w:br w:type="page"/>
      </w:r>
    </w:p>
    <w:p>
      <w:pPr>
        <w:pStyle w:val="TechLabel"/>
      </w:pPr>
      <w:r>
        <w:t>18 / PERFORMANCE</w:t>
      </w:r>
    </w:p>
    <w:p>
      <w:pPr>
        <w:pStyle w:val="Heading1"/>
      </w:pPr>
      <w:r>
        <w:t>Performance rules for a cinematic site</w:t>
      </w:r>
    </w:p>
    <w:p>
      <w:pPr>
        <w:pStyle w:val="ListBullet"/>
        <w:spacing w:after="40"/>
      </w:pPr>
      <w:r>
        <w:t>Do not trade credibility for a 12-second hero load. The first useful visual should appear quickly.</w:t>
      </w:r>
    </w:p>
    <w:p>
      <w:pPr>
        <w:pStyle w:val="ListBullet"/>
        <w:spacing w:after="40"/>
      </w:pPr>
      <w:r>
        <w:t>Use modern image formats (AVIF/WebP), responsive srcsets, and intentional crop variants.</w:t>
      </w:r>
    </w:p>
    <w:p>
      <w:pPr>
        <w:pStyle w:val="ListBullet"/>
        <w:spacing w:after="40"/>
      </w:pPr>
      <w:r>
        <w:t>Lazy-load non-critical media below the fold.</w:t>
      </w:r>
    </w:p>
    <w:p>
      <w:pPr>
        <w:pStyle w:val="ListBullet"/>
        <w:spacing w:after="40"/>
      </w:pPr>
      <w:r>
        <w:t>Use video only when it communicates more than an image sequence; provide a poster and avoid mandatory audio.</w:t>
      </w:r>
    </w:p>
    <w:p>
      <w:pPr>
        <w:pStyle w:val="ListBullet"/>
        <w:spacing w:after="40"/>
      </w:pPr>
      <w:r>
        <w:t>Prefer transform/opacity animations; avoid animating layout properties that cause reflow.</w:t>
      </w:r>
    </w:p>
    <w:p>
      <w:pPr>
        <w:pStyle w:val="ListBullet"/>
        <w:spacing w:after="40"/>
      </w:pPr>
      <w:r>
        <w:t>For 3D, load a lightweight static hero first, then progressively enhance when the model is ready.</w:t>
      </w:r>
    </w:p>
    <w:p>
      <w:pPr>
        <w:pStyle w:val="ListBullet"/>
        <w:spacing w:after="40"/>
      </w:pPr>
      <w:r>
        <w:t>Reserve GPU-heavy WebGL scenes for moments that materially improve understanding.</w:t>
      </w:r>
    </w:p>
    <w:p>
      <w:pPr>
        <w:pStyle w:val="ListBullet"/>
        <w:spacing w:after="40"/>
      </w:pPr>
      <w:r>
        <w:t>Budget motion libraries and fonts. Do not load three animation frameworks for one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0B0B0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C9A34A"/>
              <w:left w:val="single" w:sz="18" w:color="C9A34A"/>
              <w:bottom w:val="single" w:sz="4" w:color="C9A34A"/>
              <w:right w:val="single" w:sz="4" w:color="C9A34A"/>
            </w:tcBorders>
          </w:tcPr>
          <w:p>
            <w:r>
              <w:rPr>
                <w:rFonts w:ascii="Inter" w:hAnsi="Inter"/>
                <w:b/>
                <w:color w:val="E0BC67"/>
                <w:sz w:val="20"/>
              </w:rPr>
              <w:t>PERFORMANCE IS PART OF THE BRAND</w:t>
            </w:r>
          </w:p>
          <w:p>
            <w:r>
              <w:rPr>
                <w:color w:val="E7E5DF"/>
                <w:sz w:val="18"/>
              </w:rPr>
              <w:t>A company selling serious technology cannot have a website that feels technically careless. Smoothness, loading, responsive behavior, and accessibility are part of the product impression.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19 / TOKENS</w:t>
      </w:r>
    </w:p>
    <w:p>
      <w:pPr>
        <w:pStyle w:val="Heading1"/>
      </w:pPr>
      <w:r>
        <w:t>Implementation tokens</w:t>
      </w:r>
    </w:p>
    <w:p>
      <w:r>
        <w:t>Use these as a starting point. The developer may map them into CSS variables, Tailwind tokens, a design-token file, or the chosen component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0B0B0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2B2B2B"/>
              <w:left w:val="single" w:sz="4" w:color="2B2B2B"/>
              <w:bottom w:val="single" w:sz="4" w:color="2B2B2B"/>
              <w:right w:val="single" w:sz="4" w:color="2B2B2B"/>
            </w:tcBorders>
          </w:tcPr>
          <w:p>
            <w:pPr>
              <w:pStyle w:val="CodeToken"/>
            </w:pPr>
            <w:r>
              <w:t>:root {</w:t>
            </w:r>
          </w:p>
          <w:p>
            <w:pPr>
              <w:pStyle w:val="CodeToken"/>
            </w:pPr>
            <w:r>
              <w:t xml:space="preserve">  --bg-950: #050505;</w:t>
            </w:r>
          </w:p>
          <w:p>
            <w:pPr>
              <w:pStyle w:val="CodeToken"/>
            </w:pPr>
            <w:r>
              <w:t xml:space="preserve">  --bg-900: #0B0B0C;</w:t>
            </w:r>
          </w:p>
          <w:p>
            <w:pPr>
              <w:pStyle w:val="CodeToken"/>
            </w:pPr>
            <w:r>
              <w:t xml:space="preserve">  --surface-800: #111112;</w:t>
            </w:r>
          </w:p>
          <w:p>
            <w:pPr>
              <w:pStyle w:val="CodeToken"/>
            </w:pPr>
            <w:r>
              <w:t xml:space="preserve">  --surface-700: #181818;</w:t>
            </w:r>
          </w:p>
          <w:p>
            <w:pPr>
              <w:pStyle w:val="CodeToken"/>
            </w:pPr>
            <w:r>
              <w:t xml:space="preserve">  --text-primary: #F7F6F2;</w:t>
            </w:r>
          </w:p>
          <w:p>
            <w:pPr>
              <w:pStyle w:val="CodeToken"/>
            </w:pPr>
            <w:r>
              <w:t xml:space="preserve">  --text-secondary: #AAA8A2;</w:t>
            </w:r>
          </w:p>
          <w:p>
            <w:pPr>
              <w:pStyle w:val="CodeToken"/>
            </w:pPr>
            <w:r>
              <w:t xml:space="preserve">  --text-muted: #73716C;</w:t>
            </w:r>
          </w:p>
          <w:p>
            <w:pPr>
              <w:pStyle w:val="CodeToken"/>
            </w:pPr>
            <w:r>
              <w:t xml:space="preserve">  --gold-500: #C9A34A;</w:t>
            </w:r>
          </w:p>
          <w:p>
            <w:pPr>
              <w:pStyle w:val="CodeToken"/>
            </w:pPr>
            <w:r>
              <w:t xml:space="preserve">  --gold-400: #E0BC67;</w:t>
            </w:r>
          </w:p>
          <w:p>
            <w:pPr>
              <w:pStyle w:val="CodeToken"/>
            </w:pPr>
            <w:r>
              <w:t xml:space="preserve">  --gold-700: #86672B;</w:t>
            </w:r>
          </w:p>
          <w:p>
            <w:pPr>
              <w:pStyle w:val="CodeToken"/>
            </w:pPr>
            <w:r>
              <w:t xml:space="preserve">  --line-subtle: rgba(255,255,255,.10);</w:t>
            </w:r>
          </w:p>
          <w:p>
            <w:pPr>
              <w:pStyle w:val="CodeToken"/>
            </w:pPr>
            <w:r>
              <w:t xml:space="preserve">  --line-gold: rgba(201,163,74,.35);</w:t>
            </w:r>
          </w:p>
          <w:p>
            <w:pPr>
              <w:pStyle w:val="CodeToken"/>
            </w:pPr>
            <w:r/>
          </w:p>
          <w:p>
            <w:pPr>
              <w:pStyle w:val="CodeToken"/>
            </w:pPr>
            <w:r>
              <w:t xml:space="preserve">  --radius-control: 4px;</w:t>
            </w:r>
          </w:p>
          <w:p>
            <w:pPr>
              <w:pStyle w:val="CodeToken"/>
            </w:pPr>
            <w:r>
              <w:t xml:space="preserve">  --radius-card: 8px;</w:t>
            </w:r>
          </w:p>
          <w:p>
            <w:pPr>
              <w:pStyle w:val="CodeToken"/>
            </w:pPr>
            <w:r>
              <w:t xml:space="preserve">  --radius-media: 12px;</w:t>
            </w:r>
          </w:p>
          <w:p>
            <w:pPr>
              <w:pStyle w:val="CodeToken"/>
            </w:pPr>
            <w:r/>
          </w:p>
          <w:p>
            <w:pPr>
              <w:pStyle w:val="CodeToken"/>
            </w:pPr>
            <w:r>
              <w:t xml:space="preserve">  --space-1: 8px;</w:t>
            </w:r>
          </w:p>
          <w:p>
            <w:pPr>
              <w:pStyle w:val="CodeToken"/>
            </w:pPr>
            <w:r>
              <w:t xml:space="preserve">  --space-2: 16px;</w:t>
            </w:r>
          </w:p>
          <w:p>
            <w:pPr>
              <w:pStyle w:val="CodeToken"/>
            </w:pPr>
            <w:r>
              <w:t xml:space="preserve">  --space-3: 24px;</w:t>
            </w:r>
          </w:p>
          <w:p>
            <w:pPr>
              <w:pStyle w:val="CodeToken"/>
            </w:pPr>
            <w:r>
              <w:t xml:space="preserve">  --space-4: 32px;</w:t>
            </w:r>
          </w:p>
          <w:p>
            <w:pPr>
              <w:pStyle w:val="CodeToken"/>
            </w:pPr>
            <w:r>
              <w:t xml:space="preserve">  --space-6: 48px;</w:t>
            </w:r>
          </w:p>
          <w:p>
            <w:pPr>
              <w:pStyle w:val="CodeToken"/>
            </w:pPr>
            <w:r>
              <w:t xml:space="preserve">  --space-8: 64px;</w:t>
            </w:r>
          </w:p>
          <w:p>
            <w:pPr>
              <w:pStyle w:val="CodeToken"/>
            </w:pPr>
            <w:r>
              <w:t xml:space="preserve">  --space-12: 96px;</w:t>
            </w:r>
          </w:p>
          <w:p>
            <w:pPr>
              <w:pStyle w:val="CodeToken"/>
            </w:pPr>
            <w:r>
              <w:t xml:space="preserve">  --space-15: 120px;</w:t>
            </w:r>
          </w:p>
          <w:p>
            <w:pPr>
              <w:pStyle w:val="CodeToken"/>
            </w:pPr>
            <w:r>
              <w:t xml:space="preserve">  --space-20: 160px;</w:t>
            </w:r>
          </w:p>
          <w:p>
            <w:pPr>
              <w:pStyle w:val="CodeToken"/>
            </w:pPr>
            <w:r/>
          </w:p>
          <w:p>
            <w:pPr>
              <w:pStyle w:val="CodeToken"/>
            </w:pPr>
            <w:r>
              <w:t xml:space="preserve">  --motion-fast: 160ms;</w:t>
            </w:r>
          </w:p>
          <w:p>
            <w:pPr>
              <w:pStyle w:val="CodeToken"/>
            </w:pPr>
            <w:r>
              <w:t xml:space="preserve">  --motion-ui: 240ms;</w:t>
            </w:r>
          </w:p>
          <w:p>
            <w:pPr>
              <w:pStyle w:val="CodeToken"/>
            </w:pPr>
            <w:r>
              <w:t xml:space="preserve">  --motion-component: 420ms;</w:t>
            </w:r>
          </w:p>
          <w:p>
            <w:pPr>
              <w:pStyle w:val="CodeToken"/>
            </w:pPr>
            <w:r>
              <w:t xml:space="preserve">  --motion-scene: 800ms;</w:t>
            </w:r>
          </w:p>
          <w:p>
            <w:pPr>
              <w:pStyle w:val="CodeToken"/>
            </w:pPr>
            <w:r>
              <w:t xml:space="preserve">  --ease-standard: cubic-bezier(.22,1,.36,1);</w:t>
            </w:r>
          </w:p>
          <w:p>
            <w:pPr>
              <w:pStyle w:val="CodeToken"/>
            </w:pPr>
            <w: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20 / ANTI-PATTERNS</w:t>
      </w:r>
    </w:p>
    <w:p>
      <w:pPr>
        <w:pStyle w:val="Heading1"/>
      </w:pPr>
      <w:r>
        <w:t>What must never happen</w:t>
      </w:r>
    </w:p>
    <w:p>
      <w:pPr>
        <w:pStyle w:val="ListBullet"/>
        <w:spacing w:after="40"/>
      </w:pPr>
      <w:r>
        <w:t>Black + gold turned into a luxury/watch/casino aesthetic.</w:t>
      </w:r>
    </w:p>
    <w:p>
      <w:pPr>
        <w:pStyle w:val="ListBullet"/>
        <w:spacing w:after="40"/>
      </w:pPr>
      <w:r>
        <w:t>Every service represented by the same 3-card grid.</w:t>
      </w:r>
    </w:p>
    <w:p>
      <w:pPr>
        <w:pStyle w:val="ListBullet"/>
        <w:spacing w:after="40"/>
      </w:pPr>
      <w:r>
        <w:t>Glowing hexagons, fake terminals, random world maps, Matrix code, gold particles, or generic circuit-board backgrounds.</w:t>
      </w:r>
    </w:p>
    <w:p>
      <w:pPr>
        <w:pStyle w:val="ListBullet"/>
        <w:spacing w:after="40"/>
      </w:pPr>
      <w:r>
        <w:t>Invented telemetry, fake client logos, fake certifications, or unsupported performance claims.</w:t>
      </w:r>
    </w:p>
    <w:p>
      <w:pPr>
        <w:pStyle w:val="ListBullet"/>
        <w:spacing w:after="40"/>
      </w:pPr>
      <w:r>
        <w:t>Huge gradients and blur effects reducing text clarity.</w:t>
      </w:r>
    </w:p>
    <w:p>
      <w:pPr>
        <w:pStyle w:val="ListBullet"/>
        <w:spacing w:after="40"/>
      </w:pPr>
      <w:r>
        <w:t>Every element rounded into a pill or 24px card.</w:t>
      </w:r>
    </w:p>
    <w:p>
      <w:pPr>
        <w:pStyle w:val="ListBullet"/>
        <w:spacing w:after="40"/>
      </w:pPr>
      <w:r>
        <w:t>Scroll hijacking that makes the page difficult to control.</w:t>
      </w:r>
    </w:p>
    <w:p>
      <w:pPr>
        <w:pStyle w:val="ListBullet"/>
        <w:spacing w:after="40"/>
      </w:pPr>
      <w:r>
        <w:t>Autoplay audio.</w:t>
      </w:r>
    </w:p>
    <w:p>
      <w:pPr>
        <w:pStyle w:val="ListBullet"/>
        <w:spacing w:after="40"/>
      </w:pPr>
      <w:r>
        <w:t>Motion that breaks on mobile or becomes unusable with reduced motion.</w:t>
      </w:r>
    </w:p>
    <w:p>
      <w:pPr>
        <w:pStyle w:val="ListBullet"/>
        <w:spacing w:after="40"/>
      </w:pPr>
      <w:r>
        <w:t>Stock images of handshakes, fake coders, or generic “business innovation” scenes.</w:t>
      </w:r>
    </w:p>
    <w:p>
      <w:pPr>
        <w:pStyle w:val="ListBullet"/>
        <w:spacing w:after="40"/>
      </w:pPr>
      <w:r>
        <w:t>A 30-item navigation bar because Digi02 has many capabilities.</w:t>
      </w:r>
    </w:p>
    <w:p>
      <w:pPr>
        <w:pStyle w:val="ListBullet"/>
        <w:spacing w:after="40"/>
      </w:pPr>
      <w:r>
        <w:t>A homepage that reads like six unrelated companies under one logo.</w:t>
      </w:r>
    </w:p>
    <w:p>
      <w:r>
        <w:br w:type="page"/>
      </w:r>
    </w:p>
    <w:p>
      <w:pPr>
        <w:pStyle w:val="TechLabel"/>
      </w:pPr>
      <w:r>
        <w:t>21 / QA</w:t>
      </w:r>
    </w:p>
    <w:p>
      <w:pPr>
        <w:pStyle w:val="Heading1"/>
      </w:pPr>
      <w:r>
        <w:t>Design QA &amp; handoff checklist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The page has one clear visual idea, not just a collection of components.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The primary CTA is obvious within 5 seconds.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Gold appears intentionally and sparingly.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Every major claim has proof, system detail, or evidence nearby.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The layout does not repeat the same card grid more than necessary.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Hero type scale is strong without obscuring meaning.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Body copy is readable and line lengths are controlled.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All hover interactions have keyboard/touch equivalents.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Focus states are visible.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Reduced-motion mode has been checked.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Mobile composition has been intentionally redesigned, not simply stacked.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No critical text is embedded only in an image.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Images are optimized and responsive.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Animations use transform/opacity where practical.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Real data/metrics are verified or clearly marked as demo.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No component looks copied from Mobile Hacking Lab or Intent HQ.</w:t>
      </w:r>
    </w:p>
    <w:p>
      <w:pPr>
        <w:spacing w:after="60"/>
      </w:pPr>
      <w:r>
        <w:rPr>
          <w:rFonts w:ascii="DejaVu Sans" w:hAnsi="DejaVu Sans"/>
          <w:color w:val="86672B"/>
          <w:sz w:val="20"/>
        </w:rPr>
        <w:t xml:space="preserve">□  </w:t>
      </w:r>
      <w:r>
        <w:t>The page feels recognizably Digi02 when viewed without the logo.</w:t>
      </w:r>
    </w:p>
    <w:p>
      <w:r>
        <w:br w:type="page"/>
      </w:r>
    </w:p>
    <w:p>
      <w:pPr>
        <w:pStyle w:val="TechLabel"/>
      </w:pPr>
      <w:r>
        <w:t>22 / EXECUTION ORDER</w:t>
      </w:r>
    </w:p>
    <w:p>
      <w:pPr>
        <w:pStyle w:val="Heading1"/>
      </w:pPr>
      <w:r>
        <w:t>Build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888"/>
        <w:gridCol w:w="4680"/>
      </w:tblGrid>
      <w:tr>
        <w:trPr>
          <w:tblHeader w:val="true"/>
        </w:trPr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Priority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Build first</w:t>
            </w:r>
          </w:p>
        </w:tc>
        <w:tc>
          <w:tcPr>
            <w:tcW w:type="dxa" w:w="3389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Why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P0</w:t>
            </w:r>
          </w:p>
        </w:tc>
        <w:tc>
          <w:tcPr>
            <w:tcW w:type="dxa" w:w="38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Color, type, spacing, grid, buttons, navigation, accessibility basics</w:t>
            </w:r>
          </w:p>
        </w:tc>
        <w:tc>
          <w:tcPr>
            <w:tcW w:type="dxa" w:w="46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Prevents visual drift before any page gets complicated.</w:t>
            </w:r>
          </w:p>
        </w:tc>
      </w:tr>
      <w:tr>
        <w:tc>
          <w:tcPr>
            <w:tcW w:type="dxa" w:w="108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P0</w:t>
            </w:r>
          </w:p>
        </w:tc>
        <w:tc>
          <w:tcPr>
            <w:tcW w:type="dxa" w:w="38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Homepage hero + one capability chapter</w:t>
            </w:r>
          </w:p>
        </w:tc>
        <w:tc>
          <w:tcPr>
            <w:tcW w:type="dxa" w:w="468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Defines the actual Digi02 visual language.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P1</w:t>
            </w:r>
          </w:p>
        </w:tc>
        <w:tc>
          <w:tcPr>
            <w:tcW w:type="dxa" w:w="38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Reusable architecture / system-diagram component</w:t>
            </w:r>
          </w:p>
        </w:tc>
        <w:tc>
          <w:tcPr>
            <w:tcW w:type="dxa" w:w="46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Creates the engineering identity across multiple products.</w:t>
            </w:r>
          </w:p>
        </w:tc>
      </w:tr>
      <w:tr>
        <w:tc>
          <w:tcPr>
            <w:tcW w:type="dxa" w:w="108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P1</w:t>
            </w:r>
          </w:p>
        </w:tc>
        <w:tc>
          <w:tcPr>
            <w:tcW w:type="dxa" w:w="38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UAV page and POS page</w:t>
            </w:r>
          </w:p>
        </w:tc>
        <w:tc>
          <w:tcPr>
            <w:tcW w:type="dxa" w:w="468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Best opportunities for cinematic product storytelling.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P1</w:t>
            </w:r>
          </w:p>
        </w:tc>
        <w:tc>
          <w:tcPr>
            <w:tcW w:type="dxa" w:w="38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Payments / ERP / Payroll pipeline patterns</w:t>
            </w:r>
          </w:p>
        </w:tc>
        <w:tc>
          <w:tcPr>
            <w:tcW w:type="dxa" w:w="46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Creates meaningful interaction without copying reference sites.</w:t>
            </w:r>
          </w:p>
        </w:tc>
      </w:tr>
      <w:tr>
        <w:tc>
          <w:tcPr>
            <w:tcW w:type="dxa" w:w="108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P2</w:t>
            </w:r>
          </w:p>
        </w:tc>
        <w:tc>
          <w:tcPr>
            <w:tcW w:type="dxa" w:w="3888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Case-study / evidence system</w:t>
            </w:r>
          </w:p>
        </w:tc>
        <w:tc>
          <w:tcPr>
            <w:tcW w:type="dxa" w:w="468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Turns design quality into buyer confidence.</w:t>
            </w:r>
          </w:p>
        </w:tc>
      </w:tr>
      <w:tr>
        <w:tc>
          <w:tcPr>
            <w:tcW w:type="dxa" w:w="10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P2</w:t>
            </w:r>
          </w:p>
        </w:tc>
        <w:tc>
          <w:tcPr>
            <w:tcW w:type="dxa" w:w="388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Motion polish and progressive 3D</w:t>
            </w:r>
          </w:p>
        </w:tc>
        <w:tc>
          <w:tcPr>
            <w:tcW w:type="dxa" w:w="468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Add only after layout, responsiveness, and performance are strong.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AF7EE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C28A"/>
              <w:left w:val="single" w:sz="18" w:color="D9C28A"/>
              <w:bottom w:val="single" w:sz="4" w:color="D9C28A"/>
              <w:right w:val="single" w:sz="4" w:color="D9C28A"/>
            </w:tcBorders>
          </w:tcPr>
          <w:p>
            <w:r>
              <w:rPr>
                <w:rFonts w:ascii="Inter" w:hAnsi="Inter"/>
                <w:b/>
                <w:color w:val="86672B"/>
                <w:sz w:val="20"/>
              </w:rPr>
              <w:t>BEST FIRST PROTOTYPE</w:t>
            </w:r>
          </w:p>
          <w:p>
            <w:r>
              <w:rPr>
                <w:color w:val="111112"/>
                <w:sz w:val="18"/>
              </w:rPr>
              <w:t>Before building every page, prove the system with three screens: (1) homepage hero + systems chapter, (2) UAV capability scene, and (3) architecture/evidence section. If those three feel unmistakably Digi02, the rest of the site will have a strong foundation.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echLabel"/>
      </w:pPr>
      <w:r>
        <w:t>23 / SOURCES</w:t>
      </w:r>
    </w:p>
    <w:p>
      <w:pPr>
        <w:pStyle w:val="Heading1"/>
      </w:pPr>
      <w:r>
        <w:t>Reference sources</w:t>
      </w:r>
    </w:p>
    <w:p>
      <w:r>
        <w:t>These references are used for design-principle study only. The Digi02 implementation should not copy protected imagery, copywriting, branding, proprietary diagrams, or distinctive component compositions.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904"/>
      </w:tblGrid>
      <w:tr>
        <w:trPr>
          <w:tblHeader w:val="true"/>
        </w:trPr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Source</w:t>
            </w:r>
          </w:p>
        </w:tc>
        <w:tc>
          <w:tcPr>
            <w:tcW w:type="dxa" w:w="5083"/>
            <w:shd w:fill="05050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6" w:color="C9A34A"/>
            </w:tcBorders>
          </w:tcPr>
          <w:p>
            <w:r>
              <w:rPr>
                <w:b/>
                <w:color w:val="F7F6F2"/>
                <w:sz w:val="17"/>
              </w:rPr>
              <w:t>Reference use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Mobile Hacking Lab — https://www.mobilehackinglab.com/</w:t>
            </w:r>
          </w:p>
        </w:tc>
        <w:tc>
          <w:tcPr>
            <w:tcW w:type="dxa" w:w="59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Cinematic device/hardware presentation, chapter-based storytelling, technical metadata, certification path hierarchy.</w:t>
            </w:r>
          </w:p>
        </w:tc>
      </w:tr>
      <w:tr>
        <w:tc>
          <w:tcPr>
            <w:tcW w:type="dxa" w:w="36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Intent HQ Deep Privacy — https://intenthq.com/deep-privacy</w:t>
            </w:r>
          </w:p>
        </w:tc>
        <w:tc>
          <w:tcPr>
            <w:tcW w:type="dxa" w:w="59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Architecture-first storytelling, interactive demonstrations, evidence-led technical communication.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Intent HQ Deeptech — https://intenthq.com/deeptech</w:t>
            </w:r>
          </w:p>
        </w:tc>
        <w:tc>
          <w:tcPr>
            <w:tcW w:type="dxa" w:w="59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Layered architecture and connected-system framing.</w:t>
            </w:r>
          </w:p>
        </w:tc>
      </w:tr>
      <w:tr>
        <w:tc>
          <w:tcPr>
            <w:tcW w:type="dxa" w:w="36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Intent HQ Evidence — https://intenthq.com/evidence</w:t>
            </w:r>
          </w:p>
        </w:tc>
        <w:tc>
          <w:tcPr>
            <w:tcW w:type="dxa" w:w="59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Proof / evidence presentation principles.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User-provided screenshots — 14 Aug 2026</w:t>
            </w:r>
          </w:p>
        </w:tc>
        <w:tc>
          <w:tcPr>
            <w:tcW w:type="dxa" w:w="59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Visual reference captures used throughout this guide.</w:t>
            </w:r>
          </w:p>
        </w:tc>
      </w:tr>
      <w:tr>
        <w:tc>
          <w:tcPr>
            <w:tcW w:type="dxa" w:w="3600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Digi02 Stitch design package — user-provided ZIP</w:t>
            </w:r>
          </w:p>
        </w:tc>
        <w:tc>
          <w:tcPr>
            <w:tcW w:type="dxa" w:w="5904"/>
            <w:shd w:fill="F8F7F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2" w:color="E2E0DA"/>
            </w:tcBorders>
          </w:tcPr>
          <w:p>
            <w:r>
              <w:rPr>
                <w:color w:val="111112"/>
                <w:sz w:val="17"/>
              </w:rPr>
              <w:t>Existing baseline to be upgraded from muted-green “Kinetic Enterprise” styling into black/white/gold Precision Systems.</w:t>
            </w:r>
          </w:p>
        </w:tc>
      </w:tr>
    </w:tbl>
    <w:p>
      <w:pPr>
        <w:spacing w:after="0"/>
      </w:pPr>
    </w:p>
    <w:p>
      <w:pPr>
        <w:pStyle w:val="Heading2"/>
      </w:pPr>
      <w:r>
        <w:t>Final design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0B0B0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C9A34A"/>
              <w:left w:val="single" w:sz="18" w:color="C9A34A"/>
              <w:bottom w:val="single" w:sz="4" w:color="C9A34A"/>
              <w:right w:val="single" w:sz="4" w:color="C9A34A"/>
            </w:tcBorders>
          </w:tcPr>
          <w:p>
            <w:r>
              <w:rPr>
                <w:rFonts w:ascii="Inter" w:hAnsi="Inter"/>
                <w:b/>
                <w:color w:val="E0BC67"/>
                <w:sz w:val="20"/>
              </w:rPr>
              <w:t>DIGI02 / PRECISION SYSTEMS</w:t>
            </w:r>
          </w:p>
          <w:p>
            <w:r>
              <w:rPr>
                <w:color w:val="E7E5DF"/>
                <w:sz w:val="18"/>
              </w:rPr>
              <w:t>Black canvas. Monumental white type. Controlled gold. Real technology. System diagrams. Technical micro-typography. Cinematic product presentation. Evidence over hype. Motion that explains. Every page should feel engineered.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73716C"/>
        <w:sz w:val="15"/>
      </w:rPr>
      <w:t xml:space="preserve">DIGI02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Mono" w:hAnsi="Liberation Mono"/>
        <w:b/>
        <w:color w:val="73716C"/>
        <w:sz w:val="14"/>
      </w:rPr>
      <w:t>DIGI02  /  WEB DESIGN FOUNDATION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Inter" w:hAnsi="Inter" w:eastAsia="Inter"/>
      <w:color w:val="11111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20"/>
      <w:outlineLvl w:val="0"/>
    </w:pPr>
    <w:rPr>
      <w:rFonts w:asciiTheme="majorHAnsi" w:eastAsiaTheme="majorEastAsia" w:hAnsiTheme="majorHAnsi" w:cstheme="majorBidi" w:ascii="Inter Display" w:hAnsi="Inter Display" w:eastAsia="Inter Display"/>
      <w:b/>
      <w:bCs/>
      <w:color w:val="050505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Inter Display" w:hAnsi="Inter Display" w:eastAsia="Inter Display"/>
      <w:b/>
      <w:bCs/>
      <w:color w:val="05050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8667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Label">
    <w:name w:val="Tech Label"/>
    <w:pPr>
      <w:spacing w:after="80"/>
    </w:pPr>
    <w:rPr>
      <w:rFonts w:ascii="Liberation Mono" w:hAnsi="Liberation Mono" w:eastAsia="Liberation Mono"/>
      <w:b/>
      <w:color w:val="86672B"/>
      <w:sz w:val="15"/>
    </w:rPr>
  </w:style>
  <w:style w:type="paragraph" w:customStyle="1" w:styleId="SmallNote">
    <w:name w:val="Small Note"/>
    <w:pPr>
      <w:spacing w:after="60"/>
    </w:pPr>
    <w:rPr>
      <w:rFonts w:ascii="Inter" w:hAnsi="Inter" w:eastAsia="Inter"/>
      <w:color w:val="73716C"/>
      <w:sz w:val="16"/>
    </w:rPr>
  </w:style>
  <w:style w:type="paragraph" w:customStyle="1" w:styleId="CodeToken">
    <w:name w:val="Code Token"/>
    <w:pPr>
      <w:spacing w:after="0"/>
    </w:pPr>
    <w:rPr>
      <w:rFonts w:ascii="Liberation Mono" w:hAnsi="Liberation Mono" w:eastAsia="Liberation Mono"/>
      <w:color w:val="F7F6F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Digi02 Web Design Foundation v1.0</dc:title>
  <dc:subject>Black / White / Gold product design foundation for Digi02</dc:subject>
  <dc:creator>Digi02 Product Design</dc:creator>
  <cp:keywords>Digi02, web design, design system, UI, UX, motion, typography, spacing, black white gold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