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B5FFF"/>
          <w:sz w:val="68"/>
        </w:rPr>
        <w:t>E-BRINGGS TECHNOLOGIES</w:t>
      </w:r>
    </w:p>
    <w:p>
      <w:pPr>
        <w:jc w:val="center"/>
      </w:pPr>
      <w:r>
        <w:rPr>
          <w:rFonts w:ascii="Calibri" w:hAnsi="Calibri"/>
          <w:color w:val="111827"/>
          <w:sz w:val="44"/>
        </w:rPr>
        <w:t>Project Document</w:t>
      </w:r>
    </w:p>
    <w:p>
      <w:pPr>
        <w:jc w:val="center"/>
      </w:pPr>
      <w:r>
        <w:rPr>
          <w:rFonts w:ascii="Calibri" w:hAnsi="Calibri"/>
          <w:i/>
          <w:color w:val="4B5563"/>
          <w:sz w:val="26"/>
        </w:rPr>
        <w:t>A Unified EdTech, Services &amp; Talent Marketplace Platform</w:t>
      </w:r>
    </w:p>
    <w:p/>
    <w:p/>
    <w:p/>
    <w:p/>
    <w:p/>
    <w:p/>
    <w:p/>
    <w:p/>
    <w:p>
      <w:pPr>
        <w:jc w:val="center"/>
      </w:pPr>
      <w:r>
        <w:rPr>
          <w:rFonts w:ascii="Calibri" w:hAnsi="Calibri"/>
          <w:color w:val="4B5563"/>
          <w:sz w:val="24"/>
        </w:rPr>
        <w:t>Prepared: May 2026</w:t>
      </w:r>
    </w:p>
    <w:p>
      <w:pPr>
        <w:jc w:val="center"/>
      </w:pPr>
      <w:r>
        <w:rPr>
          <w:rFonts w:ascii="Calibri" w:hAnsi="Calibri"/>
          <w:color w:val="4B5563"/>
          <w:sz w:val="22"/>
        </w:rPr>
        <w:t>Version 1.0  |  Confidential</w:t>
      </w:r>
    </w:p>
    <w:p>
      <w:r>
        <w:br w:type="page"/>
      </w:r>
    </w:p>
    <w:p>
      <w:pPr>
        <w:pStyle w:val="Heading1"/>
      </w:pPr>
      <w:r>
        <w:rPr>
          <w:rFonts w:ascii="Calibri" w:hAnsi="Calibri"/>
          <w:color w:val="0B5FFF"/>
        </w:rPr>
        <w:t>Table of Contents</w:t>
      </w:r>
    </w:p>
    <w:p>
      <w:pPr>
        <w:spacing w:after="60"/>
      </w:pPr>
      <w:r>
        <w:rPr>
          <w:rFonts w:ascii="Calibri" w:hAnsi="Calibri"/>
          <w:color w:val="111827"/>
          <w:sz w:val="22"/>
        </w:rPr>
        <w:t>1.  Executive Summary</w:t>
      </w:r>
    </w:p>
    <w:p>
      <w:pPr>
        <w:spacing w:after="60"/>
      </w:pPr>
      <w:r>
        <w:rPr>
          <w:rFonts w:ascii="Calibri" w:hAnsi="Calibri"/>
          <w:color w:val="111827"/>
          <w:sz w:val="22"/>
        </w:rPr>
        <w:t>2.  Project Scope</w:t>
      </w:r>
    </w:p>
    <w:p>
      <w:pPr>
        <w:spacing w:after="60"/>
      </w:pPr>
      <w:r>
        <w:rPr>
          <w:rFonts w:ascii="Calibri" w:hAnsi="Calibri"/>
          <w:color w:val="111827"/>
          <w:sz w:val="22"/>
        </w:rPr>
        <w:t>3.  Problem Statement</w:t>
      </w:r>
    </w:p>
    <w:p>
      <w:pPr>
        <w:spacing w:after="60"/>
      </w:pPr>
      <w:r>
        <w:rPr>
          <w:rFonts w:ascii="Calibri" w:hAnsi="Calibri"/>
          <w:color w:val="111827"/>
          <w:sz w:val="22"/>
        </w:rPr>
        <w:t>4.  Project Objectives</w:t>
      </w:r>
    </w:p>
    <w:p>
      <w:pPr>
        <w:spacing w:after="60"/>
      </w:pPr>
      <w:r>
        <w:rPr>
          <w:rFonts w:ascii="Calibri" w:hAnsi="Calibri"/>
          <w:color w:val="111827"/>
          <w:sz w:val="22"/>
        </w:rPr>
        <w:t>5.  Product Overview — How E-Bringgs Works</w:t>
      </w:r>
    </w:p>
    <w:p>
      <w:pPr>
        <w:spacing w:after="60"/>
      </w:pPr>
      <w:r>
        <w:rPr>
          <w:rFonts w:ascii="Calibri" w:hAnsi="Calibri"/>
          <w:color w:val="111827"/>
          <w:sz w:val="22"/>
        </w:rPr>
        <w:t>6.  Services Offered</w:t>
      </w:r>
    </w:p>
    <w:p>
      <w:pPr>
        <w:spacing w:after="60"/>
      </w:pPr>
      <w:r>
        <w:rPr>
          <w:rFonts w:ascii="Calibri" w:hAnsi="Calibri"/>
          <w:color w:val="111827"/>
          <w:sz w:val="22"/>
        </w:rPr>
        <w:t>7.  Target Audience &amp; User Roles</w:t>
      </w:r>
    </w:p>
    <w:p>
      <w:pPr>
        <w:spacing w:after="60"/>
      </w:pPr>
      <w:r>
        <w:rPr>
          <w:rFonts w:ascii="Calibri" w:hAnsi="Calibri"/>
          <w:color w:val="111827"/>
          <w:sz w:val="22"/>
        </w:rPr>
        <w:t>8.  System Architecture &amp; Technology Stack</w:t>
      </w:r>
    </w:p>
    <w:p>
      <w:pPr>
        <w:spacing w:after="60"/>
      </w:pPr>
      <w:r>
        <w:rPr>
          <w:rFonts w:ascii="Calibri" w:hAnsi="Calibri"/>
          <w:color w:val="111827"/>
          <w:sz w:val="22"/>
        </w:rPr>
        <w:t>9.  Key Features by Module</w:t>
      </w:r>
    </w:p>
    <w:p>
      <w:pPr>
        <w:spacing w:after="60"/>
      </w:pPr>
      <w:r>
        <w:rPr>
          <w:rFonts w:ascii="Calibri" w:hAnsi="Calibri"/>
          <w:color w:val="111827"/>
          <w:sz w:val="22"/>
        </w:rPr>
        <w:t>10. Market Landscape &amp; Competitive Positioning</w:t>
      </w:r>
    </w:p>
    <w:p>
      <w:pPr>
        <w:spacing w:after="60"/>
      </w:pPr>
      <w:r>
        <w:rPr>
          <w:rFonts w:ascii="Calibri" w:hAnsi="Calibri"/>
          <w:color w:val="111827"/>
          <w:sz w:val="22"/>
        </w:rPr>
        <w:t>11. How E-Bringgs Changes the Trend</w:t>
      </w:r>
    </w:p>
    <w:p>
      <w:pPr>
        <w:spacing w:after="60"/>
      </w:pPr>
      <w:r>
        <w:rPr>
          <w:rFonts w:ascii="Calibri" w:hAnsi="Calibri"/>
          <w:color w:val="111827"/>
          <w:sz w:val="22"/>
        </w:rPr>
        <w:t>12. Business &amp; Revenue Model</w:t>
      </w:r>
    </w:p>
    <w:p>
      <w:pPr>
        <w:spacing w:after="60"/>
      </w:pPr>
      <w:r>
        <w:rPr>
          <w:rFonts w:ascii="Calibri" w:hAnsi="Calibri"/>
          <w:color w:val="111827"/>
          <w:sz w:val="22"/>
        </w:rPr>
        <w:t>13. Implementation Status</w:t>
      </w:r>
    </w:p>
    <w:p>
      <w:pPr>
        <w:spacing w:after="60"/>
      </w:pPr>
      <w:r>
        <w:rPr>
          <w:rFonts w:ascii="Calibri" w:hAnsi="Calibri"/>
          <w:color w:val="111827"/>
          <w:sz w:val="22"/>
        </w:rPr>
        <w:t>14. Future Roadmap</w:t>
      </w:r>
    </w:p>
    <w:p>
      <w:pPr>
        <w:spacing w:after="60"/>
      </w:pPr>
      <w:r>
        <w:rPr>
          <w:rFonts w:ascii="Calibri" w:hAnsi="Calibri"/>
          <w:color w:val="111827"/>
          <w:sz w:val="22"/>
        </w:rPr>
        <w:t>15. Risks &amp; Mitigation</w:t>
      </w:r>
    </w:p>
    <w:p>
      <w:pPr>
        <w:spacing w:after="60"/>
      </w:pPr>
      <w:r>
        <w:rPr>
          <w:rFonts w:ascii="Calibri" w:hAnsi="Calibri"/>
          <w:color w:val="111827"/>
          <w:sz w:val="22"/>
        </w:rPr>
        <w:t>16. Conclusion</w:t>
      </w:r>
    </w:p>
    <w:p>
      <w:r>
        <w:br w:type="page"/>
      </w:r>
    </w:p>
    <w:p>
      <w:pPr>
        <w:pStyle w:val="Heading1"/>
      </w:pPr>
      <w:r>
        <w:rPr>
          <w:rFonts w:ascii="Calibri" w:hAnsi="Calibri"/>
          <w:color w:val="0B5FFF"/>
        </w:rPr>
        <w:t>1. Executive Summary</w:t>
      </w:r>
    </w:p>
    <w:p>
      <w:pPr>
        <w:spacing w:after="120" w:line="360" w:lineRule="auto"/>
      </w:pPr>
      <w:r>
        <w:rPr>
          <w:rFonts w:ascii="Calibri" w:hAnsi="Calibri"/>
          <w:b w:val="0"/>
          <w:i w:val="0"/>
          <w:color w:val="111827"/>
          <w:sz w:val="22"/>
        </w:rPr>
        <w:t>E-Bringgs Technologies is a full-stack digital platform that unifies three pillars of the modern knowledge economy — structured technology learning, professional services, and freelance/consulting engagement — into a single, role-aware ecosystem. It is built for the African market (with Nigerian Naira pricing through Paystack) while being globally deployable.</w:t>
      </w:r>
    </w:p>
    <w:p>
      <w:pPr>
        <w:spacing w:after="120" w:line="360" w:lineRule="auto"/>
      </w:pPr>
      <w:r>
        <w:rPr>
          <w:rFonts w:ascii="Calibri" w:hAnsi="Calibri"/>
          <w:b w:val="0"/>
          <w:i w:val="0"/>
          <w:color w:val="111827"/>
          <w:sz w:val="22"/>
        </w:rPr>
        <w:t>The platform serves three distinct user types — Students enrolled in cohort programs, Clients commissioning services and projects, and Administrators running the business — each with their own dashboard, workflows, and permissions. Live classes, mentorship, project tracking, payments, blogging, and AI-assisted tutoring all sit within one coherent experience.</w:t>
      </w:r>
    </w:p>
    <w:p>
      <w:pPr>
        <w:spacing w:after="120" w:line="360" w:lineRule="auto"/>
      </w:pPr>
      <w:r>
        <w:rPr>
          <w:rFonts w:ascii="Calibri" w:hAnsi="Calibri"/>
          <w:b w:val="0"/>
          <w:i w:val="0"/>
          <w:color w:val="111827"/>
          <w:sz w:val="22"/>
        </w:rPr>
        <w:t>This document defines the scope of the product, the problems it solves, the services it delivers, the technology it is built on, and the way it intends to reshape how African talent is trained, deployed, and connected to opportunity.</w:t>
      </w:r>
    </w:p>
    <w:p>
      <w:r>
        <w:br w:type="page"/>
      </w:r>
    </w:p>
    <w:p>
      <w:pPr>
        <w:pStyle w:val="Heading1"/>
      </w:pPr>
      <w:r>
        <w:rPr>
          <w:rFonts w:ascii="Calibri" w:hAnsi="Calibri"/>
          <w:color w:val="0B5FFF"/>
        </w:rPr>
        <w:t>2. Project Scope</w:t>
      </w:r>
    </w:p>
    <w:p>
      <w:pPr>
        <w:pStyle w:val="Heading2"/>
      </w:pPr>
      <w:r>
        <w:rPr>
          <w:rFonts w:ascii="Calibri" w:hAnsi="Calibri"/>
          <w:color w:val="0B5FFF"/>
        </w:rPr>
        <w:t>2.1 In Scope</w:t>
      </w:r>
    </w:p>
    <w:p>
      <w:pPr>
        <w:pStyle w:val="ListBullet"/>
        <w:spacing w:after="60"/>
      </w:pPr>
      <w:r>
        <w:rPr>
          <w:rFonts w:ascii="Calibri" w:hAnsi="Calibri"/>
          <w:color w:val="111827"/>
          <w:sz w:val="22"/>
        </w:rPr>
        <w:t>A public-facing marketing site — landing page, pricing, services catalog, blog, About / Contact / Terms / Privacy.</w:t>
      </w:r>
    </w:p>
    <w:p>
      <w:pPr>
        <w:pStyle w:val="ListBullet"/>
        <w:spacing w:after="60"/>
      </w:pPr>
      <w:r>
        <w:rPr>
          <w:rFonts w:ascii="Calibri" w:hAnsi="Calibri"/>
          <w:color w:val="111827"/>
          <w:sz w:val="22"/>
        </w:rPr>
        <w:t>User authentication with email verification, password reset, JWT access tokens and refresh tokens, and role-based access control (Admin, Student, Client).</w:t>
      </w:r>
    </w:p>
    <w:p>
      <w:pPr>
        <w:pStyle w:val="ListBullet"/>
        <w:spacing w:after="60"/>
      </w:pPr>
      <w:r>
        <w:rPr>
          <w:rFonts w:ascii="Calibri" w:hAnsi="Calibri"/>
          <w:color w:val="111827"/>
          <w:sz w:val="22"/>
        </w:rPr>
        <w:t>Student dashboard — enrolled courses, learning progress, downloadable resources, live class schedule, assignments, notifications.</w:t>
      </w:r>
    </w:p>
    <w:p>
      <w:pPr>
        <w:pStyle w:val="ListBullet"/>
        <w:spacing w:after="60"/>
      </w:pPr>
      <w:r>
        <w:rPr>
          <w:rFonts w:ascii="Calibri" w:hAnsi="Calibri"/>
          <w:color w:val="111827"/>
          <w:sz w:val="22"/>
        </w:rPr>
        <w:t>Client dashboard — project request and tracking, payment history, dedicated client area with sidebar navigation.</w:t>
      </w:r>
    </w:p>
    <w:p>
      <w:pPr>
        <w:pStyle w:val="ListBullet"/>
        <w:spacing w:after="60"/>
      </w:pPr>
      <w:r>
        <w:rPr>
          <w:rFonts w:ascii="Calibri" w:hAnsi="Calibri"/>
          <w:color w:val="111827"/>
          <w:sz w:val="22"/>
        </w:rPr>
        <w:t>Admin dashboard — user management, course management, blog management, service request review, payments overview, analytics, role assignment, live session management, cohort management.</w:t>
      </w:r>
    </w:p>
    <w:p>
      <w:pPr>
        <w:pStyle w:val="ListBullet"/>
        <w:spacing w:after="60"/>
      </w:pPr>
      <w:r>
        <w:rPr>
          <w:rFonts w:ascii="Calibri" w:hAnsi="Calibri"/>
          <w:color w:val="111827"/>
          <w:sz w:val="22"/>
        </w:rPr>
        <w:t>Course Management System — course creation, modules and lessons, cohort scheduling, assignment upload and review.</w:t>
      </w:r>
    </w:p>
    <w:p>
      <w:pPr>
        <w:pStyle w:val="ListBullet"/>
        <w:spacing w:after="60"/>
      </w:pPr>
      <w:r>
        <w:rPr>
          <w:rFonts w:ascii="Calibri" w:hAnsi="Calibri"/>
          <w:color w:val="111827"/>
          <w:sz w:val="22"/>
        </w:rPr>
        <w:t>Live Video Classroom — WebRTC-based video calls, screen sharing, in-class chat, instructor controls (mute-all, kick), attendance tracking.</w:t>
      </w:r>
    </w:p>
    <w:p>
      <w:pPr>
        <w:pStyle w:val="ListBullet"/>
        <w:spacing w:after="60"/>
      </w:pPr>
      <w:r>
        <w:rPr>
          <w:rFonts w:ascii="Calibri" w:hAnsi="Calibri"/>
          <w:color w:val="111827"/>
          <w:sz w:val="22"/>
        </w:rPr>
        <w:t>Blog System — markdown/rich-text editor, categories and tags, search, SEO metadata.</w:t>
      </w:r>
    </w:p>
    <w:p>
      <w:pPr>
        <w:pStyle w:val="ListBullet"/>
        <w:spacing w:after="60"/>
      </w:pPr>
      <w:r>
        <w:rPr>
          <w:rFonts w:ascii="Calibri" w:hAnsi="Calibri"/>
          <w:color w:val="111827"/>
          <w:sz w:val="22"/>
        </w:rPr>
        <w:t>Payments — Paystack integration (NGN), subscription and one-time payments, transaction storage, success/failure flows, webhook reconciliation.</w:t>
      </w:r>
    </w:p>
    <w:p>
      <w:pPr>
        <w:pStyle w:val="ListBullet"/>
        <w:spacing w:after="60"/>
      </w:pPr>
      <w:r>
        <w:rPr>
          <w:rFonts w:ascii="Calibri" w:hAnsi="Calibri"/>
          <w:color w:val="111827"/>
          <w:sz w:val="22"/>
        </w:rPr>
        <w:t>AI-assisted tutoring (Google Gemini) and WhatsApp notifications (Meta Cloud API) as growth and retention features.</w:t>
      </w:r>
    </w:p>
    <w:p>
      <w:pPr>
        <w:pStyle w:val="ListBullet"/>
        <w:spacing w:after="60"/>
      </w:pPr>
      <w:r>
        <w:rPr>
          <w:rFonts w:ascii="Calibri" w:hAnsi="Calibri"/>
          <w:color w:val="111827"/>
          <w:sz w:val="22"/>
        </w:rPr>
        <w:t>Production-grade security — Helmet, CORS, rate limiting, input validation, secure environment variable handling.</w:t>
      </w:r>
    </w:p>
    <w:p>
      <w:pPr>
        <w:pStyle w:val="Heading2"/>
      </w:pPr>
      <w:r>
        <w:rPr>
          <w:rFonts w:ascii="Calibri" w:hAnsi="Calibri"/>
          <w:color w:val="0B5FFF"/>
        </w:rPr>
        <w:t>2.2 Out of Scope (Phase 1)</w:t>
      </w:r>
    </w:p>
    <w:p>
      <w:pPr>
        <w:pStyle w:val="ListBullet"/>
        <w:spacing w:after="60"/>
      </w:pPr>
      <w:r>
        <w:rPr>
          <w:rFonts w:ascii="Calibri" w:hAnsi="Calibri"/>
          <w:color w:val="111827"/>
          <w:sz w:val="22"/>
        </w:rPr>
        <w:t>Native mobile applications (iOS/Android) — the platform is delivered as a responsive web app initially.</w:t>
      </w:r>
    </w:p>
    <w:p>
      <w:pPr>
        <w:pStyle w:val="ListBullet"/>
        <w:spacing w:after="60"/>
      </w:pPr>
      <w:r>
        <w:rPr>
          <w:rFonts w:ascii="Calibri" w:hAnsi="Calibri"/>
          <w:color w:val="111827"/>
          <w:sz w:val="22"/>
        </w:rPr>
        <w:t>On-platform peer-to-peer messaging between students.</w:t>
      </w:r>
    </w:p>
    <w:p>
      <w:pPr>
        <w:pStyle w:val="ListBullet"/>
        <w:spacing w:after="60"/>
      </w:pPr>
      <w:r>
        <w:rPr>
          <w:rFonts w:ascii="Calibri" w:hAnsi="Calibri"/>
          <w:color w:val="111827"/>
          <w:sz w:val="22"/>
        </w:rPr>
        <w:t>Marketplace for third-party instructors (the platform delivers its own curriculum in phase 1).</w:t>
      </w:r>
    </w:p>
    <w:p>
      <w:pPr>
        <w:pStyle w:val="ListBullet"/>
        <w:spacing w:after="60"/>
      </w:pPr>
      <w:r>
        <w:rPr>
          <w:rFonts w:ascii="Calibri" w:hAnsi="Calibri"/>
          <w:color w:val="111827"/>
          <w:sz w:val="22"/>
        </w:rPr>
        <w:t>Advanced learning analytics (deep skill graphs, predictive performance models) — deferred to a later phase.</w:t>
      </w:r>
    </w:p>
    <w:p>
      <w:pPr>
        <w:pStyle w:val="Heading2"/>
      </w:pPr>
      <w:r>
        <w:rPr>
          <w:rFonts w:ascii="Calibri" w:hAnsi="Calibri"/>
          <w:color w:val="0B5FFF"/>
        </w:rPr>
        <w:t>2.3 Deliverables</w:t>
      </w:r>
    </w:p>
    <w:p>
      <w:pPr>
        <w:pStyle w:val="ListBullet"/>
        <w:spacing w:after="60"/>
      </w:pPr>
      <w:r>
        <w:rPr>
          <w:rFonts w:ascii="Calibri" w:hAnsi="Calibri"/>
          <w:color w:val="111827"/>
          <w:sz w:val="22"/>
        </w:rPr>
        <w:t>Production-ready frontend (React 18 + TypeScript + Vite + Tailwind CSS v4).</w:t>
      </w:r>
    </w:p>
    <w:p>
      <w:pPr>
        <w:pStyle w:val="ListBullet"/>
        <w:spacing w:after="60"/>
      </w:pPr>
      <w:r>
        <w:rPr>
          <w:rFonts w:ascii="Calibri" w:hAnsi="Calibri"/>
          <w:color w:val="111827"/>
          <w:sz w:val="22"/>
        </w:rPr>
        <w:t>Production-ready backend (Node.js + Express + TypeScript + MongoDB).</w:t>
      </w:r>
    </w:p>
    <w:p>
      <w:pPr>
        <w:pStyle w:val="ListBullet"/>
        <w:spacing w:after="60"/>
      </w:pPr>
      <w:r>
        <w:rPr>
          <w:rFonts w:ascii="Calibri" w:hAnsi="Calibri"/>
          <w:color w:val="111827"/>
          <w:sz w:val="22"/>
        </w:rPr>
        <w:t>WebSocket signaling server for live video classrooms.</w:t>
      </w:r>
    </w:p>
    <w:p>
      <w:pPr>
        <w:pStyle w:val="ListBullet"/>
        <w:spacing w:after="60"/>
      </w:pPr>
      <w:r>
        <w:rPr>
          <w:rFonts w:ascii="Calibri" w:hAnsi="Calibri"/>
          <w:color w:val="111827"/>
          <w:sz w:val="22"/>
        </w:rPr>
        <w:t>Swagger / OpenAPI API documentation accessible at /api/docs.</w:t>
      </w:r>
    </w:p>
    <w:p>
      <w:pPr>
        <w:pStyle w:val="ListBullet"/>
        <w:spacing w:after="60"/>
      </w:pPr>
      <w:r>
        <w:rPr>
          <w:rFonts w:ascii="Calibri" w:hAnsi="Calibri"/>
          <w:color w:val="111827"/>
          <w:sz w:val="22"/>
        </w:rPr>
        <w:t>Deployment-ready environment configuration (development, staging, production).</w:t>
      </w:r>
    </w:p>
    <w:p>
      <w:r>
        <w:br w:type="page"/>
      </w:r>
    </w:p>
    <w:p>
      <w:pPr>
        <w:pStyle w:val="Heading1"/>
      </w:pPr>
      <w:r>
        <w:rPr>
          <w:rFonts w:ascii="Calibri" w:hAnsi="Calibri"/>
          <w:color w:val="0B5FFF"/>
        </w:rPr>
        <w:t>3. Problem Statement</w:t>
      </w:r>
    </w:p>
    <w:p>
      <w:pPr>
        <w:spacing w:after="120" w:line="360" w:lineRule="auto"/>
      </w:pPr>
      <w:r>
        <w:rPr>
          <w:rFonts w:ascii="Calibri" w:hAnsi="Calibri"/>
          <w:b w:val="0"/>
          <w:i w:val="0"/>
          <w:color w:val="111827"/>
          <w:sz w:val="22"/>
        </w:rPr>
        <w:t>Across Africa — and Nigeria in particular — three painful gaps continue to block the flow of talent into the global digital economy:</w:t>
      </w:r>
    </w:p>
    <w:p>
      <w:pPr>
        <w:pStyle w:val="Heading2"/>
      </w:pPr>
      <w:r>
        <w:rPr>
          <w:rFonts w:ascii="Calibri" w:hAnsi="Calibri"/>
          <w:color w:val="0B5FFF"/>
        </w:rPr>
        <w:t>3.1 The Training Gap</w:t>
      </w:r>
    </w:p>
    <w:p>
      <w:pPr>
        <w:spacing w:after="120" w:line="360" w:lineRule="auto"/>
      </w:pPr>
      <w:r>
        <w:rPr>
          <w:rFonts w:ascii="Calibri" w:hAnsi="Calibri"/>
          <w:b w:val="0"/>
          <w:i w:val="0"/>
          <w:color w:val="111827"/>
          <w:sz w:val="22"/>
        </w:rPr>
        <w:t>Most aspiring software developers, data analysts, and product designers do not have access to structured, mentor-led, cohort-based training in their own currency and at a price they can afford. Foreign bootcamps charge in dollars, local options often lack rigor, and free YouTube content is unstructured and isolating.</w:t>
      </w:r>
    </w:p>
    <w:p>
      <w:pPr>
        <w:pStyle w:val="Heading2"/>
      </w:pPr>
      <w:r>
        <w:rPr>
          <w:rFonts w:ascii="Calibri" w:hAnsi="Calibri"/>
          <w:color w:val="0B5FFF"/>
        </w:rPr>
        <w:t>3.2 The Trust Gap (Services)</w:t>
      </w:r>
    </w:p>
    <w:p>
      <w:pPr>
        <w:spacing w:after="120" w:line="360" w:lineRule="auto"/>
      </w:pPr>
      <w:r>
        <w:rPr>
          <w:rFonts w:ascii="Calibri" w:hAnsi="Calibri"/>
          <w:b w:val="0"/>
          <w:i w:val="0"/>
          <w:color w:val="111827"/>
          <w:sz w:val="22"/>
        </w:rPr>
        <w:t>Businesses that need software development, data analysis, research support, or UX work struggle to find a single trusted partner. They juggle freelancers from scattered platforms, with no shared dashboard, no transparent pricing, and no accountability for delivery. The result is wasted budget and missed deadlines.</w:t>
      </w:r>
    </w:p>
    <w:p>
      <w:pPr>
        <w:pStyle w:val="Heading2"/>
      </w:pPr>
      <w:r>
        <w:rPr>
          <w:rFonts w:ascii="Calibri" w:hAnsi="Calibri"/>
          <w:color w:val="0B5FFF"/>
        </w:rPr>
        <w:t>3.3 The Continuity Gap (Talent → Opportunity)</w:t>
      </w:r>
    </w:p>
    <w:p>
      <w:pPr>
        <w:spacing w:after="120" w:line="360" w:lineRule="auto"/>
      </w:pPr>
      <w:r>
        <w:rPr>
          <w:rFonts w:ascii="Calibri" w:hAnsi="Calibri"/>
          <w:b w:val="0"/>
          <w:i w:val="0"/>
          <w:color w:val="111827"/>
          <w:sz w:val="22"/>
        </w:rPr>
        <w:t>Even when students complete training, there is no smooth bridge from being a learner to being a paid contributor on real client work. Schools end at the certificate; marketplaces start at zero reputation. The talent pipeline leaks at exactly the point where it should be flowing fastest.</w:t>
      </w:r>
    </w:p>
    <w:p>
      <w:pPr>
        <w:pStyle w:val="Heading2"/>
      </w:pPr>
      <w:r>
        <w:rPr>
          <w:rFonts w:ascii="Calibri" w:hAnsi="Calibri"/>
          <w:color w:val="0B5FFF"/>
        </w:rPr>
        <w:t>3.4 Operational Fragmentation</w:t>
      </w:r>
    </w:p>
    <w:p>
      <w:pPr>
        <w:spacing w:after="120" w:line="360" w:lineRule="auto"/>
      </w:pPr>
      <w:r>
        <w:rPr>
          <w:rFonts w:ascii="Calibri" w:hAnsi="Calibri"/>
          <w:b w:val="0"/>
          <w:i w:val="0"/>
          <w:color w:val="111827"/>
          <w:sz w:val="22"/>
        </w:rPr>
        <w:t>Existing solutions stitch together five or more disconnected tools — a learning management system, a Zoom link, a WhatsApp group, a Stripe invoice, a Notion board. Students lose context, clients lose visibility, admins lose hours. There is no single source of truth for the relationship between a person, a programme, a payment, and a project.</w:t>
      </w:r>
    </w:p>
    <w:p>
      <w:r>
        <w:br w:type="page"/>
      </w:r>
    </w:p>
    <w:p>
      <w:pPr>
        <w:pStyle w:val="Heading1"/>
      </w:pPr>
      <w:r>
        <w:rPr>
          <w:rFonts w:ascii="Calibri" w:hAnsi="Calibri"/>
          <w:color w:val="0B5FFF"/>
        </w:rPr>
        <w:t>4. Project Objectives</w:t>
      </w:r>
    </w:p>
    <w:p>
      <w:pPr>
        <w:pStyle w:val="ListBullet"/>
        <w:spacing w:after="60"/>
      </w:pPr>
      <w:r>
        <w:rPr>
          <w:rFonts w:ascii="Calibri" w:hAnsi="Calibri"/>
          <w:color w:val="111827"/>
          <w:sz w:val="22"/>
        </w:rPr>
        <w:t>Deliver a single, role-aware platform where Students, Clients, and Administrators each see exactly the workflow they need — and nothing they don't.</w:t>
      </w:r>
    </w:p>
    <w:p>
      <w:pPr>
        <w:pStyle w:val="ListBullet"/>
        <w:spacing w:after="60"/>
      </w:pPr>
      <w:r>
        <w:rPr>
          <w:rFonts w:ascii="Calibri" w:hAnsi="Calibri"/>
          <w:color w:val="111827"/>
          <w:sz w:val="22"/>
        </w:rPr>
        <w:t>Make high-quality, mentor-led tech training accessible in Nigerian Naira through Paystack, with cohort programmes, mentorship, and consulting tiers.</w:t>
      </w:r>
    </w:p>
    <w:p>
      <w:pPr>
        <w:pStyle w:val="ListBullet"/>
        <w:spacing w:after="60"/>
      </w:pPr>
      <w:r>
        <w:rPr>
          <w:rFonts w:ascii="Calibri" w:hAnsi="Calibri"/>
          <w:color w:val="111827"/>
          <w:sz w:val="22"/>
        </w:rPr>
        <w:t>Provide a transparent services dashboard where clients can request, track, and pay for software development, data analysis, research support, and UX/Product work.</w:t>
      </w:r>
    </w:p>
    <w:p>
      <w:pPr>
        <w:pStyle w:val="ListBullet"/>
        <w:spacing w:after="60"/>
      </w:pPr>
      <w:r>
        <w:rPr>
          <w:rFonts w:ascii="Calibri" w:hAnsi="Calibri"/>
          <w:color w:val="111827"/>
          <w:sz w:val="22"/>
        </w:rPr>
        <w:t>Build a native live-class experience using WebRTC — no third-party Zoom dependency, with attendance tracking and instructor controls baked in.</w:t>
      </w:r>
    </w:p>
    <w:p>
      <w:pPr>
        <w:pStyle w:val="ListBullet"/>
        <w:spacing w:after="60"/>
      </w:pPr>
      <w:r>
        <w:rPr>
          <w:rFonts w:ascii="Calibri" w:hAnsi="Calibri"/>
          <w:color w:val="111827"/>
          <w:sz w:val="22"/>
        </w:rPr>
        <w:t>Bridge the talent-to-opportunity gap by giving top-performing students a path into client projects directly inside the same platform they trained on.</w:t>
      </w:r>
    </w:p>
    <w:p>
      <w:pPr>
        <w:pStyle w:val="ListBullet"/>
        <w:spacing w:after="60"/>
      </w:pPr>
      <w:r>
        <w:rPr>
          <w:rFonts w:ascii="Calibri" w:hAnsi="Calibri"/>
          <w:color w:val="111827"/>
          <w:sz w:val="22"/>
        </w:rPr>
        <w:t>Achieve production-readiness with secure authentication, rate limiting, input validation, structured logging, and full API documentation.</w:t>
      </w:r>
    </w:p>
    <w:p>
      <w:r>
        <w:br w:type="page"/>
      </w:r>
    </w:p>
    <w:p>
      <w:pPr>
        <w:pStyle w:val="Heading1"/>
      </w:pPr>
      <w:r>
        <w:rPr>
          <w:rFonts w:ascii="Calibri" w:hAnsi="Calibri"/>
          <w:color w:val="0B5FFF"/>
        </w:rPr>
        <w:t>5. Product Overview — How E-Bringgs Works</w:t>
      </w:r>
    </w:p>
    <w:p>
      <w:pPr>
        <w:spacing w:after="120" w:line="360" w:lineRule="auto"/>
      </w:pPr>
      <w:r>
        <w:rPr>
          <w:rFonts w:ascii="Calibri" w:hAnsi="Calibri"/>
          <w:b w:val="0"/>
          <w:i w:val="0"/>
          <w:color w:val="111827"/>
          <w:sz w:val="22"/>
        </w:rPr>
        <w:t>E-Bringgs is delivered as a responsive web application accessible from any modern browser. A visitor lands on the public marketing site and is funnelled — based on intent — into one of three experiences:</w:t>
      </w:r>
    </w:p>
    <w:p>
      <w:pPr>
        <w:pStyle w:val="Heading2"/>
      </w:pPr>
      <w:r>
        <w:rPr>
          <w:rFonts w:ascii="Calibri" w:hAnsi="Calibri"/>
          <w:color w:val="0B5FFF"/>
        </w:rPr>
        <w:t>5.1 The Student Journey</w:t>
      </w:r>
    </w:p>
    <w:p>
      <w:pPr>
        <w:spacing w:after="120" w:line="360" w:lineRule="auto"/>
      </w:pPr>
      <w:r>
        <w:rPr>
          <w:rFonts w:ascii="Calibri" w:hAnsi="Calibri"/>
          <w:b w:val="0"/>
          <w:i w:val="0"/>
          <w:color w:val="111827"/>
          <w:sz w:val="22"/>
        </w:rPr>
        <w:t>A prospective learner browses the Pricing and Courses pages, registers as a Student, verifies their email, and pays in NGN through Paystack. They are redirected to the Student Dashboard which shows enrolled courses, modules, downloadable resources, their cohort schedule, assignments, and any live session for the day. When a class is live, the Classroom page hosts a WebRTC video room with chat, screen-sharing, mute/unmute and instructor controls.</w:t>
      </w:r>
    </w:p>
    <w:p>
      <w:pPr>
        <w:pStyle w:val="Heading2"/>
      </w:pPr>
      <w:r>
        <w:rPr>
          <w:rFonts w:ascii="Calibri" w:hAnsi="Calibri"/>
          <w:color w:val="0B5FFF"/>
        </w:rPr>
        <w:t>5.2 The Client Journey</w:t>
      </w:r>
    </w:p>
    <w:p>
      <w:pPr>
        <w:spacing w:after="120" w:line="360" w:lineRule="auto"/>
      </w:pPr>
      <w:r>
        <w:rPr>
          <w:rFonts w:ascii="Calibri" w:hAnsi="Calibri"/>
          <w:b w:val="0"/>
          <w:i w:val="0"/>
          <w:color w:val="111827"/>
          <w:sz w:val="22"/>
        </w:rPr>
        <w:t>A business visitor browses the Services dashboard — Software Development, Data Analysis, Research Support, UX/Product — submits a service inquiry, registers as a Client, and is taken into the Client area. From the Client sidebar they can view active projects, drill into a project's status, see deliverables, and review payment history. All under a single dashboard.</w:t>
      </w:r>
    </w:p>
    <w:p>
      <w:pPr>
        <w:pStyle w:val="Heading2"/>
      </w:pPr>
      <w:r>
        <w:rPr>
          <w:rFonts w:ascii="Calibri" w:hAnsi="Calibri"/>
          <w:color w:val="0B5FFF"/>
        </w:rPr>
        <w:t>5.3 The Admin Journey</w:t>
      </w:r>
    </w:p>
    <w:p>
      <w:pPr>
        <w:spacing w:after="120" w:line="360" w:lineRule="auto"/>
      </w:pPr>
      <w:r>
        <w:rPr>
          <w:rFonts w:ascii="Calibri" w:hAnsi="Calibri"/>
          <w:b w:val="0"/>
          <w:i w:val="0"/>
          <w:color w:val="111827"/>
          <w:sz w:val="22"/>
        </w:rPr>
        <w:t>Administrators log in to a dedicated dark-themed admin layout. They manage users and roles, create and update courses (including individual modules), publish blog posts, schedule live sessions, manage cohorts, review and assign service requests, review submitted assignments, monitor payments, and consult dashboard analytics.</w:t>
      </w:r>
    </w:p>
    <w:p>
      <w:pPr>
        <w:pStyle w:val="Heading2"/>
      </w:pPr>
      <w:r>
        <w:rPr>
          <w:rFonts w:ascii="Calibri" w:hAnsi="Calibri"/>
          <w:color w:val="0B5FFF"/>
        </w:rPr>
        <w:t>5.4 The Underlying Mechanics</w:t>
      </w:r>
    </w:p>
    <w:p>
      <w:pPr>
        <w:spacing w:after="120" w:line="360" w:lineRule="auto"/>
      </w:pPr>
      <w:r>
        <w:rPr>
          <w:rFonts w:ascii="Calibri" w:hAnsi="Calibri"/>
          <w:b w:val="0"/>
          <w:i w:val="0"/>
          <w:color w:val="111827"/>
          <w:sz w:val="22"/>
        </w:rPr>
        <w:t>Behind the scenes, the React frontend communicates with the Express backend through a single Axios instance with auto-refreshing JWTs. State is persisted client-side with Zustand. Live video sessions open a WebSocket connection to a signaling server on the /ws path which orchestrates WebRTC offers, answers, ICE candidates, chat, attendance, and instructor commands. Payments are initialised through Paystack and verified via webhook back into the database. Files are uploaded through a Multer-backed endpoint with MIME allowlists and size limits.</w:t>
      </w:r>
    </w:p>
    <w:p>
      <w:r>
        <w:br w:type="page"/>
      </w:r>
    </w:p>
    <w:p>
      <w:pPr>
        <w:pStyle w:val="Heading1"/>
      </w:pPr>
      <w:r>
        <w:rPr>
          <w:rFonts w:ascii="Calibri" w:hAnsi="Calibri"/>
          <w:color w:val="0B5FFF"/>
        </w:rPr>
        <w:t>6. Services Offered</w:t>
      </w:r>
    </w:p>
    <w:p>
      <w:pPr>
        <w:spacing w:after="120" w:line="360" w:lineRule="auto"/>
      </w:pPr>
      <w:r>
        <w:rPr>
          <w:rFonts w:ascii="Calibri" w:hAnsi="Calibri"/>
          <w:b w:val="0"/>
          <w:i w:val="0"/>
          <w:color w:val="111827"/>
          <w:sz w:val="22"/>
        </w:rPr>
        <w:t>E-Bringgs delivers value through three product lines, each with its own pricing tier and dashboard experience.</w:t>
      </w:r>
    </w:p>
    <w:p>
      <w:pPr>
        <w:pStyle w:val="Heading2"/>
      </w:pPr>
      <w:r>
        <w:rPr>
          <w:rFonts w:ascii="Calibri" w:hAnsi="Calibri"/>
          <w:color w:val="0B5FFF"/>
        </w:rPr>
        <w:t>6.1 Learning Programmes</w:t>
      </w:r>
    </w:p>
    <w:p>
      <w:pPr>
        <w:pStyle w:val="ListBullet"/>
        <w:spacing w:after="60"/>
      </w:pPr>
      <w:r>
        <w:rPr>
          <w:rFonts w:ascii="Calibri" w:hAnsi="Calibri"/>
          <w:color w:val="111827"/>
          <w:sz w:val="22"/>
        </w:rPr>
        <w:t>Cohort programmes — structured, time-boxed group learning with live classes.</w:t>
      </w:r>
    </w:p>
    <w:p>
      <w:pPr>
        <w:pStyle w:val="ListBullet"/>
        <w:spacing w:after="60"/>
      </w:pPr>
      <w:r>
        <w:rPr>
          <w:rFonts w:ascii="Calibri" w:hAnsi="Calibri"/>
          <w:color w:val="111827"/>
          <w:sz w:val="22"/>
        </w:rPr>
        <w:t>Mentorship tier — 1:1 sessions with industry mentors.</w:t>
      </w:r>
    </w:p>
    <w:p>
      <w:pPr>
        <w:pStyle w:val="ListBullet"/>
        <w:spacing w:after="60"/>
      </w:pPr>
      <w:r>
        <w:rPr>
          <w:rFonts w:ascii="Calibri" w:hAnsi="Calibri"/>
          <w:color w:val="111827"/>
          <w:sz w:val="22"/>
        </w:rPr>
        <w:t>Self-paced course library — modules and lessons accessible on demand.</w:t>
      </w:r>
    </w:p>
    <w:p>
      <w:pPr>
        <w:pStyle w:val="ListBullet"/>
        <w:spacing w:after="60"/>
      </w:pPr>
      <w:r>
        <w:rPr>
          <w:rFonts w:ascii="Calibri" w:hAnsi="Calibri"/>
          <w:color w:val="111827"/>
          <w:sz w:val="22"/>
        </w:rPr>
        <w:t>Live video classroom — WebRTC-based, with chat, screen share, attendance.</w:t>
      </w:r>
    </w:p>
    <w:p>
      <w:pPr>
        <w:pStyle w:val="ListBullet"/>
        <w:spacing w:after="60"/>
      </w:pPr>
      <w:r>
        <w:rPr>
          <w:rFonts w:ascii="Calibri" w:hAnsi="Calibri"/>
          <w:color w:val="111827"/>
          <w:sz w:val="22"/>
        </w:rPr>
        <w:t>Assignment submission and instructor review.</w:t>
      </w:r>
    </w:p>
    <w:p>
      <w:pPr>
        <w:pStyle w:val="Heading2"/>
      </w:pPr>
      <w:r>
        <w:rPr>
          <w:rFonts w:ascii="Calibri" w:hAnsi="Calibri"/>
          <w:color w:val="0B5FFF"/>
        </w:rPr>
        <w:t>6.2 Professional Services</w:t>
      </w:r>
    </w:p>
    <w:p>
      <w:pPr>
        <w:pStyle w:val="ListBullet"/>
        <w:spacing w:after="60"/>
      </w:pPr>
      <w:r>
        <w:rPr>
          <w:rFonts w:ascii="Calibri" w:hAnsi="Calibri"/>
          <w:color w:val="111827"/>
          <w:sz w:val="22"/>
        </w:rPr>
        <w:t>Software Development — web, mobile, and full-stack engineering for clients.</w:t>
      </w:r>
    </w:p>
    <w:p>
      <w:pPr>
        <w:pStyle w:val="ListBullet"/>
        <w:spacing w:after="60"/>
      </w:pPr>
      <w:r>
        <w:rPr>
          <w:rFonts w:ascii="Calibri" w:hAnsi="Calibri"/>
          <w:color w:val="111827"/>
          <w:sz w:val="22"/>
        </w:rPr>
        <w:t>Data Analysis — dashboards, reports, and analytical work.</w:t>
      </w:r>
    </w:p>
    <w:p>
      <w:pPr>
        <w:pStyle w:val="ListBullet"/>
        <w:spacing w:after="60"/>
      </w:pPr>
      <w:r>
        <w:rPr>
          <w:rFonts w:ascii="Calibri" w:hAnsi="Calibri"/>
          <w:color w:val="111827"/>
          <w:sz w:val="22"/>
        </w:rPr>
        <w:t>Research Support — desk research, literature reviews, structured analysis.</w:t>
      </w:r>
    </w:p>
    <w:p>
      <w:pPr>
        <w:pStyle w:val="ListBullet"/>
        <w:spacing w:after="60"/>
      </w:pPr>
      <w:r>
        <w:rPr>
          <w:rFonts w:ascii="Calibri" w:hAnsi="Calibri"/>
          <w:color w:val="111827"/>
          <w:sz w:val="22"/>
        </w:rPr>
        <w:t>UX / Product Design — research, wireframing, design systems, usability.</w:t>
      </w:r>
    </w:p>
    <w:p>
      <w:pPr>
        <w:pStyle w:val="Heading2"/>
      </w:pPr>
      <w:r>
        <w:rPr>
          <w:rFonts w:ascii="Calibri" w:hAnsi="Calibri"/>
          <w:color w:val="0B5FFF"/>
        </w:rPr>
        <w:t>6.3 Consulting &amp; Freelance Engagements</w:t>
      </w:r>
    </w:p>
    <w:p>
      <w:pPr>
        <w:pStyle w:val="ListBullet"/>
        <w:spacing w:after="60"/>
      </w:pPr>
      <w:r>
        <w:rPr>
          <w:rFonts w:ascii="Calibri" w:hAnsi="Calibri"/>
          <w:color w:val="111827"/>
          <w:sz w:val="22"/>
        </w:rPr>
        <w:t>Strategic consulting on product, engineering, and data initiatives.</w:t>
      </w:r>
    </w:p>
    <w:p>
      <w:pPr>
        <w:pStyle w:val="ListBullet"/>
        <w:spacing w:after="60"/>
      </w:pPr>
      <w:r>
        <w:rPr>
          <w:rFonts w:ascii="Calibri" w:hAnsi="Calibri"/>
          <w:color w:val="111827"/>
          <w:sz w:val="22"/>
        </w:rPr>
        <w:t>Short-term freelance engagements channelled through the Client dashboard.</w:t>
      </w:r>
    </w:p>
    <w:p>
      <w:pPr>
        <w:pStyle w:val="ListBullet"/>
        <w:spacing w:after="60"/>
      </w:pPr>
      <w:r>
        <w:rPr>
          <w:rFonts w:ascii="Calibri" w:hAnsi="Calibri"/>
          <w:color w:val="111827"/>
          <w:sz w:val="22"/>
        </w:rPr>
        <w:t>Retainer-style relationships with structured deliverables and visibility.</w:t>
      </w:r>
    </w:p>
    <w:p>
      <w:pPr>
        <w:pStyle w:val="Heading2"/>
      </w:pPr>
      <w:r>
        <w:rPr>
          <w:rFonts w:ascii="Calibri" w:hAnsi="Calibri"/>
          <w:color w:val="0B5FFF"/>
        </w:rPr>
        <w:t>6.4 Pricing Snapshot</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shd w:val="clear" w:color="auto" w:fill="0B5FFF"/>
            <w:vAlign w:val="center"/>
          </w:tcPr>
          <w:p>
            <w:r/>
            <w:r>
              <w:rPr>
                <w:rFonts w:ascii="Calibri" w:hAnsi="Calibri"/>
                <w:b/>
                <w:color w:val="FFFFFF"/>
                <w:sz w:val="22"/>
              </w:rPr>
              <w:t>Tier</w:t>
            </w:r>
          </w:p>
        </w:tc>
        <w:tc>
          <w:tcPr>
            <w:tcW w:type="dxa" w:w="2379"/>
            <w:shd w:val="clear" w:color="auto" w:fill="0B5FFF"/>
            <w:vAlign w:val="center"/>
          </w:tcPr>
          <w:p>
            <w:r/>
            <w:r>
              <w:rPr>
                <w:rFonts w:ascii="Calibri" w:hAnsi="Calibri"/>
                <w:b/>
                <w:color w:val="FFFFFF"/>
                <w:sz w:val="22"/>
              </w:rPr>
              <w:t>Audience</w:t>
            </w:r>
          </w:p>
        </w:tc>
        <w:tc>
          <w:tcPr>
            <w:tcW w:type="dxa" w:w="2379"/>
            <w:shd w:val="clear" w:color="auto" w:fill="0B5FFF"/>
            <w:vAlign w:val="center"/>
          </w:tcPr>
          <w:p>
            <w:r/>
            <w:r>
              <w:rPr>
                <w:rFonts w:ascii="Calibri" w:hAnsi="Calibri"/>
                <w:b/>
                <w:color w:val="FFFFFF"/>
                <w:sz w:val="22"/>
              </w:rPr>
              <w:t>Billing Model</w:t>
            </w:r>
          </w:p>
        </w:tc>
        <w:tc>
          <w:tcPr>
            <w:tcW w:type="dxa" w:w="2379"/>
            <w:shd w:val="clear" w:color="auto" w:fill="0B5FFF"/>
            <w:vAlign w:val="center"/>
          </w:tcPr>
          <w:p>
            <w:r/>
            <w:r>
              <w:rPr>
                <w:rFonts w:ascii="Calibri" w:hAnsi="Calibri"/>
                <w:b/>
                <w:color w:val="FFFFFF"/>
                <w:sz w:val="22"/>
              </w:rPr>
              <w:t>Currency</w:t>
            </w:r>
          </w:p>
        </w:tc>
      </w:tr>
      <w:tr>
        <w:tc>
          <w:tcPr>
            <w:tcW w:type="dxa" w:w="2379"/>
            <w:vAlign w:val="center"/>
          </w:tcPr>
          <w:p>
            <w:r/>
            <w:r>
              <w:rPr>
                <w:rFonts w:ascii="Calibri" w:hAnsi="Calibri"/>
                <w:color w:val="111827"/>
                <w:sz w:val="21"/>
              </w:rPr>
              <w:t>Cohort Programme</w:t>
            </w:r>
          </w:p>
        </w:tc>
        <w:tc>
          <w:tcPr>
            <w:tcW w:type="dxa" w:w="2379"/>
            <w:vAlign w:val="center"/>
          </w:tcPr>
          <w:p>
            <w:r/>
            <w:r>
              <w:rPr>
                <w:rFonts w:ascii="Calibri" w:hAnsi="Calibri"/>
                <w:color w:val="111827"/>
                <w:sz w:val="21"/>
              </w:rPr>
              <w:t>Students</w:t>
            </w:r>
          </w:p>
        </w:tc>
        <w:tc>
          <w:tcPr>
            <w:tcW w:type="dxa" w:w="2379"/>
            <w:vAlign w:val="center"/>
          </w:tcPr>
          <w:p>
            <w:r/>
            <w:r>
              <w:rPr>
                <w:rFonts w:ascii="Calibri" w:hAnsi="Calibri"/>
                <w:color w:val="111827"/>
                <w:sz w:val="21"/>
              </w:rPr>
              <w:t>One-time / instalment</w:t>
            </w:r>
          </w:p>
        </w:tc>
        <w:tc>
          <w:tcPr>
            <w:tcW w:type="dxa" w:w="2379"/>
            <w:vAlign w:val="center"/>
          </w:tcPr>
          <w:p>
            <w:r/>
            <w:r>
              <w:rPr>
                <w:rFonts w:ascii="Calibri" w:hAnsi="Calibri"/>
                <w:color w:val="111827"/>
                <w:sz w:val="21"/>
              </w:rPr>
              <w:t>NGN (Paystack)</w:t>
            </w:r>
          </w:p>
        </w:tc>
      </w:tr>
      <w:tr>
        <w:tc>
          <w:tcPr>
            <w:tcW w:type="dxa" w:w="2379"/>
            <w:vAlign w:val="center"/>
          </w:tcPr>
          <w:p>
            <w:r/>
            <w:r>
              <w:rPr>
                <w:rFonts w:ascii="Calibri" w:hAnsi="Calibri"/>
                <w:color w:val="111827"/>
                <w:sz w:val="21"/>
              </w:rPr>
              <w:t>Mentorship</w:t>
            </w:r>
          </w:p>
        </w:tc>
        <w:tc>
          <w:tcPr>
            <w:tcW w:type="dxa" w:w="2379"/>
            <w:vAlign w:val="center"/>
          </w:tcPr>
          <w:p>
            <w:r/>
            <w:r>
              <w:rPr>
                <w:rFonts w:ascii="Calibri" w:hAnsi="Calibri"/>
                <w:color w:val="111827"/>
                <w:sz w:val="21"/>
              </w:rPr>
              <w:t>Students</w:t>
            </w:r>
          </w:p>
        </w:tc>
        <w:tc>
          <w:tcPr>
            <w:tcW w:type="dxa" w:w="2379"/>
            <w:vAlign w:val="center"/>
          </w:tcPr>
          <w:p>
            <w:r/>
            <w:r>
              <w:rPr>
                <w:rFonts w:ascii="Calibri" w:hAnsi="Calibri"/>
                <w:color w:val="111827"/>
                <w:sz w:val="21"/>
              </w:rPr>
              <w:t>Subscription</w:t>
            </w:r>
          </w:p>
        </w:tc>
        <w:tc>
          <w:tcPr>
            <w:tcW w:type="dxa" w:w="2379"/>
            <w:vAlign w:val="center"/>
          </w:tcPr>
          <w:p>
            <w:r/>
            <w:r>
              <w:rPr>
                <w:rFonts w:ascii="Calibri" w:hAnsi="Calibri"/>
                <w:color w:val="111827"/>
                <w:sz w:val="21"/>
              </w:rPr>
              <w:t>NGN (Paystack)</w:t>
            </w:r>
          </w:p>
        </w:tc>
      </w:tr>
      <w:tr>
        <w:tc>
          <w:tcPr>
            <w:tcW w:type="dxa" w:w="2379"/>
            <w:vAlign w:val="center"/>
          </w:tcPr>
          <w:p>
            <w:r/>
            <w:r>
              <w:rPr>
                <w:rFonts w:ascii="Calibri" w:hAnsi="Calibri"/>
                <w:color w:val="111827"/>
                <w:sz w:val="21"/>
              </w:rPr>
              <w:t>Consulting</w:t>
            </w:r>
          </w:p>
        </w:tc>
        <w:tc>
          <w:tcPr>
            <w:tcW w:type="dxa" w:w="2379"/>
            <w:vAlign w:val="center"/>
          </w:tcPr>
          <w:p>
            <w:r/>
            <w:r>
              <w:rPr>
                <w:rFonts w:ascii="Calibri" w:hAnsi="Calibri"/>
                <w:color w:val="111827"/>
                <w:sz w:val="21"/>
              </w:rPr>
              <w:t>Clients</w:t>
            </w:r>
          </w:p>
        </w:tc>
        <w:tc>
          <w:tcPr>
            <w:tcW w:type="dxa" w:w="2379"/>
            <w:vAlign w:val="center"/>
          </w:tcPr>
          <w:p>
            <w:r/>
            <w:r>
              <w:rPr>
                <w:rFonts w:ascii="Calibri" w:hAnsi="Calibri"/>
                <w:color w:val="111827"/>
                <w:sz w:val="21"/>
              </w:rPr>
              <w:t>Engagement / retainer</w:t>
            </w:r>
          </w:p>
        </w:tc>
        <w:tc>
          <w:tcPr>
            <w:tcW w:type="dxa" w:w="2379"/>
            <w:vAlign w:val="center"/>
          </w:tcPr>
          <w:p>
            <w:r/>
            <w:r>
              <w:rPr>
                <w:rFonts w:ascii="Calibri" w:hAnsi="Calibri"/>
                <w:color w:val="111827"/>
                <w:sz w:val="21"/>
              </w:rPr>
              <w:t>NGN (Paystack)</w:t>
            </w:r>
          </w:p>
        </w:tc>
      </w:tr>
      <w:tr>
        <w:tc>
          <w:tcPr>
            <w:tcW w:type="dxa" w:w="2379"/>
            <w:vAlign w:val="center"/>
          </w:tcPr>
          <w:p>
            <w:r/>
            <w:r>
              <w:rPr>
                <w:rFonts w:ascii="Calibri" w:hAnsi="Calibri"/>
                <w:color w:val="111827"/>
                <w:sz w:val="21"/>
              </w:rPr>
              <w:t>Service Request</w:t>
            </w:r>
          </w:p>
        </w:tc>
        <w:tc>
          <w:tcPr>
            <w:tcW w:type="dxa" w:w="2379"/>
            <w:vAlign w:val="center"/>
          </w:tcPr>
          <w:p>
            <w:r/>
            <w:r>
              <w:rPr>
                <w:rFonts w:ascii="Calibri" w:hAnsi="Calibri"/>
                <w:color w:val="111827"/>
                <w:sz w:val="21"/>
              </w:rPr>
              <w:t>Clients</w:t>
            </w:r>
          </w:p>
        </w:tc>
        <w:tc>
          <w:tcPr>
            <w:tcW w:type="dxa" w:w="2379"/>
            <w:vAlign w:val="center"/>
          </w:tcPr>
          <w:p>
            <w:r/>
            <w:r>
              <w:rPr>
                <w:rFonts w:ascii="Calibri" w:hAnsi="Calibri"/>
                <w:color w:val="111827"/>
                <w:sz w:val="21"/>
              </w:rPr>
              <w:t>Project-based</w:t>
            </w:r>
          </w:p>
        </w:tc>
        <w:tc>
          <w:tcPr>
            <w:tcW w:type="dxa" w:w="2379"/>
            <w:vAlign w:val="center"/>
          </w:tcPr>
          <w:p>
            <w:r/>
            <w:r>
              <w:rPr>
                <w:rFonts w:ascii="Calibri" w:hAnsi="Calibri"/>
                <w:color w:val="111827"/>
                <w:sz w:val="21"/>
              </w:rPr>
              <w:t>NGN (Paystack)</w:t>
            </w:r>
          </w:p>
        </w:tc>
      </w:tr>
    </w:tbl>
    <w:p>
      <w:r>
        <w:br w:type="page"/>
      </w:r>
    </w:p>
    <w:p>
      <w:pPr>
        <w:pStyle w:val="Heading1"/>
      </w:pPr>
      <w:r>
        <w:rPr>
          <w:rFonts w:ascii="Calibri" w:hAnsi="Calibri"/>
          <w:color w:val="0B5FFF"/>
        </w:rPr>
        <w:t>7. Target Audience &amp; User Roles</w:t>
      </w:r>
    </w:p>
    <w:p>
      <w:pPr>
        <w:pStyle w:val="Heading2"/>
      </w:pPr>
      <w:r>
        <w:rPr>
          <w:rFonts w:ascii="Calibri" w:hAnsi="Calibri"/>
          <w:color w:val="0B5FFF"/>
        </w:rPr>
        <w:t>7.1 Target Audience</w:t>
      </w:r>
    </w:p>
    <w:p>
      <w:pPr>
        <w:pStyle w:val="ListBullet"/>
        <w:spacing w:after="60"/>
      </w:pPr>
      <w:r>
        <w:rPr>
          <w:rFonts w:ascii="Calibri" w:hAnsi="Calibri"/>
          <w:color w:val="111827"/>
          <w:sz w:val="22"/>
        </w:rPr>
        <w:t>Aspiring African tech talent — students and career-switchers seeking structured, affordable, mentor-led training in software, data, and product disciplines.</w:t>
      </w:r>
    </w:p>
    <w:p>
      <w:pPr>
        <w:pStyle w:val="ListBullet"/>
        <w:spacing w:after="60"/>
      </w:pPr>
      <w:r>
        <w:rPr>
          <w:rFonts w:ascii="Calibri" w:hAnsi="Calibri"/>
          <w:color w:val="111827"/>
          <w:sz w:val="22"/>
        </w:rPr>
        <w:t>Small and mid-sized businesses — needing reliable software, data, research, or UX work without the overhead of an in-house team.</w:t>
      </w:r>
    </w:p>
    <w:p>
      <w:pPr>
        <w:pStyle w:val="ListBullet"/>
        <w:spacing w:after="60"/>
      </w:pPr>
      <w:r>
        <w:rPr>
          <w:rFonts w:ascii="Calibri" w:hAnsi="Calibri"/>
          <w:color w:val="111827"/>
          <w:sz w:val="22"/>
        </w:rPr>
        <w:t>Diaspora professionals and consultants — looking for a trusted partner to staff African client engagements.</w:t>
      </w:r>
    </w:p>
    <w:p>
      <w:pPr>
        <w:pStyle w:val="ListBullet"/>
        <w:spacing w:after="60"/>
      </w:pPr>
      <w:r>
        <w:rPr>
          <w:rFonts w:ascii="Calibri" w:hAnsi="Calibri"/>
          <w:color w:val="111827"/>
          <w:sz w:val="22"/>
        </w:rPr>
        <w:t>Educational institutions — seeking partners for cohort delivery and mentorship.</w:t>
      </w:r>
    </w:p>
    <w:p>
      <w:pPr>
        <w:pStyle w:val="Heading2"/>
      </w:pPr>
      <w:r>
        <w:rPr>
          <w:rFonts w:ascii="Calibri" w:hAnsi="Calibri"/>
          <w:color w:val="0B5FFF"/>
        </w:rPr>
        <w:t>7.2 User Roles</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shd w:val="clear" w:color="auto" w:fill="0B5FFF"/>
            <w:vAlign w:val="center"/>
          </w:tcPr>
          <w:p>
            <w:r/>
            <w:r>
              <w:rPr>
                <w:rFonts w:ascii="Calibri" w:hAnsi="Calibri"/>
                <w:b/>
                <w:color w:val="FFFFFF"/>
                <w:sz w:val="22"/>
              </w:rPr>
              <w:t>Role</w:t>
            </w:r>
          </w:p>
        </w:tc>
        <w:tc>
          <w:tcPr>
            <w:tcW w:type="dxa" w:w="3173"/>
            <w:shd w:val="clear" w:color="auto" w:fill="0B5FFF"/>
            <w:vAlign w:val="center"/>
          </w:tcPr>
          <w:p>
            <w:r/>
            <w:r>
              <w:rPr>
                <w:rFonts w:ascii="Calibri" w:hAnsi="Calibri"/>
                <w:b/>
                <w:color w:val="FFFFFF"/>
                <w:sz w:val="22"/>
              </w:rPr>
              <w:t>Primary Surface</w:t>
            </w:r>
          </w:p>
        </w:tc>
        <w:tc>
          <w:tcPr>
            <w:tcW w:type="dxa" w:w="3173"/>
            <w:shd w:val="clear" w:color="auto" w:fill="0B5FFF"/>
            <w:vAlign w:val="center"/>
          </w:tcPr>
          <w:p>
            <w:r/>
            <w:r>
              <w:rPr>
                <w:rFonts w:ascii="Calibri" w:hAnsi="Calibri"/>
                <w:b/>
                <w:color w:val="FFFFFF"/>
                <w:sz w:val="22"/>
              </w:rPr>
              <w:t>Core Capabilities</w:t>
            </w:r>
          </w:p>
        </w:tc>
      </w:tr>
      <w:tr>
        <w:tc>
          <w:tcPr>
            <w:tcW w:type="dxa" w:w="3173"/>
            <w:vAlign w:val="center"/>
          </w:tcPr>
          <w:p>
            <w:r/>
            <w:r>
              <w:rPr>
                <w:rFonts w:ascii="Calibri" w:hAnsi="Calibri"/>
                <w:color w:val="111827"/>
                <w:sz w:val="21"/>
              </w:rPr>
              <w:t>Student</w:t>
            </w:r>
          </w:p>
        </w:tc>
        <w:tc>
          <w:tcPr>
            <w:tcW w:type="dxa" w:w="3173"/>
            <w:vAlign w:val="center"/>
          </w:tcPr>
          <w:p>
            <w:r/>
            <w:r>
              <w:rPr>
                <w:rFonts w:ascii="Calibri" w:hAnsi="Calibri"/>
                <w:color w:val="111827"/>
                <w:sz w:val="21"/>
              </w:rPr>
              <w:t>/dashboard</w:t>
            </w:r>
          </w:p>
        </w:tc>
        <w:tc>
          <w:tcPr>
            <w:tcW w:type="dxa" w:w="3173"/>
            <w:vAlign w:val="center"/>
          </w:tcPr>
          <w:p>
            <w:r/>
            <w:r>
              <w:rPr>
                <w:rFonts w:ascii="Calibri" w:hAnsi="Calibri"/>
                <w:color w:val="111827"/>
                <w:sz w:val="21"/>
              </w:rPr>
              <w:t>Browse + enroll in courses, attend live classes, submit assignments, track progress, manage payments.</w:t>
            </w:r>
          </w:p>
        </w:tc>
      </w:tr>
      <w:tr>
        <w:tc>
          <w:tcPr>
            <w:tcW w:type="dxa" w:w="3173"/>
            <w:vAlign w:val="center"/>
          </w:tcPr>
          <w:p>
            <w:r/>
            <w:r>
              <w:rPr>
                <w:rFonts w:ascii="Calibri" w:hAnsi="Calibri"/>
                <w:color w:val="111827"/>
                <w:sz w:val="21"/>
              </w:rPr>
              <w:t>Client</w:t>
            </w:r>
          </w:p>
        </w:tc>
        <w:tc>
          <w:tcPr>
            <w:tcW w:type="dxa" w:w="3173"/>
            <w:vAlign w:val="center"/>
          </w:tcPr>
          <w:p>
            <w:r/>
            <w:r>
              <w:rPr>
                <w:rFonts w:ascii="Calibri" w:hAnsi="Calibri"/>
                <w:color w:val="111827"/>
                <w:sz w:val="21"/>
              </w:rPr>
              <w:t>/client</w:t>
            </w:r>
          </w:p>
        </w:tc>
        <w:tc>
          <w:tcPr>
            <w:tcW w:type="dxa" w:w="3173"/>
            <w:vAlign w:val="center"/>
          </w:tcPr>
          <w:p>
            <w:r/>
            <w:r>
              <w:rPr>
                <w:rFonts w:ascii="Calibri" w:hAnsi="Calibri"/>
                <w:color w:val="111827"/>
                <w:sz w:val="21"/>
              </w:rPr>
              <w:t>Submit service inquiries, track projects, view deliverables, manage payments.</w:t>
            </w:r>
          </w:p>
        </w:tc>
      </w:tr>
      <w:tr>
        <w:tc>
          <w:tcPr>
            <w:tcW w:type="dxa" w:w="3173"/>
            <w:vAlign w:val="center"/>
          </w:tcPr>
          <w:p>
            <w:r/>
            <w:r>
              <w:rPr>
                <w:rFonts w:ascii="Calibri" w:hAnsi="Calibri"/>
                <w:color w:val="111827"/>
                <w:sz w:val="21"/>
              </w:rPr>
              <w:t>Admin</w:t>
            </w:r>
          </w:p>
        </w:tc>
        <w:tc>
          <w:tcPr>
            <w:tcW w:type="dxa" w:w="3173"/>
            <w:vAlign w:val="center"/>
          </w:tcPr>
          <w:p>
            <w:r/>
            <w:r>
              <w:rPr>
                <w:rFonts w:ascii="Calibri" w:hAnsi="Calibri"/>
                <w:color w:val="111827"/>
                <w:sz w:val="21"/>
              </w:rPr>
              <w:t>/admin</w:t>
            </w:r>
          </w:p>
        </w:tc>
        <w:tc>
          <w:tcPr>
            <w:tcW w:type="dxa" w:w="3173"/>
            <w:vAlign w:val="center"/>
          </w:tcPr>
          <w:p>
            <w:r/>
            <w:r>
              <w:rPr>
                <w:rFonts w:ascii="Calibri" w:hAnsi="Calibri"/>
                <w:color w:val="111827"/>
                <w:sz w:val="21"/>
              </w:rPr>
              <w:t>Manage users, courses, modules, cohorts, blogs, live sessions, service requests, assignments, payments, analytics.</w:t>
            </w:r>
          </w:p>
        </w:tc>
      </w:tr>
    </w:tbl>
    <w:p>
      <w:r>
        <w:br w:type="page"/>
      </w:r>
    </w:p>
    <w:p>
      <w:pPr>
        <w:pStyle w:val="Heading1"/>
      </w:pPr>
      <w:r>
        <w:rPr>
          <w:rFonts w:ascii="Calibri" w:hAnsi="Calibri"/>
          <w:color w:val="0B5FFF"/>
        </w:rPr>
        <w:t>8. System Architecture &amp; Technology Stack</w:t>
      </w:r>
    </w:p>
    <w:p>
      <w:pPr>
        <w:pStyle w:val="Heading2"/>
      </w:pPr>
      <w:r>
        <w:rPr>
          <w:rFonts w:ascii="Calibri" w:hAnsi="Calibri"/>
          <w:color w:val="0B5FFF"/>
        </w:rPr>
        <w:t>8.1 Architecture Overview</w:t>
      </w:r>
    </w:p>
    <w:p>
      <w:pPr>
        <w:spacing w:after="120" w:line="360" w:lineRule="auto"/>
      </w:pPr>
      <w:r>
        <w:rPr>
          <w:rFonts w:ascii="Calibri" w:hAnsi="Calibri"/>
          <w:b w:val="0"/>
          <w:i w:val="0"/>
          <w:color w:val="111827"/>
          <w:sz w:val="22"/>
        </w:rPr>
        <w:t>E-Bringgs is a modern three-tier web application: a React 18 single-page application in the browser, an Express + TypeScript REST API backed by MongoDB, and a parallel WebSocket signaling server for live video. The whole system is designed to run in three environments — development, staging, and production — each with its own MongoDB Atlas cluster.</w:t>
      </w:r>
    </w:p>
    <w:p>
      <w:pPr>
        <w:pStyle w:val="Heading2"/>
      </w:pPr>
      <w:r>
        <w:rPr>
          <w:rFonts w:ascii="Calibri" w:hAnsi="Calibri"/>
          <w:color w:val="0B5FFF"/>
        </w:rPr>
        <w:t>8.2 Technology Stack</w:t>
      </w:r>
    </w:p>
    <w:tbl>
      <w:tblPr>
        <w:tblStyle w:val="LightGrid-Accent1"/>
        <w:tblW w:type="auto" w:w="0"/>
        <w:jc w:val="center"/>
        <w:tblLook w:firstColumn="1" w:firstRow="1" w:lastColumn="0" w:lastRow="0" w:noHBand="0" w:noVBand="1" w:val="04A0"/>
      </w:tblPr>
      <w:tblGrid>
        <w:gridCol w:w="4759"/>
        <w:gridCol w:w="4759"/>
      </w:tblGrid>
      <w:tr>
        <w:tc>
          <w:tcPr>
            <w:tcW w:type="dxa" w:w="2016"/>
            <w:shd w:val="clear" w:color="auto" w:fill="0B5FFF"/>
            <w:vAlign w:val="center"/>
          </w:tcPr>
          <w:p>
            <w:r/>
            <w:r>
              <w:rPr>
                <w:rFonts w:ascii="Calibri" w:hAnsi="Calibri"/>
                <w:b/>
                <w:color w:val="FFFFFF"/>
                <w:sz w:val="22"/>
              </w:rPr>
              <w:t>Layer</w:t>
            </w:r>
          </w:p>
        </w:tc>
        <w:tc>
          <w:tcPr>
            <w:tcW w:type="dxa" w:w="6624"/>
            <w:shd w:val="clear" w:color="auto" w:fill="0B5FFF"/>
            <w:vAlign w:val="center"/>
          </w:tcPr>
          <w:p>
            <w:r/>
            <w:r>
              <w:rPr>
                <w:rFonts w:ascii="Calibri" w:hAnsi="Calibri"/>
                <w:b/>
                <w:color w:val="FFFFFF"/>
                <w:sz w:val="22"/>
              </w:rPr>
              <w:t>Technology</w:t>
            </w:r>
          </w:p>
        </w:tc>
      </w:tr>
      <w:tr>
        <w:tc>
          <w:tcPr>
            <w:tcW w:type="dxa" w:w="2016"/>
            <w:vAlign w:val="center"/>
          </w:tcPr>
          <w:p>
            <w:r/>
            <w:r>
              <w:rPr>
                <w:rFonts w:ascii="Calibri" w:hAnsi="Calibri"/>
                <w:color w:val="111827"/>
                <w:sz w:val="21"/>
              </w:rPr>
              <w:t>Frontend</w:t>
            </w:r>
          </w:p>
        </w:tc>
        <w:tc>
          <w:tcPr>
            <w:tcW w:type="dxa" w:w="6624"/>
            <w:vAlign w:val="center"/>
          </w:tcPr>
          <w:p>
            <w:r/>
            <w:r>
              <w:rPr>
                <w:rFonts w:ascii="Calibri" w:hAnsi="Calibri"/>
                <w:color w:val="111827"/>
                <w:sz w:val="21"/>
              </w:rPr>
              <w:t>React 18, TypeScript, Vite, Tailwind CSS v4 (CSS-first), Zustand, React Router v6, Axios</w:t>
            </w:r>
          </w:p>
        </w:tc>
      </w:tr>
      <w:tr>
        <w:tc>
          <w:tcPr>
            <w:tcW w:type="dxa" w:w="2016"/>
            <w:vAlign w:val="center"/>
          </w:tcPr>
          <w:p>
            <w:r/>
            <w:r>
              <w:rPr>
                <w:rFonts w:ascii="Calibri" w:hAnsi="Calibri"/>
                <w:color w:val="111827"/>
                <w:sz w:val="21"/>
              </w:rPr>
              <w:t>Backend</w:t>
            </w:r>
          </w:p>
        </w:tc>
        <w:tc>
          <w:tcPr>
            <w:tcW w:type="dxa" w:w="6624"/>
            <w:vAlign w:val="center"/>
          </w:tcPr>
          <w:p>
            <w:r/>
            <w:r>
              <w:rPr>
                <w:rFonts w:ascii="Calibri" w:hAnsi="Calibri"/>
                <w:color w:val="111827"/>
                <w:sz w:val="21"/>
              </w:rPr>
              <w:t>Node.js, Express, TypeScript, Mongoose</w:t>
            </w:r>
          </w:p>
        </w:tc>
      </w:tr>
      <w:tr>
        <w:tc>
          <w:tcPr>
            <w:tcW w:type="dxa" w:w="2016"/>
            <w:vAlign w:val="center"/>
          </w:tcPr>
          <w:p>
            <w:r/>
            <w:r>
              <w:rPr>
                <w:rFonts w:ascii="Calibri" w:hAnsi="Calibri"/>
                <w:color w:val="111827"/>
                <w:sz w:val="21"/>
              </w:rPr>
              <w:t>Database</w:t>
            </w:r>
          </w:p>
        </w:tc>
        <w:tc>
          <w:tcPr>
            <w:tcW w:type="dxa" w:w="6624"/>
            <w:vAlign w:val="center"/>
          </w:tcPr>
          <w:p>
            <w:r/>
            <w:r>
              <w:rPr>
                <w:rFonts w:ascii="Calibri" w:hAnsi="Calibri"/>
                <w:color w:val="111827"/>
                <w:sz w:val="21"/>
              </w:rPr>
              <w:t>MongoDB Atlas (per-environment clusters)</w:t>
            </w:r>
          </w:p>
        </w:tc>
      </w:tr>
      <w:tr>
        <w:tc>
          <w:tcPr>
            <w:tcW w:type="dxa" w:w="2016"/>
            <w:vAlign w:val="center"/>
          </w:tcPr>
          <w:p>
            <w:r/>
            <w:r>
              <w:rPr>
                <w:rFonts w:ascii="Calibri" w:hAnsi="Calibri"/>
                <w:color w:val="111827"/>
                <w:sz w:val="21"/>
              </w:rPr>
              <w:t>Auth</w:t>
            </w:r>
          </w:p>
        </w:tc>
        <w:tc>
          <w:tcPr>
            <w:tcW w:type="dxa" w:w="6624"/>
            <w:vAlign w:val="center"/>
          </w:tcPr>
          <w:p>
            <w:r/>
            <w:r>
              <w:rPr>
                <w:rFonts w:ascii="Calibri" w:hAnsi="Calibri"/>
                <w:color w:val="111827"/>
                <w:sz w:val="21"/>
              </w:rPr>
              <w:t>JWT (access + refresh tokens), bcryptjs</w:t>
            </w:r>
          </w:p>
        </w:tc>
      </w:tr>
      <w:tr>
        <w:tc>
          <w:tcPr>
            <w:tcW w:type="dxa" w:w="2016"/>
            <w:vAlign w:val="center"/>
          </w:tcPr>
          <w:p>
            <w:r/>
            <w:r>
              <w:rPr>
                <w:rFonts w:ascii="Calibri" w:hAnsi="Calibri"/>
                <w:color w:val="111827"/>
                <w:sz w:val="21"/>
              </w:rPr>
              <w:t>Real-time</w:t>
            </w:r>
          </w:p>
        </w:tc>
        <w:tc>
          <w:tcPr>
            <w:tcW w:type="dxa" w:w="6624"/>
            <w:vAlign w:val="center"/>
          </w:tcPr>
          <w:p>
            <w:r/>
            <w:r>
              <w:rPr>
                <w:rFonts w:ascii="Calibri" w:hAnsi="Calibri"/>
                <w:color w:val="111827"/>
                <w:sz w:val="21"/>
              </w:rPr>
              <w:t>WebSocket (ws library) for WebRTC signaling</w:t>
            </w:r>
          </w:p>
        </w:tc>
      </w:tr>
      <w:tr>
        <w:tc>
          <w:tcPr>
            <w:tcW w:type="dxa" w:w="2016"/>
            <w:vAlign w:val="center"/>
          </w:tcPr>
          <w:p>
            <w:r/>
            <w:r>
              <w:rPr>
                <w:rFonts w:ascii="Calibri" w:hAnsi="Calibri"/>
                <w:color w:val="111827"/>
                <w:sz w:val="21"/>
              </w:rPr>
              <w:t>Payments</w:t>
            </w:r>
          </w:p>
        </w:tc>
        <w:tc>
          <w:tcPr>
            <w:tcW w:type="dxa" w:w="6624"/>
            <w:vAlign w:val="center"/>
          </w:tcPr>
          <w:p>
            <w:r/>
            <w:r>
              <w:rPr>
                <w:rFonts w:ascii="Calibri" w:hAnsi="Calibri"/>
                <w:color w:val="111827"/>
                <w:sz w:val="21"/>
              </w:rPr>
              <w:t>Paystack (primary, NGN), Stripe (legacy)</w:t>
            </w:r>
          </w:p>
        </w:tc>
      </w:tr>
      <w:tr>
        <w:tc>
          <w:tcPr>
            <w:tcW w:type="dxa" w:w="2016"/>
            <w:vAlign w:val="center"/>
          </w:tcPr>
          <w:p>
            <w:r/>
            <w:r>
              <w:rPr>
                <w:rFonts w:ascii="Calibri" w:hAnsi="Calibri"/>
                <w:color w:val="111827"/>
                <w:sz w:val="21"/>
              </w:rPr>
              <w:t>Email</w:t>
            </w:r>
          </w:p>
        </w:tc>
        <w:tc>
          <w:tcPr>
            <w:tcW w:type="dxa" w:w="6624"/>
            <w:vAlign w:val="center"/>
          </w:tcPr>
          <w:p>
            <w:r/>
            <w:r>
              <w:rPr>
                <w:rFonts w:ascii="Calibri" w:hAnsi="Calibri"/>
                <w:color w:val="111827"/>
                <w:sz w:val="21"/>
              </w:rPr>
              <w:t>Nodemailer (SMTP) for verification, password reset, notifications</w:t>
            </w:r>
          </w:p>
        </w:tc>
      </w:tr>
      <w:tr>
        <w:tc>
          <w:tcPr>
            <w:tcW w:type="dxa" w:w="2016"/>
            <w:vAlign w:val="center"/>
          </w:tcPr>
          <w:p>
            <w:r/>
            <w:r>
              <w:rPr>
                <w:rFonts w:ascii="Calibri" w:hAnsi="Calibri"/>
                <w:color w:val="111827"/>
                <w:sz w:val="21"/>
              </w:rPr>
              <w:t>AI</w:t>
            </w:r>
          </w:p>
        </w:tc>
        <w:tc>
          <w:tcPr>
            <w:tcW w:type="dxa" w:w="6624"/>
            <w:vAlign w:val="center"/>
          </w:tcPr>
          <w:p>
            <w:r/>
            <w:r>
              <w:rPr>
                <w:rFonts w:ascii="Calibri" w:hAnsi="Calibri"/>
                <w:color w:val="111827"/>
                <w:sz w:val="21"/>
              </w:rPr>
              <w:t>Google Gemini (Flash) for AI tutoring, with daily rate limit</w:t>
            </w:r>
          </w:p>
        </w:tc>
      </w:tr>
      <w:tr>
        <w:tc>
          <w:tcPr>
            <w:tcW w:type="dxa" w:w="2016"/>
            <w:vAlign w:val="center"/>
          </w:tcPr>
          <w:p>
            <w:r/>
            <w:r>
              <w:rPr>
                <w:rFonts w:ascii="Calibri" w:hAnsi="Calibri"/>
                <w:color w:val="111827"/>
                <w:sz w:val="21"/>
              </w:rPr>
              <w:t>Messaging</w:t>
            </w:r>
          </w:p>
        </w:tc>
        <w:tc>
          <w:tcPr>
            <w:tcW w:type="dxa" w:w="6624"/>
            <w:vAlign w:val="center"/>
          </w:tcPr>
          <w:p>
            <w:r/>
            <w:r>
              <w:rPr>
                <w:rFonts w:ascii="Calibri" w:hAnsi="Calibri"/>
                <w:color w:val="111827"/>
                <w:sz w:val="21"/>
              </w:rPr>
              <w:t>Meta WhatsApp Cloud API (optional notifications)</w:t>
            </w:r>
          </w:p>
        </w:tc>
      </w:tr>
      <w:tr>
        <w:tc>
          <w:tcPr>
            <w:tcW w:type="dxa" w:w="2016"/>
            <w:vAlign w:val="center"/>
          </w:tcPr>
          <w:p>
            <w:r/>
            <w:r>
              <w:rPr>
                <w:rFonts w:ascii="Calibri" w:hAnsi="Calibri"/>
                <w:color w:val="111827"/>
                <w:sz w:val="21"/>
              </w:rPr>
              <w:t>Security</w:t>
            </w:r>
          </w:p>
        </w:tc>
        <w:tc>
          <w:tcPr>
            <w:tcW w:type="dxa" w:w="6624"/>
            <w:vAlign w:val="center"/>
          </w:tcPr>
          <w:p>
            <w:r/>
            <w:r>
              <w:rPr>
                <w:rFonts w:ascii="Calibri" w:hAnsi="Calibri"/>
                <w:color w:val="111827"/>
                <w:sz w:val="21"/>
              </w:rPr>
              <w:t>Helmet, CORS, express-rate-limit, input validation, secure env handling</w:t>
            </w:r>
          </w:p>
        </w:tc>
      </w:tr>
      <w:tr>
        <w:tc>
          <w:tcPr>
            <w:tcW w:type="dxa" w:w="2016"/>
            <w:vAlign w:val="center"/>
          </w:tcPr>
          <w:p>
            <w:r/>
            <w:r>
              <w:rPr>
                <w:rFonts w:ascii="Calibri" w:hAnsi="Calibri"/>
                <w:color w:val="111827"/>
                <w:sz w:val="21"/>
              </w:rPr>
              <w:t>Docs</w:t>
            </w:r>
          </w:p>
        </w:tc>
        <w:tc>
          <w:tcPr>
            <w:tcW w:type="dxa" w:w="6624"/>
            <w:vAlign w:val="center"/>
          </w:tcPr>
          <w:p>
            <w:r/>
            <w:r>
              <w:rPr>
                <w:rFonts w:ascii="Calibri" w:hAnsi="Calibri"/>
                <w:color w:val="111827"/>
                <w:sz w:val="21"/>
              </w:rPr>
              <w:t>Swagger / OpenAPI 3.0 served at /api/docs</w:t>
            </w:r>
          </w:p>
        </w:tc>
      </w:tr>
    </w:tbl>
    <w:p>
      <w:pPr>
        <w:pStyle w:val="Heading2"/>
      </w:pPr>
      <w:r>
        <w:rPr>
          <w:rFonts w:ascii="Calibri" w:hAnsi="Calibri"/>
          <w:color w:val="0B5FFF"/>
        </w:rPr>
        <w:t>8.3 Data Model (Core Entities)</w:t>
      </w:r>
    </w:p>
    <w:p>
      <w:pPr>
        <w:pStyle w:val="ListBullet"/>
        <w:spacing w:after="60"/>
      </w:pPr>
      <w:r>
        <w:rPr>
          <w:rFonts w:ascii="Calibri" w:hAnsi="Calibri"/>
          <w:color w:val="111827"/>
          <w:sz w:val="22"/>
        </w:rPr>
        <w:t>User — name, email, password hash, role, verification state, refresh tokens.</w:t>
      </w:r>
    </w:p>
    <w:p>
      <w:pPr>
        <w:pStyle w:val="ListBullet"/>
        <w:spacing w:after="60"/>
      </w:pPr>
      <w:r>
        <w:rPr>
          <w:rFonts w:ascii="Calibri" w:hAnsi="Calibri"/>
          <w:color w:val="111827"/>
          <w:sz w:val="22"/>
        </w:rPr>
        <w:t>Course — title, description, modules, lessons, cohort, instructor, pricing.</w:t>
      </w:r>
    </w:p>
    <w:p>
      <w:pPr>
        <w:pStyle w:val="ListBullet"/>
        <w:spacing w:after="60"/>
      </w:pPr>
      <w:r>
        <w:rPr>
          <w:rFonts w:ascii="Calibri" w:hAnsi="Calibri"/>
          <w:color w:val="111827"/>
          <w:sz w:val="22"/>
        </w:rPr>
        <w:t>Blog — title, body (markdown), author, category, tags, SEO metadata.</w:t>
      </w:r>
    </w:p>
    <w:p>
      <w:pPr>
        <w:pStyle w:val="ListBullet"/>
        <w:spacing w:after="60"/>
      </w:pPr>
      <w:r>
        <w:rPr>
          <w:rFonts w:ascii="Calibri" w:hAnsi="Calibri"/>
          <w:color w:val="111827"/>
          <w:sz w:val="22"/>
        </w:rPr>
        <w:t>Transaction — Paystack reference, amount, currency, status, user, item.</w:t>
      </w:r>
    </w:p>
    <w:p>
      <w:pPr>
        <w:pStyle w:val="ListBullet"/>
        <w:spacing w:after="60"/>
      </w:pPr>
      <w:r>
        <w:rPr>
          <w:rFonts w:ascii="Calibri" w:hAnsi="Calibri"/>
          <w:color w:val="111827"/>
          <w:sz w:val="22"/>
        </w:rPr>
        <w:t>Assignment — submission file, student, course, status, reviewer feedback.</w:t>
      </w:r>
    </w:p>
    <w:p>
      <w:pPr>
        <w:pStyle w:val="ListBullet"/>
        <w:spacing w:after="60"/>
      </w:pPr>
      <w:r>
        <w:rPr>
          <w:rFonts w:ascii="Calibri" w:hAnsi="Calibri"/>
          <w:color w:val="111827"/>
          <w:sz w:val="22"/>
        </w:rPr>
        <w:t>ServiceInquiry — service type, client details, message, status.</w:t>
      </w:r>
    </w:p>
    <w:p>
      <w:pPr>
        <w:pStyle w:val="ListBullet"/>
        <w:spacing w:after="60"/>
      </w:pPr>
      <w:r>
        <w:rPr>
          <w:rFonts w:ascii="Calibri" w:hAnsi="Calibri"/>
          <w:color w:val="111827"/>
          <w:sz w:val="22"/>
        </w:rPr>
        <w:t>Project — client, scope, milestones, deliverables, status, payments.</w:t>
      </w:r>
    </w:p>
    <w:p>
      <w:pPr>
        <w:pStyle w:val="Heading2"/>
      </w:pPr>
      <w:r>
        <w:rPr>
          <w:rFonts w:ascii="Calibri" w:hAnsi="Calibri"/>
          <w:color w:val="0B5FFF"/>
        </w:rPr>
        <w:t>8.4 Environments</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shd w:val="clear" w:color="auto" w:fill="0B5FFF"/>
            <w:vAlign w:val="center"/>
          </w:tcPr>
          <w:p>
            <w:r/>
            <w:r>
              <w:rPr>
                <w:rFonts w:ascii="Calibri" w:hAnsi="Calibri"/>
                <w:b/>
                <w:color w:val="FFFFFF"/>
                <w:sz w:val="22"/>
              </w:rPr>
              <w:t>Environment</w:t>
            </w:r>
          </w:p>
        </w:tc>
        <w:tc>
          <w:tcPr>
            <w:tcW w:type="dxa" w:w="3173"/>
            <w:shd w:val="clear" w:color="auto" w:fill="0B5FFF"/>
            <w:vAlign w:val="center"/>
          </w:tcPr>
          <w:p>
            <w:r/>
            <w:r>
              <w:rPr>
                <w:rFonts w:ascii="Calibri" w:hAnsi="Calibri"/>
                <w:b/>
                <w:color w:val="FFFFFF"/>
                <w:sz w:val="22"/>
              </w:rPr>
              <w:t>Purpose</w:t>
            </w:r>
          </w:p>
        </w:tc>
        <w:tc>
          <w:tcPr>
            <w:tcW w:type="dxa" w:w="3173"/>
            <w:shd w:val="clear" w:color="auto" w:fill="0B5FFF"/>
            <w:vAlign w:val="center"/>
          </w:tcPr>
          <w:p>
            <w:r/>
            <w:r>
              <w:rPr>
                <w:rFonts w:ascii="Calibri" w:hAnsi="Calibri"/>
                <w:b/>
                <w:color w:val="FFFFFF"/>
                <w:sz w:val="22"/>
              </w:rPr>
              <w:t>Database</w:t>
            </w:r>
          </w:p>
        </w:tc>
      </w:tr>
      <w:tr>
        <w:tc>
          <w:tcPr>
            <w:tcW w:type="dxa" w:w="3173"/>
            <w:vAlign w:val="center"/>
          </w:tcPr>
          <w:p>
            <w:r/>
            <w:r>
              <w:rPr>
                <w:rFonts w:ascii="Calibri" w:hAnsi="Calibri"/>
                <w:color w:val="111827"/>
                <w:sz w:val="21"/>
              </w:rPr>
              <w:t>Development</w:t>
            </w:r>
          </w:p>
        </w:tc>
        <w:tc>
          <w:tcPr>
            <w:tcW w:type="dxa" w:w="3173"/>
            <w:vAlign w:val="center"/>
          </w:tcPr>
          <w:p>
            <w:r/>
            <w:r>
              <w:rPr>
                <w:rFonts w:ascii="Calibri" w:hAnsi="Calibri"/>
                <w:color w:val="111827"/>
                <w:sz w:val="21"/>
              </w:rPr>
              <w:t>Local engineering, feature branches</w:t>
            </w:r>
          </w:p>
        </w:tc>
        <w:tc>
          <w:tcPr>
            <w:tcW w:type="dxa" w:w="3173"/>
            <w:vAlign w:val="center"/>
          </w:tcPr>
          <w:p>
            <w:r/>
            <w:r>
              <w:rPr>
                <w:rFonts w:ascii="Calibri" w:hAnsi="Calibri"/>
                <w:color w:val="111827"/>
                <w:sz w:val="21"/>
              </w:rPr>
              <w:t>ebringgs-development cluster</w:t>
            </w:r>
          </w:p>
        </w:tc>
      </w:tr>
      <w:tr>
        <w:tc>
          <w:tcPr>
            <w:tcW w:type="dxa" w:w="3173"/>
            <w:vAlign w:val="center"/>
          </w:tcPr>
          <w:p>
            <w:r/>
            <w:r>
              <w:rPr>
                <w:rFonts w:ascii="Calibri" w:hAnsi="Calibri"/>
                <w:color w:val="111827"/>
                <w:sz w:val="21"/>
              </w:rPr>
              <w:t>Staging</w:t>
            </w:r>
          </w:p>
        </w:tc>
        <w:tc>
          <w:tcPr>
            <w:tcW w:type="dxa" w:w="3173"/>
            <w:vAlign w:val="center"/>
          </w:tcPr>
          <w:p>
            <w:r/>
            <w:r>
              <w:rPr>
                <w:rFonts w:ascii="Calibri" w:hAnsi="Calibri"/>
                <w:color w:val="111827"/>
                <w:sz w:val="21"/>
              </w:rPr>
              <w:t>QA, UAT, pre-release validation</w:t>
            </w:r>
          </w:p>
        </w:tc>
        <w:tc>
          <w:tcPr>
            <w:tcW w:type="dxa" w:w="3173"/>
            <w:vAlign w:val="center"/>
          </w:tcPr>
          <w:p>
            <w:r/>
            <w:r>
              <w:rPr>
                <w:rFonts w:ascii="Calibri" w:hAnsi="Calibri"/>
                <w:color w:val="111827"/>
                <w:sz w:val="21"/>
              </w:rPr>
              <w:t>ebringgs-staging cluster</w:t>
            </w:r>
          </w:p>
        </w:tc>
      </w:tr>
      <w:tr>
        <w:tc>
          <w:tcPr>
            <w:tcW w:type="dxa" w:w="3173"/>
            <w:vAlign w:val="center"/>
          </w:tcPr>
          <w:p>
            <w:r/>
            <w:r>
              <w:rPr>
                <w:rFonts w:ascii="Calibri" w:hAnsi="Calibri"/>
                <w:color w:val="111827"/>
                <w:sz w:val="21"/>
              </w:rPr>
              <w:t>Production</w:t>
            </w:r>
          </w:p>
        </w:tc>
        <w:tc>
          <w:tcPr>
            <w:tcW w:type="dxa" w:w="3173"/>
            <w:vAlign w:val="center"/>
          </w:tcPr>
          <w:p>
            <w:r/>
            <w:r>
              <w:rPr>
                <w:rFonts w:ascii="Calibri" w:hAnsi="Calibri"/>
                <w:color w:val="111827"/>
                <w:sz w:val="21"/>
              </w:rPr>
              <w:t>Live customer traffic</w:t>
            </w:r>
          </w:p>
        </w:tc>
        <w:tc>
          <w:tcPr>
            <w:tcW w:type="dxa" w:w="3173"/>
            <w:vAlign w:val="center"/>
          </w:tcPr>
          <w:p>
            <w:r/>
            <w:r>
              <w:rPr>
                <w:rFonts w:ascii="Calibri" w:hAnsi="Calibri"/>
                <w:color w:val="111827"/>
                <w:sz w:val="21"/>
              </w:rPr>
              <w:t>blingg-prod-cluster</w:t>
            </w:r>
          </w:p>
        </w:tc>
      </w:tr>
    </w:tbl>
    <w:p>
      <w:r>
        <w:br w:type="page"/>
      </w:r>
    </w:p>
    <w:p>
      <w:pPr>
        <w:pStyle w:val="Heading1"/>
      </w:pPr>
      <w:r>
        <w:rPr>
          <w:rFonts w:ascii="Calibri" w:hAnsi="Calibri"/>
          <w:color w:val="0B5FFF"/>
        </w:rPr>
        <w:t>9. Key Features by Module</w:t>
      </w:r>
    </w:p>
    <w:p>
      <w:pPr>
        <w:pStyle w:val="Heading2"/>
      </w:pPr>
      <w:r>
        <w:rPr>
          <w:rFonts w:ascii="Calibri" w:hAnsi="Calibri"/>
          <w:color w:val="0B5FFF"/>
        </w:rPr>
        <w:t>Authentication &amp; Identity</w:t>
      </w:r>
    </w:p>
    <w:p>
      <w:pPr>
        <w:pStyle w:val="ListBullet"/>
        <w:spacing w:after="60"/>
      </w:pPr>
      <w:r>
        <w:rPr>
          <w:rFonts w:ascii="Calibri" w:hAnsi="Calibri"/>
          <w:color w:val="111827"/>
          <w:sz w:val="22"/>
        </w:rPr>
        <w:t>Email + password registration with email verification.</w:t>
      </w:r>
    </w:p>
    <w:p>
      <w:pPr>
        <w:pStyle w:val="ListBullet"/>
        <w:spacing w:after="60"/>
      </w:pPr>
      <w:r>
        <w:rPr>
          <w:rFonts w:ascii="Calibri" w:hAnsi="Calibri"/>
          <w:color w:val="111827"/>
          <w:sz w:val="22"/>
        </w:rPr>
        <w:t>Login / logout with role-aware redirects (admin → /admin, client → /client, student → /dashboard).</w:t>
      </w:r>
    </w:p>
    <w:p>
      <w:pPr>
        <w:pStyle w:val="ListBullet"/>
        <w:spacing w:after="60"/>
      </w:pPr>
      <w:r>
        <w:rPr>
          <w:rFonts w:ascii="Calibri" w:hAnsi="Calibri"/>
          <w:color w:val="111827"/>
          <w:sz w:val="22"/>
        </w:rPr>
        <w:t>Forgot password and reset password flows.</w:t>
      </w:r>
    </w:p>
    <w:p>
      <w:pPr>
        <w:pStyle w:val="ListBullet"/>
        <w:spacing w:after="60"/>
      </w:pPr>
      <w:r>
        <w:rPr>
          <w:rFonts w:ascii="Calibri" w:hAnsi="Calibri"/>
          <w:color w:val="111827"/>
          <w:sz w:val="22"/>
        </w:rPr>
        <w:t>JWT access tokens + refresh tokens with auto-rotation on 401.</w:t>
      </w:r>
    </w:p>
    <w:p>
      <w:pPr>
        <w:pStyle w:val="ListBullet"/>
        <w:spacing w:after="60"/>
      </w:pPr>
      <w:r>
        <w:rPr>
          <w:rFonts w:ascii="Calibri" w:hAnsi="Calibri"/>
          <w:color w:val="111827"/>
          <w:sz w:val="22"/>
        </w:rPr>
        <w:t>Role-based route guards on backend (protect + authorize middleware).</w:t>
      </w:r>
    </w:p>
    <w:p>
      <w:pPr>
        <w:pStyle w:val="Heading2"/>
      </w:pPr>
      <w:r>
        <w:rPr>
          <w:rFonts w:ascii="Calibri" w:hAnsi="Calibri"/>
          <w:color w:val="0B5FFF"/>
        </w:rPr>
        <w:t>Pricing &amp; Payments</w:t>
      </w:r>
    </w:p>
    <w:p>
      <w:pPr>
        <w:pStyle w:val="ListBullet"/>
        <w:spacing w:after="60"/>
      </w:pPr>
      <w:r>
        <w:rPr>
          <w:rFonts w:ascii="Calibri" w:hAnsi="Calibri"/>
          <w:color w:val="111827"/>
          <w:sz w:val="22"/>
        </w:rPr>
        <w:t>Public pricing page in NGN with responsive, animated cards.</w:t>
      </w:r>
    </w:p>
    <w:p>
      <w:pPr>
        <w:pStyle w:val="ListBullet"/>
        <w:spacing w:after="60"/>
      </w:pPr>
      <w:r>
        <w:rPr>
          <w:rFonts w:ascii="Calibri" w:hAnsi="Calibri"/>
          <w:color w:val="111827"/>
          <w:sz w:val="22"/>
        </w:rPr>
        <w:t>Paystack checkout (initialize + verify) integrated end-to-end.</w:t>
      </w:r>
    </w:p>
    <w:p>
      <w:pPr>
        <w:pStyle w:val="ListBullet"/>
        <w:spacing w:after="60"/>
      </w:pPr>
      <w:r>
        <w:rPr>
          <w:rFonts w:ascii="Calibri" w:hAnsi="Calibri"/>
          <w:color w:val="111827"/>
          <w:sz w:val="22"/>
        </w:rPr>
        <w:t>One-time and subscription billing models.</w:t>
      </w:r>
    </w:p>
    <w:p>
      <w:pPr>
        <w:pStyle w:val="ListBullet"/>
        <w:spacing w:after="60"/>
      </w:pPr>
      <w:r>
        <w:rPr>
          <w:rFonts w:ascii="Calibri" w:hAnsi="Calibri"/>
          <w:color w:val="111827"/>
          <w:sz w:val="22"/>
        </w:rPr>
        <w:t>Payment success and failure pages with verification.</w:t>
      </w:r>
    </w:p>
    <w:p>
      <w:pPr>
        <w:pStyle w:val="ListBullet"/>
        <w:spacing w:after="60"/>
      </w:pPr>
      <w:r>
        <w:rPr>
          <w:rFonts w:ascii="Calibri" w:hAnsi="Calibri"/>
          <w:color w:val="111827"/>
          <w:sz w:val="22"/>
        </w:rPr>
        <w:t>Webhook handler for asynchronous reconciliation.</w:t>
      </w:r>
    </w:p>
    <w:p>
      <w:pPr>
        <w:pStyle w:val="ListBullet"/>
        <w:spacing w:after="60"/>
      </w:pPr>
      <w:r>
        <w:rPr>
          <w:rFonts w:ascii="Calibri" w:hAnsi="Calibri"/>
          <w:color w:val="111827"/>
          <w:sz w:val="22"/>
        </w:rPr>
        <w:t>All transactions persisted in MongoDB.</w:t>
      </w:r>
    </w:p>
    <w:p>
      <w:pPr>
        <w:pStyle w:val="Heading2"/>
      </w:pPr>
      <w:r>
        <w:rPr>
          <w:rFonts w:ascii="Calibri" w:hAnsi="Calibri"/>
          <w:color w:val="0B5FFF"/>
        </w:rPr>
        <w:t>Services &amp; Projects</w:t>
      </w:r>
    </w:p>
    <w:p>
      <w:pPr>
        <w:pStyle w:val="ListBullet"/>
        <w:spacing w:after="60"/>
      </w:pPr>
      <w:r>
        <w:rPr>
          <w:rFonts w:ascii="Calibri" w:hAnsi="Calibri"/>
          <w:color w:val="111827"/>
          <w:sz w:val="22"/>
        </w:rPr>
        <w:t>Public services dashboard with category filtering.</w:t>
      </w:r>
    </w:p>
    <w:p>
      <w:pPr>
        <w:pStyle w:val="ListBullet"/>
        <w:spacing w:after="60"/>
      </w:pPr>
      <w:r>
        <w:rPr>
          <w:rFonts w:ascii="Calibri" w:hAnsi="Calibri"/>
          <w:color w:val="111827"/>
          <w:sz w:val="22"/>
        </w:rPr>
        <w:t>Service detail pages with inquiry modals.</w:t>
      </w:r>
    </w:p>
    <w:p>
      <w:pPr>
        <w:pStyle w:val="ListBullet"/>
        <w:spacing w:after="60"/>
      </w:pPr>
      <w:r>
        <w:rPr>
          <w:rFonts w:ascii="Calibri" w:hAnsi="Calibri"/>
          <w:color w:val="111827"/>
          <w:sz w:val="22"/>
        </w:rPr>
        <w:t>Client-side project tracking with list and detail views.</w:t>
      </w:r>
    </w:p>
    <w:p>
      <w:pPr>
        <w:pStyle w:val="ListBullet"/>
        <w:spacing w:after="60"/>
      </w:pPr>
      <w:r>
        <w:rPr>
          <w:rFonts w:ascii="Calibri" w:hAnsi="Calibri"/>
          <w:color w:val="111827"/>
          <w:sz w:val="22"/>
        </w:rPr>
        <w:t>Admin project management with status transitions and deliverables.</w:t>
      </w:r>
    </w:p>
    <w:p>
      <w:pPr>
        <w:pStyle w:val="Heading2"/>
      </w:pPr>
      <w:r>
        <w:rPr>
          <w:rFonts w:ascii="Calibri" w:hAnsi="Calibri"/>
          <w:color w:val="0B5FFF"/>
        </w:rPr>
        <w:t>Courses &amp; Learning</w:t>
      </w:r>
    </w:p>
    <w:p>
      <w:pPr>
        <w:pStyle w:val="ListBullet"/>
        <w:spacing w:after="60"/>
      </w:pPr>
      <w:r>
        <w:rPr>
          <w:rFonts w:ascii="Calibri" w:hAnsi="Calibri"/>
          <w:color w:val="111827"/>
          <w:sz w:val="22"/>
        </w:rPr>
        <w:t>Course catalog with search, filter, and pagination.</w:t>
      </w:r>
    </w:p>
    <w:p>
      <w:pPr>
        <w:pStyle w:val="ListBullet"/>
        <w:spacing w:after="60"/>
      </w:pPr>
      <w:r>
        <w:rPr>
          <w:rFonts w:ascii="Calibri" w:hAnsi="Calibri"/>
          <w:color w:val="111827"/>
          <w:sz w:val="22"/>
        </w:rPr>
        <w:t>Course detail page with modules accordion and enrollment CTA.</w:t>
      </w:r>
    </w:p>
    <w:p>
      <w:pPr>
        <w:pStyle w:val="ListBullet"/>
        <w:spacing w:after="60"/>
      </w:pPr>
      <w:r>
        <w:rPr>
          <w:rFonts w:ascii="Calibri" w:hAnsi="Calibri"/>
          <w:color w:val="111827"/>
          <w:sz w:val="22"/>
        </w:rPr>
        <w:t>Admin course CRUD plus per-course module editor.</w:t>
      </w:r>
    </w:p>
    <w:p>
      <w:pPr>
        <w:pStyle w:val="ListBullet"/>
        <w:spacing w:after="60"/>
      </w:pPr>
      <w:r>
        <w:rPr>
          <w:rFonts w:ascii="Calibri" w:hAnsi="Calibri"/>
          <w:color w:val="111827"/>
          <w:sz w:val="22"/>
        </w:rPr>
        <w:t>Cohort management for group programmes.</w:t>
      </w:r>
    </w:p>
    <w:p>
      <w:pPr>
        <w:pStyle w:val="ListBullet"/>
        <w:spacing w:after="60"/>
      </w:pPr>
      <w:r>
        <w:rPr>
          <w:rFonts w:ascii="Calibri" w:hAnsi="Calibri"/>
          <w:color w:val="111827"/>
          <w:sz w:val="22"/>
        </w:rPr>
        <w:t>Assignment upload and instructor review workflow.</w:t>
      </w:r>
    </w:p>
    <w:p>
      <w:pPr>
        <w:pStyle w:val="Heading2"/>
      </w:pPr>
      <w:r>
        <w:rPr>
          <w:rFonts w:ascii="Calibri" w:hAnsi="Calibri"/>
          <w:color w:val="0B5FFF"/>
        </w:rPr>
        <w:t>Live Video Classroom</w:t>
      </w:r>
    </w:p>
    <w:p>
      <w:pPr>
        <w:pStyle w:val="ListBullet"/>
        <w:spacing w:after="60"/>
      </w:pPr>
      <w:r>
        <w:rPr>
          <w:rFonts w:ascii="Calibri" w:hAnsi="Calibri"/>
          <w:color w:val="111827"/>
          <w:sz w:val="22"/>
        </w:rPr>
        <w:t>Per-class WebRTC video room with join/leave.</w:t>
      </w:r>
    </w:p>
    <w:p>
      <w:pPr>
        <w:pStyle w:val="ListBullet"/>
        <w:spacing w:after="60"/>
      </w:pPr>
      <w:r>
        <w:rPr>
          <w:rFonts w:ascii="Calibri" w:hAnsi="Calibri"/>
          <w:color w:val="111827"/>
          <w:sz w:val="22"/>
        </w:rPr>
        <w:t>Camera and microphone toggles, screen sharing.</w:t>
      </w:r>
    </w:p>
    <w:p>
      <w:pPr>
        <w:pStyle w:val="ListBullet"/>
        <w:spacing w:after="60"/>
      </w:pPr>
      <w:r>
        <w:rPr>
          <w:rFonts w:ascii="Calibri" w:hAnsi="Calibri"/>
          <w:color w:val="111827"/>
          <w:sz w:val="22"/>
        </w:rPr>
        <w:t>In-class real-time chat over WebSocket.</w:t>
      </w:r>
    </w:p>
    <w:p>
      <w:pPr>
        <w:pStyle w:val="ListBullet"/>
        <w:spacing w:after="60"/>
      </w:pPr>
      <w:r>
        <w:rPr>
          <w:rFonts w:ascii="Calibri" w:hAnsi="Calibri"/>
          <w:color w:val="111827"/>
          <w:sz w:val="22"/>
        </w:rPr>
        <w:t>Instructor controls — mute-all, kick participants.</w:t>
      </w:r>
    </w:p>
    <w:p>
      <w:pPr>
        <w:pStyle w:val="ListBullet"/>
        <w:spacing w:after="60"/>
      </w:pPr>
      <w:r>
        <w:rPr>
          <w:rFonts w:ascii="Calibri" w:hAnsi="Calibri"/>
          <w:color w:val="111827"/>
          <w:sz w:val="22"/>
        </w:rPr>
        <w:t>Attendance tracking persisted server-side.</w:t>
      </w:r>
    </w:p>
    <w:p>
      <w:pPr>
        <w:pStyle w:val="Heading2"/>
      </w:pPr>
      <w:r>
        <w:rPr>
          <w:rFonts w:ascii="Calibri" w:hAnsi="Calibri"/>
          <w:color w:val="0B5FFF"/>
        </w:rPr>
        <w:t>Blog &amp; Content</w:t>
      </w:r>
    </w:p>
    <w:p>
      <w:pPr>
        <w:pStyle w:val="ListBullet"/>
        <w:spacing w:after="60"/>
      </w:pPr>
      <w:r>
        <w:rPr>
          <w:rFonts w:ascii="Calibri" w:hAnsi="Calibri"/>
          <w:color w:val="111827"/>
          <w:sz w:val="22"/>
        </w:rPr>
        <w:t>Public blog listing with search, categories, and pagination.</w:t>
      </w:r>
    </w:p>
    <w:p>
      <w:pPr>
        <w:pStyle w:val="ListBullet"/>
        <w:spacing w:after="60"/>
      </w:pPr>
      <w:r>
        <w:rPr>
          <w:rFonts w:ascii="Calibri" w:hAnsi="Calibri"/>
          <w:color w:val="111827"/>
          <w:sz w:val="22"/>
        </w:rPr>
        <w:t>Markdown-rendered blog posts.</w:t>
      </w:r>
    </w:p>
    <w:p>
      <w:pPr>
        <w:pStyle w:val="ListBullet"/>
        <w:spacing w:after="60"/>
      </w:pPr>
      <w:r>
        <w:rPr>
          <w:rFonts w:ascii="Calibri" w:hAnsi="Calibri"/>
          <w:color w:val="111827"/>
          <w:sz w:val="22"/>
        </w:rPr>
        <w:t>Admin create / edit / delete posts.</w:t>
      </w:r>
    </w:p>
    <w:p>
      <w:pPr>
        <w:pStyle w:val="ListBullet"/>
        <w:spacing w:after="60"/>
      </w:pPr>
      <w:r>
        <w:rPr>
          <w:rFonts w:ascii="Calibri" w:hAnsi="Calibri"/>
          <w:color w:val="111827"/>
          <w:sz w:val="22"/>
        </w:rPr>
        <w:t>SEO metadata (title, description, Open Graph) per page.</w:t>
      </w:r>
    </w:p>
    <w:p>
      <w:pPr>
        <w:pStyle w:val="Heading2"/>
      </w:pPr>
      <w:r>
        <w:rPr>
          <w:rFonts w:ascii="Calibri" w:hAnsi="Calibri"/>
          <w:color w:val="0B5FFF"/>
        </w:rPr>
        <w:t>Admin Operations</w:t>
      </w:r>
    </w:p>
    <w:p>
      <w:pPr>
        <w:pStyle w:val="ListBullet"/>
        <w:spacing w:after="60"/>
      </w:pPr>
      <w:r>
        <w:rPr>
          <w:rFonts w:ascii="Calibri" w:hAnsi="Calibri"/>
          <w:color w:val="111827"/>
          <w:sz w:val="22"/>
        </w:rPr>
        <w:t>User management with role assignment.</w:t>
      </w:r>
    </w:p>
    <w:p>
      <w:pPr>
        <w:pStyle w:val="ListBullet"/>
        <w:spacing w:after="60"/>
      </w:pPr>
      <w:r>
        <w:rPr>
          <w:rFonts w:ascii="Calibri" w:hAnsi="Calibri"/>
          <w:color w:val="111827"/>
          <w:sz w:val="22"/>
        </w:rPr>
        <w:t>Course, module, blog, cohort, live-session management.</w:t>
      </w:r>
    </w:p>
    <w:p>
      <w:pPr>
        <w:pStyle w:val="ListBullet"/>
        <w:spacing w:after="60"/>
      </w:pPr>
      <w:r>
        <w:rPr>
          <w:rFonts w:ascii="Calibri" w:hAnsi="Calibri"/>
          <w:color w:val="111827"/>
          <w:sz w:val="22"/>
        </w:rPr>
        <w:t>Service request triage and assignment.</w:t>
      </w:r>
    </w:p>
    <w:p>
      <w:pPr>
        <w:pStyle w:val="ListBullet"/>
        <w:spacing w:after="60"/>
      </w:pPr>
      <w:r>
        <w:rPr>
          <w:rFonts w:ascii="Calibri" w:hAnsi="Calibri"/>
          <w:color w:val="111827"/>
          <w:sz w:val="22"/>
        </w:rPr>
        <w:t>Payments overview and analytics.</w:t>
      </w:r>
    </w:p>
    <w:p>
      <w:pPr>
        <w:pStyle w:val="ListBullet"/>
        <w:spacing w:after="60"/>
      </w:pPr>
      <w:r>
        <w:rPr>
          <w:rFonts w:ascii="Calibri" w:hAnsi="Calibri"/>
          <w:color w:val="111827"/>
          <w:sz w:val="22"/>
        </w:rPr>
        <w:t>Settings and configuration.</w:t>
      </w:r>
    </w:p>
    <w:p>
      <w:pPr>
        <w:pStyle w:val="Heading2"/>
      </w:pPr>
      <w:r>
        <w:rPr>
          <w:rFonts w:ascii="Calibri" w:hAnsi="Calibri"/>
          <w:color w:val="0B5FFF"/>
        </w:rPr>
        <w:t>Cross-Cutting UX</w:t>
      </w:r>
    </w:p>
    <w:p>
      <w:pPr>
        <w:pStyle w:val="ListBullet"/>
        <w:spacing w:after="60"/>
      </w:pPr>
      <w:r>
        <w:rPr>
          <w:rFonts w:ascii="Calibri" w:hAnsi="Calibri"/>
          <w:color w:val="111827"/>
          <w:sz w:val="22"/>
        </w:rPr>
        <w:t>Light / Dark / System theme toggle (Zustand-persisted).</w:t>
      </w:r>
    </w:p>
    <w:p>
      <w:pPr>
        <w:pStyle w:val="ListBullet"/>
        <w:spacing w:after="60"/>
      </w:pPr>
      <w:r>
        <w:rPr>
          <w:rFonts w:ascii="Calibri" w:hAnsi="Calibri"/>
          <w:color w:val="111827"/>
          <w:sz w:val="22"/>
        </w:rPr>
        <w:t>Consistent loading, empty, and error states across pages.</w:t>
      </w:r>
    </w:p>
    <w:p>
      <w:pPr>
        <w:pStyle w:val="ListBullet"/>
        <w:spacing w:after="60"/>
      </w:pPr>
      <w:r>
        <w:rPr>
          <w:rFonts w:ascii="Calibri" w:hAnsi="Calibri"/>
          <w:color w:val="111827"/>
          <w:sz w:val="22"/>
        </w:rPr>
        <w:t>Floating WhatsApp contact button.</w:t>
      </w:r>
    </w:p>
    <w:p>
      <w:pPr>
        <w:pStyle w:val="ListBullet"/>
        <w:spacing w:after="60"/>
      </w:pPr>
      <w:r>
        <w:rPr>
          <w:rFonts w:ascii="Calibri" w:hAnsi="Calibri"/>
          <w:color w:val="111827"/>
          <w:sz w:val="22"/>
        </w:rPr>
        <w:t>Responsive layout from mobile to desktop.</w:t>
      </w:r>
    </w:p>
    <w:p>
      <w:pPr>
        <w:pStyle w:val="ListBullet"/>
        <w:spacing w:after="60"/>
      </w:pPr>
      <w:r>
        <w:rPr>
          <w:rFonts w:ascii="Calibri" w:hAnsi="Calibri"/>
          <w:color w:val="111827"/>
          <w:sz w:val="22"/>
        </w:rPr>
        <w:t>Accessibility basics (semantic HTML, focus styles, ARIA where needed).</w:t>
      </w:r>
    </w:p>
    <w:p>
      <w:r>
        <w:br w:type="page"/>
      </w:r>
    </w:p>
    <w:p>
      <w:pPr>
        <w:pStyle w:val="Heading1"/>
      </w:pPr>
      <w:r>
        <w:rPr>
          <w:rFonts w:ascii="Calibri" w:hAnsi="Calibri"/>
          <w:color w:val="0B5FFF"/>
        </w:rPr>
        <w:t>10. Market Landscape &amp; Competitive Positioning</w:t>
      </w:r>
    </w:p>
    <w:p>
      <w:pPr>
        <w:spacing w:after="120" w:line="360" w:lineRule="auto"/>
      </w:pPr>
      <w:r>
        <w:rPr>
          <w:rFonts w:ascii="Calibri" w:hAnsi="Calibri"/>
          <w:b w:val="0"/>
          <w:i w:val="0"/>
          <w:color w:val="111827"/>
          <w:sz w:val="22"/>
        </w:rPr>
        <w:t>Today, an aspiring African developer or a Nigerian SME has to navigate a fragmented landscape:</w:t>
      </w:r>
    </w:p>
    <w:p>
      <w:pPr>
        <w:pStyle w:val="ListBullet"/>
        <w:spacing w:after="60"/>
      </w:pPr>
      <w:r>
        <w:rPr>
          <w:rFonts w:ascii="Calibri" w:hAnsi="Calibri"/>
          <w:color w:val="111827"/>
          <w:sz w:val="22"/>
        </w:rPr>
        <w:t>Foreign bootcamps (e.g. global online academies) — strong curriculum but priced in USD and disconnected from local employers.</w:t>
      </w:r>
    </w:p>
    <w:p>
      <w:pPr>
        <w:pStyle w:val="ListBullet"/>
        <w:spacing w:after="60"/>
      </w:pPr>
      <w:r>
        <w:rPr>
          <w:rFonts w:ascii="Calibri" w:hAnsi="Calibri"/>
          <w:color w:val="111827"/>
          <w:sz w:val="22"/>
        </w:rPr>
        <w:t>Local training schools — often physical-only, limited cohort capacity, weak post-training pipeline.</w:t>
      </w:r>
    </w:p>
    <w:p>
      <w:pPr>
        <w:pStyle w:val="ListBullet"/>
        <w:spacing w:after="60"/>
      </w:pPr>
      <w:r>
        <w:rPr>
          <w:rFonts w:ascii="Calibri" w:hAnsi="Calibri"/>
          <w:color w:val="111827"/>
          <w:sz w:val="22"/>
        </w:rPr>
        <w:t>Freelance marketplaces — global supply, but no training, no mentorship, and a race-to-the-bottom on pricing.</w:t>
      </w:r>
    </w:p>
    <w:p>
      <w:pPr>
        <w:pStyle w:val="ListBullet"/>
        <w:spacing w:after="60"/>
      </w:pPr>
      <w:r>
        <w:rPr>
          <w:rFonts w:ascii="Calibri" w:hAnsi="Calibri"/>
          <w:color w:val="111827"/>
          <w:sz w:val="22"/>
        </w:rPr>
        <w:t>Consulting firms — high quality but inaccessible to small businesses on price.</w:t>
      </w:r>
    </w:p>
    <w:p>
      <w:pPr>
        <w:pStyle w:val="ListBullet"/>
        <w:spacing w:after="60"/>
      </w:pPr>
      <w:r>
        <w:rPr>
          <w:rFonts w:ascii="Calibri" w:hAnsi="Calibri"/>
          <w:color w:val="111827"/>
          <w:sz w:val="22"/>
        </w:rPr>
        <w:t>DIY learning (YouTube, blogs) — free but unstructured, no accountability, no credential, no community.</w:t>
      </w:r>
    </w:p>
    <w:p>
      <w:pPr>
        <w:spacing w:after="120" w:line="360" w:lineRule="auto"/>
      </w:pPr>
      <w:r>
        <w:rPr>
          <w:rFonts w:ascii="Calibri" w:hAnsi="Calibri"/>
          <w:b w:val="0"/>
          <w:i w:val="0"/>
          <w:color w:val="111827"/>
          <w:sz w:val="22"/>
        </w:rPr>
        <w:t>E-Bringgs sits deliberately at the intersection — close enough to each of these categories to compete, but distinct enough that no single one of them can replicate the full bundle.</w:t>
      </w:r>
    </w:p>
    <w:p>
      <w:pPr>
        <w:pStyle w:val="Heading2"/>
      </w:pPr>
      <w:r>
        <w:rPr>
          <w:rFonts w:ascii="Calibri" w:hAnsi="Calibri"/>
          <w:color w:val="0B5FFF"/>
        </w:rPr>
        <w:t>10.1 Competitive Differentiators</w:t>
      </w:r>
    </w:p>
    <w:tbl>
      <w:tblPr>
        <w:tblStyle w:val="LightGrid-Accent1"/>
        <w:tblW w:type="auto" w:w="0"/>
        <w:jc w:val="center"/>
        <w:tblLook w:firstColumn="1" w:firstRow="1" w:lastColumn="0" w:lastRow="0" w:noHBand="0" w:noVBand="1" w:val="04A0"/>
      </w:tblPr>
      <w:tblGrid>
        <w:gridCol w:w="4759"/>
        <w:gridCol w:w="4759"/>
      </w:tblGrid>
      <w:tr>
        <w:tc>
          <w:tcPr>
            <w:tcW w:type="dxa" w:w="2448"/>
            <w:shd w:val="clear" w:color="auto" w:fill="0B5FFF"/>
            <w:vAlign w:val="center"/>
          </w:tcPr>
          <w:p>
            <w:r/>
            <w:r>
              <w:rPr>
                <w:rFonts w:ascii="Calibri" w:hAnsi="Calibri"/>
                <w:b/>
                <w:color w:val="FFFFFF"/>
                <w:sz w:val="22"/>
              </w:rPr>
              <w:t>Differentiator</w:t>
            </w:r>
          </w:p>
        </w:tc>
        <w:tc>
          <w:tcPr>
            <w:tcW w:type="dxa" w:w="6192"/>
            <w:shd w:val="clear" w:color="auto" w:fill="0B5FFF"/>
            <w:vAlign w:val="center"/>
          </w:tcPr>
          <w:p>
            <w:r/>
            <w:r>
              <w:rPr>
                <w:rFonts w:ascii="Calibri" w:hAnsi="Calibri"/>
                <w:b/>
                <w:color w:val="FFFFFF"/>
                <w:sz w:val="22"/>
              </w:rPr>
              <w:t>What It Means</w:t>
            </w:r>
          </w:p>
        </w:tc>
      </w:tr>
      <w:tr>
        <w:tc>
          <w:tcPr>
            <w:tcW w:type="dxa" w:w="2448"/>
            <w:vAlign w:val="center"/>
          </w:tcPr>
          <w:p>
            <w:r/>
            <w:r>
              <w:rPr>
                <w:rFonts w:ascii="Calibri" w:hAnsi="Calibri"/>
                <w:color w:val="111827"/>
                <w:sz w:val="21"/>
              </w:rPr>
              <w:t>Local-first pricing</w:t>
            </w:r>
          </w:p>
        </w:tc>
        <w:tc>
          <w:tcPr>
            <w:tcW w:type="dxa" w:w="6192"/>
            <w:vAlign w:val="center"/>
          </w:tcPr>
          <w:p>
            <w:r/>
            <w:r>
              <w:rPr>
                <w:rFonts w:ascii="Calibri" w:hAnsi="Calibri"/>
                <w:color w:val="111827"/>
                <w:sz w:val="21"/>
              </w:rPr>
              <w:t>Naira-denominated, Paystack-native — no FX friction for Nigerian users.</w:t>
            </w:r>
          </w:p>
        </w:tc>
      </w:tr>
      <w:tr>
        <w:tc>
          <w:tcPr>
            <w:tcW w:type="dxa" w:w="2448"/>
            <w:vAlign w:val="center"/>
          </w:tcPr>
          <w:p>
            <w:r/>
            <w:r>
              <w:rPr>
                <w:rFonts w:ascii="Calibri" w:hAnsi="Calibri"/>
                <w:color w:val="111827"/>
                <w:sz w:val="21"/>
              </w:rPr>
              <w:t>Three-in-one platform</w:t>
            </w:r>
          </w:p>
        </w:tc>
        <w:tc>
          <w:tcPr>
            <w:tcW w:type="dxa" w:w="6192"/>
            <w:vAlign w:val="center"/>
          </w:tcPr>
          <w:p>
            <w:r/>
            <w:r>
              <w:rPr>
                <w:rFonts w:ascii="Calibri" w:hAnsi="Calibri"/>
                <w:color w:val="111827"/>
                <w:sz w:val="21"/>
              </w:rPr>
              <w:t>Training + services + consulting in one login, one dashboard.</w:t>
            </w:r>
          </w:p>
        </w:tc>
      </w:tr>
      <w:tr>
        <w:tc>
          <w:tcPr>
            <w:tcW w:type="dxa" w:w="2448"/>
            <w:vAlign w:val="center"/>
          </w:tcPr>
          <w:p>
            <w:r/>
            <w:r>
              <w:rPr>
                <w:rFonts w:ascii="Calibri" w:hAnsi="Calibri"/>
                <w:color w:val="111827"/>
                <w:sz w:val="21"/>
              </w:rPr>
              <w:t>Native live classroom</w:t>
            </w:r>
          </w:p>
        </w:tc>
        <w:tc>
          <w:tcPr>
            <w:tcW w:type="dxa" w:w="6192"/>
            <w:vAlign w:val="center"/>
          </w:tcPr>
          <w:p>
            <w:r/>
            <w:r>
              <w:rPr>
                <w:rFonts w:ascii="Calibri" w:hAnsi="Calibri"/>
                <w:color w:val="111827"/>
                <w:sz w:val="21"/>
              </w:rPr>
              <w:t>WebRTC-based — no Zoom dependency, attendance baked in.</w:t>
            </w:r>
          </w:p>
        </w:tc>
      </w:tr>
      <w:tr>
        <w:tc>
          <w:tcPr>
            <w:tcW w:type="dxa" w:w="2448"/>
            <w:vAlign w:val="center"/>
          </w:tcPr>
          <w:p>
            <w:r/>
            <w:r>
              <w:rPr>
                <w:rFonts w:ascii="Calibri" w:hAnsi="Calibri"/>
                <w:color w:val="111827"/>
                <w:sz w:val="21"/>
              </w:rPr>
              <w:t>Talent-to-opportunity bridge</w:t>
            </w:r>
          </w:p>
        </w:tc>
        <w:tc>
          <w:tcPr>
            <w:tcW w:type="dxa" w:w="6192"/>
            <w:vAlign w:val="center"/>
          </w:tcPr>
          <w:p>
            <w:r/>
            <w:r>
              <w:rPr>
                <w:rFonts w:ascii="Calibri" w:hAnsi="Calibri"/>
                <w:color w:val="111827"/>
                <w:sz w:val="21"/>
              </w:rPr>
              <w:t>Top students can be routed into client projects on the same platform.</w:t>
            </w:r>
          </w:p>
        </w:tc>
      </w:tr>
      <w:tr>
        <w:tc>
          <w:tcPr>
            <w:tcW w:type="dxa" w:w="2448"/>
            <w:vAlign w:val="center"/>
          </w:tcPr>
          <w:p>
            <w:r/>
            <w:r>
              <w:rPr>
                <w:rFonts w:ascii="Calibri" w:hAnsi="Calibri"/>
                <w:color w:val="111827"/>
                <w:sz w:val="21"/>
              </w:rPr>
              <w:t>Production-grade engineering</w:t>
            </w:r>
          </w:p>
        </w:tc>
        <w:tc>
          <w:tcPr>
            <w:tcW w:type="dxa" w:w="6192"/>
            <w:vAlign w:val="center"/>
          </w:tcPr>
          <w:p>
            <w:r/>
            <w:r>
              <w:rPr>
                <w:rFonts w:ascii="Calibri" w:hAnsi="Calibri"/>
                <w:color w:val="111827"/>
                <w:sz w:val="21"/>
              </w:rPr>
              <w:t>TypeScript end-to-end, JWT refresh, rate limiting, Helmet, Swagger docs.</w:t>
            </w:r>
          </w:p>
        </w:tc>
      </w:tr>
      <w:tr>
        <w:tc>
          <w:tcPr>
            <w:tcW w:type="dxa" w:w="2448"/>
            <w:vAlign w:val="center"/>
          </w:tcPr>
          <w:p>
            <w:r/>
            <w:r>
              <w:rPr>
                <w:rFonts w:ascii="Calibri" w:hAnsi="Calibri"/>
                <w:color w:val="111827"/>
                <w:sz w:val="21"/>
              </w:rPr>
              <w:t>AI-assisted learning</w:t>
            </w:r>
          </w:p>
        </w:tc>
        <w:tc>
          <w:tcPr>
            <w:tcW w:type="dxa" w:w="6192"/>
            <w:vAlign w:val="center"/>
          </w:tcPr>
          <w:p>
            <w:r/>
            <w:r>
              <w:rPr>
                <w:rFonts w:ascii="Calibri" w:hAnsi="Calibri"/>
                <w:color w:val="111827"/>
                <w:sz w:val="21"/>
              </w:rPr>
              <w:t>Built-in AI tutor (Gemini Flash) with daily quotas to support students.</w:t>
            </w:r>
          </w:p>
        </w:tc>
      </w:tr>
    </w:tbl>
    <w:p>
      <w:r>
        <w:br w:type="page"/>
      </w:r>
    </w:p>
    <w:p>
      <w:pPr>
        <w:pStyle w:val="Heading1"/>
      </w:pPr>
      <w:r>
        <w:rPr>
          <w:rFonts w:ascii="Calibri" w:hAnsi="Calibri"/>
          <w:color w:val="0B5FFF"/>
        </w:rPr>
        <w:t>11. How E-Bringgs Changes the Trend</w:t>
      </w:r>
    </w:p>
    <w:p>
      <w:pPr>
        <w:spacing w:after="120" w:line="360" w:lineRule="auto"/>
      </w:pPr>
      <w:r>
        <w:rPr>
          <w:rFonts w:ascii="Calibri" w:hAnsi="Calibri"/>
          <w:b w:val="0"/>
          <w:i w:val="0"/>
          <w:color w:val="111827"/>
          <w:sz w:val="22"/>
        </w:rPr>
        <w:t>The status quo treats education, services, and freelance work as three separate industries with three separate platforms. E-Bringgs argues that, for the African digital economy in particular, this separation is precisely the problem.</w:t>
      </w:r>
    </w:p>
    <w:p>
      <w:pPr>
        <w:pStyle w:val="Heading2"/>
      </w:pPr>
      <w:r>
        <w:rPr>
          <w:rFonts w:ascii="Calibri" w:hAnsi="Calibri"/>
          <w:color w:val="0B5FFF"/>
        </w:rPr>
        <w:t>11.1 From Certificates to Careers</w:t>
      </w:r>
    </w:p>
    <w:p>
      <w:pPr>
        <w:spacing w:after="120" w:line="360" w:lineRule="auto"/>
      </w:pPr>
      <w:r>
        <w:rPr>
          <w:rFonts w:ascii="Calibri" w:hAnsi="Calibri"/>
          <w:b w:val="0"/>
          <w:i w:val="0"/>
          <w:color w:val="111827"/>
          <w:sz w:val="22"/>
        </w:rPr>
        <w:t>Traditional bootcamps end on graduation day. E-Bringgs treats graduation as the midpoint — the same login that gave a student access to courses gives them visibility into client projects they can contribute to. The platform is designed so that training feeds the services arm, and the services arm validates the training.</w:t>
      </w:r>
    </w:p>
    <w:p>
      <w:pPr>
        <w:pStyle w:val="Heading2"/>
      </w:pPr>
      <w:r>
        <w:rPr>
          <w:rFonts w:ascii="Calibri" w:hAnsi="Calibri"/>
          <w:color w:val="0B5FFF"/>
        </w:rPr>
        <w:t>11.2 From Currency Friction to Local-First</w:t>
      </w:r>
    </w:p>
    <w:p>
      <w:pPr>
        <w:spacing w:after="120" w:line="360" w:lineRule="auto"/>
      </w:pPr>
      <w:r>
        <w:rPr>
          <w:rFonts w:ascii="Calibri" w:hAnsi="Calibri"/>
          <w:b w:val="0"/>
          <w:i w:val="0"/>
          <w:color w:val="111827"/>
          <w:sz w:val="22"/>
        </w:rPr>
        <w:t>By pricing in Naira and integrating Paystack natively, E-Bringgs removes the FX tax that priced thousands of capable learners out of foreign bootcamps. Pricing in NGN is not just a payments decision — it is a market-access decision.</w:t>
      </w:r>
    </w:p>
    <w:p>
      <w:pPr>
        <w:pStyle w:val="Heading2"/>
      </w:pPr>
      <w:r>
        <w:rPr>
          <w:rFonts w:ascii="Calibri" w:hAnsi="Calibri"/>
          <w:color w:val="0B5FFF"/>
        </w:rPr>
        <w:t>11.3 From Tool Sprawl to a Single Source of Truth</w:t>
      </w:r>
    </w:p>
    <w:p>
      <w:pPr>
        <w:spacing w:after="120" w:line="360" w:lineRule="auto"/>
      </w:pPr>
      <w:r>
        <w:rPr>
          <w:rFonts w:ascii="Calibri" w:hAnsi="Calibri"/>
          <w:b w:val="0"/>
          <w:i w:val="0"/>
          <w:color w:val="111827"/>
          <w:sz w:val="22"/>
        </w:rPr>
        <w:t>Schools and agencies currently run their operations across LMSs, Zoom, WhatsApp, Notion, Google Drive, and a payments tool. E-Bringgs collapses these into one system: a course is linked to a cohort, a cohort to a live session, a live session to attendance, attendance to assignments, assignments to a transcript, and the transcript to opportunities — without exporting any data.</w:t>
      </w:r>
    </w:p>
    <w:p>
      <w:pPr>
        <w:pStyle w:val="Heading2"/>
      </w:pPr>
      <w:r>
        <w:rPr>
          <w:rFonts w:ascii="Calibri" w:hAnsi="Calibri"/>
          <w:color w:val="0B5FFF"/>
        </w:rPr>
        <w:t>11.4 From Opaque Service Delivery to Transparent Projects</w:t>
      </w:r>
    </w:p>
    <w:p>
      <w:pPr>
        <w:spacing w:after="120" w:line="360" w:lineRule="auto"/>
      </w:pPr>
      <w:r>
        <w:rPr>
          <w:rFonts w:ascii="Calibri" w:hAnsi="Calibri"/>
          <w:b w:val="0"/>
          <w:i w:val="0"/>
          <w:color w:val="111827"/>
          <w:sz w:val="22"/>
        </w:rPr>
        <w:t>Clients today rarely know what state their project is in until a deadline slips. E-Bringgs gives every client a first-class dashboard — projects, deliverables, payments, and status — modelled the same way modern product teams track their own internal work. Transparency becomes a default, not a service upgrade.</w:t>
      </w:r>
    </w:p>
    <w:p>
      <w:pPr>
        <w:pStyle w:val="Heading2"/>
      </w:pPr>
      <w:r>
        <w:rPr>
          <w:rFonts w:ascii="Calibri" w:hAnsi="Calibri"/>
          <w:color w:val="0B5FFF"/>
        </w:rPr>
        <w:t>11.5 From Passive Learning to AI-Assisted Coaching</w:t>
      </w:r>
    </w:p>
    <w:p>
      <w:pPr>
        <w:spacing w:after="120" w:line="360" w:lineRule="auto"/>
      </w:pPr>
      <w:r>
        <w:rPr>
          <w:rFonts w:ascii="Calibri" w:hAnsi="Calibri"/>
          <w:b w:val="0"/>
          <w:i w:val="0"/>
          <w:color w:val="111827"/>
          <w:sz w:val="22"/>
        </w:rPr>
        <w:t>An AI tutor (Gemini Flash) is integrated into the learning experience. Students who are stuck at midnight, between live sessions, can get unblocked without waiting for the next class — closing the feedback loop that traditional cohorts cannot.</w:t>
      </w:r>
    </w:p>
    <w:p>
      <w:pPr>
        <w:pStyle w:val="Heading2"/>
      </w:pPr>
      <w:r>
        <w:rPr>
          <w:rFonts w:ascii="Calibri" w:hAnsi="Calibri"/>
          <w:color w:val="0B5FFF"/>
        </w:rPr>
        <w:t>11.6 The Strategic Shift</w:t>
      </w:r>
    </w:p>
    <w:p>
      <w:pPr>
        <w:spacing w:after="120" w:line="360" w:lineRule="auto"/>
      </w:pPr>
      <w:r>
        <w:rPr>
          <w:rFonts w:ascii="Calibri" w:hAnsi="Calibri"/>
          <w:b w:val="0"/>
          <w:i w:val="0"/>
          <w:color w:val="111827"/>
          <w:sz w:val="22"/>
        </w:rPr>
        <w:t>Taken together, E-Bringgs is repositioning the question. Instead of asking 'where do I learn to code?' or 'where do I find a developer?', users ask: 'where can I develop, deliver, and grow my career or my business in one place?' That is the trend the platform is built to set.</w:t>
      </w:r>
    </w:p>
    <w:p>
      <w:r>
        <w:br w:type="page"/>
      </w:r>
    </w:p>
    <w:p>
      <w:pPr>
        <w:pStyle w:val="Heading1"/>
      </w:pPr>
      <w:r>
        <w:rPr>
          <w:rFonts w:ascii="Calibri" w:hAnsi="Calibri"/>
          <w:color w:val="0B5FFF"/>
        </w:rPr>
        <w:t>12. Business &amp; Revenue Model</w:t>
      </w:r>
    </w:p>
    <w:tbl>
      <w:tblPr>
        <w:tblStyle w:val="LightGrid-Accent1"/>
        <w:tblW w:type="auto" w:w="0"/>
        <w:jc w:val="center"/>
        <w:tblLook w:firstColumn="1" w:firstRow="1" w:lastColumn="0" w:lastRow="0" w:noHBand="0" w:noVBand="1" w:val="04A0"/>
      </w:tblPr>
      <w:tblGrid>
        <w:gridCol w:w="3173"/>
        <w:gridCol w:w="3173"/>
        <w:gridCol w:w="3173"/>
      </w:tblGrid>
      <w:tr>
        <w:tc>
          <w:tcPr>
            <w:tcW w:type="dxa" w:w="2160"/>
            <w:shd w:val="clear" w:color="auto" w:fill="0B5FFF"/>
            <w:vAlign w:val="center"/>
          </w:tcPr>
          <w:p>
            <w:r/>
            <w:r>
              <w:rPr>
                <w:rFonts w:ascii="Calibri" w:hAnsi="Calibri"/>
                <w:b/>
                <w:color w:val="FFFFFF"/>
                <w:sz w:val="22"/>
              </w:rPr>
              <w:t>Stream</w:t>
            </w:r>
          </w:p>
        </w:tc>
        <w:tc>
          <w:tcPr>
            <w:tcW w:type="dxa" w:w="3600"/>
            <w:shd w:val="clear" w:color="auto" w:fill="0B5FFF"/>
            <w:vAlign w:val="center"/>
          </w:tcPr>
          <w:p>
            <w:r/>
            <w:r>
              <w:rPr>
                <w:rFonts w:ascii="Calibri" w:hAnsi="Calibri"/>
                <w:b/>
                <w:color w:val="FFFFFF"/>
                <w:sz w:val="22"/>
              </w:rPr>
              <w:t>Description</w:t>
            </w:r>
          </w:p>
        </w:tc>
        <w:tc>
          <w:tcPr>
            <w:tcW w:type="dxa" w:w="2880"/>
            <w:shd w:val="clear" w:color="auto" w:fill="0B5FFF"/>
            <w:vAlign w:val="center"/>
          </w:tcPr>
          <w:p>
            <w:r/>
            <w:r>
              <w:rPr>
                <w:rFonts w:ascii="Calibri" w:hAnsi="Calibri"/>
                <w:b/>
                <w:color w:val="FFFFFF"/>
                <w:sz w:val="22"/>
              </w:rPr>
              <w:t>Pricing Logic</w:t>
            </w:r>
          </w:p>
        </w:tc>
      </w:tr>
      <w:tr>
        <w:tc>
          <w:tcPr>
            <w:tcW w:type="dxa" w:w="2160"/>
            <w:vAlign w:val="center"/>
          </w:tcPr>
          <w:p>
            <w:r/>
            <w:r>
              <w:rPr>
                <w:rFonts w:ascii="Calibri" w:hAnsi="Calibri"/>
                <w:color w:val="111827"/>
                <w:sz w:val="21"/>
              </w:rPr>
              <w:t>Cohort tuition</w:t>
            </w:r>
          </w:p>
        </w:tc>
        <w:tc>
          <w:tcPr>
            <w:tcW w:type="dxa" w:w="3600"/>
            <w:vAlign w:val="center"/>
          </w:tcPr>
          <w:p>
            <w:r/>
            <w:r>
              <w:rPr>
                <w:rFonts w:ascii="Calibri" w:hAnsi="Calibri"/>
                <w:color w:val="111827"/>
                <w:sz w:val="21"/>
              </w:rPr>
              <w:t>Structured group learning programmes</w:t>
            </w:r>
          </w:p>
        </w:tc>
        <w:tc>
          <w:tcPr>
            <w:tcW w:type="dxa" w:w="2880"/>
            <w:vAlign w:val="center"/>
          </w:tcPr>
          <w:p>
            <w:r/>
            <w:r>
              <w:rPr>
                <w:rFonts w:ascii="Calibri" w:hAnsi="Calibri"/>
                <w:color w:val="111827"/>
                <w:sz w:val="21"/>
              </w:rPr>
              <w:t>Fixed NGN fee per cohort, instalment supported</w:t>
            </w:r>
          </w:p>
        </w:tc>
      </w:tr>
      <w:tr>
        <w:tc>
          <w:tcPr>
            <w:tcW w:type="dxa" w:w="2160"/>
            <w:vAlign w:val="center"/>
          </w:tcPr>
          <w:p>
            <w:r/>
            <w:r>
              <w:rPr>
                <w:rFonts w:ascii="Calibri" w:hAnsi="Calibri"/>
                <w:color w:val="111827"/>
                <w:sz w:val="21"/>
              </w:rPr>
              <w:t>Mentorship subscription</w:t>
            </w:r>
          </w:p>
        </w:tc>
        <w:tc>
          <w:tcPr>
            <w:tcW w:type="dxa" w:w="3600"/>
            <w:vAlign w:val="center"/>
          </w:tcPr>
          <w:p>
            <w:r/>
            <w:r>
              <w:rPr>
                <w:rFonts w:ascii="Calibri" w:hAnsi="Calibri"/>
                <w:color w:val="111827"/>
                <w:sz w:val="21"/>
              </w:rPr>
              <w:t>1:1 mentorship plans</w:t>
            </w:r>
          </w:p>
        </w:tc>
        <w:tc>
          <w:tcPr>
            <w:tcW w:type="dxa" w:w="2880"/>
            <w:vAlign w:val="center"/>
          </w:tcPr>
          <w:p>
            <w:r/>
            <w:r>
              <w:rPr>
                <w:rFonts w:ascii="Calibri" w:hAnsi="Calibri"/>
                <w:color w:val="111827"/>
                <w:sz w:val="21"/>
              </w:rPr>
              <w:t>Recurring NGN subscription via Paystack</w:t>
            </w:r>
          </w:p>
        </w:tc>
      </w:tr>
      <w:tr>
        <w:tc>
          <w:tcPr>
            <w:tcW w:type="dxa" w:w="2160"/>
            <w:vAlign w:val="center"/>
          </w:tcPr>
          <w:p>
            <w:r/>
            <w:r>
              <w:rPr>
                <w:rFonts w:ascii="Calibri" w:hAnsi="Calibri"/>
                <w:color w:val="111827"/>
                <w:sz w:val="21"/>
              </w:rPr>
              <w:t>Service projects</w:t>
            </w:r>
          </w:p>
        </w:tc>
        <w:tc>
          <w:tcPr>
            <w:tcW w:type="dxa" w:w="3600"/>
            <w:vAlign w:val="center"/>
          </w:tcPr>
          <w:p>
            <w:r/>
            <w:r>
              <w:rPr>
                <w:rFonts w:ascii="Calibri" w:hAnsi="Calibri"/>
                <w:color w:val="111827"/>
                <w:sz w:val="21"/>
              </w:rPr>
              <w:t>Software, data, research, UX delivery</w:t>
            </w:r>
          </w:p>
        </w:tc>
        <w:tc>
          <w:tcPr>
            <w:tcW w:type="dxa" w:w="2880"/>
            <w:vAlign w:val="center"/>
          </w:tcPr>
          <w:p>
            <w:r/>
            <w:r>
              <w:rPr>
                <w:rFonts w:ascii="Calibri" w:hAnsi="Calibri"/>
                <w:color w:val="111827"/>
                <w:sz w:val="21"/>
              </w:rPr>
              <w:t>Project-scoped quotes, milestone billing</w:t>
            </w:r>
          </w:p>
        </w:tc>
      </w:tr>
      <w:tr>
        <w:tc>
          <w:tcPr>
            <w:tcW w:type="dxa" w:w="2160"/>
            <w:vAlign w:val="center"/>
          </w:tcPr>
          <w:p>
            <w:r/>
            <w:r>
              <w:rPr>
                <w:rFonts w:ascii="Calibri" w:hAnsi="Calibri"/>
                <w:color w:val="111827"/>
                <w:sz w:val="21"/>
              </w:rPr>
              <w:t>Consulting retainers</w:t>
            </w:r>
          </w:p>
        </w:tc>
        <w:tc>
          <w:tcPr>
            <w:tcW w:type="dxa" w:w="3600"/>
            <w:vAlign w:val="center"/>
          </w:tcPr>
          <w:p>
            <w:r/>
            <w:r>
              <w:rPr>
                <w:rFonts w:ascii="Calibri" w:hAnsi="Calibri"/>
                <w:color w:val="111827"/>
                <w:sz w:val="21"/>
              </w:rPr>
              <w:t>Strategic engagements</w:t>
            </w:r>
          </w:p>
        </w:tc>
        <w:tc>
          <w:tcPr>
            <w:tcW w:type="dxa" w:w="2880"/>
            <w:vAlign w:val="center"/>
          </w:tcPr>
          <w:p>
            <w:r/>
            <w:r>
              <w:rPr>
                <w:rFonts w:ascii="Calibri" w:hAnsi="Calibri"/>
                <w:color w:val="111827"/>
                <w:sz w:val="21"/>
              </w:rPr>
              <w:t>Monthly retainer in NGN</w:t>
            </w:r>
          </w:p>
        </w:tc>
      </w:tr>
      <w:tr>
        <w:tc>
          <w:tcPr>
            <w:tcW w:type="dxa" w:w="2160"/>
            <w:vAlign w:val="center"/>
          </w:tcPr>
          <w:p>
            <w:r/>
            <w:r>
              <w:rPr>
                <w:rFonts w:ascii="Calibri" w:hAnsi="Calibri"/>
                <w:color w:val="111827"/>
                <w:sz w:val="21"/>
              </w:rPr>
              <w:t>Premium content</w:t>
            </w:r>
          </w:p>
        </w:tc>
        <w:tc>
          <w:tcPr>
            <w:tcW w:type="dxa" w:w="3600"/>
            <w:vAlign w:val="center"/>
          </w:tcPr>
          <w:p>
            <w:r/>
            <w:r>
              <w:rPr>
                <w:rFonts w:ascii="Calibri" w:hAnsi="Calibri"/>
                <w:color w:val="111827"/>
                <w:sz w:val="21"/>
              </w:rPr>
              <w:t>Blog content, downloadable resources (future)</w:t>
            </w:r>
          </w:p>
        </w:tc>
        <w:tc>
          <w:tcPr>
            <w:tcW w:type="dxa" w:w="2880"/>
            <w:vAlign w:val="center"/>
          </w:tcPr>
          <w:p>
            <w:r/>
            <w:r>
              <w:rPr>
                <w:rFonts w:ascii="Calibri" w:hAnsi="Calibri"/>
                <w:color w:val="111827"/>
                <w:sz w:val="21"/>
              </w:rPr>
              <w:t>Mixed free + gated</w:t>
            </w:r>
          </w:p>
        </w:tc>
      </w:tr>
    </w:tbl>
    <w:p>
      <w:r>
        <w:br w:type="page"/>
      </w:r>
    </w:p>
    <w:p>
      <w:pPr>
        <w:pStyle w:val="Heading1"/>
      </w:pPr>
      <w:r>
        <w:rPr>
          <w:rFonts w:ascii="Calibri" w:hAnsi="Calibri"/>
          <w:color w:val="0B5FFF"/>
        </w:rPr>
        <w:t>13. Implementation Status</w:t>
      </w:r>
    </w:p>
    <w:p>
      <w:pPr>
        <w:spacing w:after="120" w:line="360" w:lineRule="auto"/>
      </w:pPr>
      <w:r>
        <w:rPr>
          <w:rFonts w:ascii="Calibri" w:hAnsi="Calibri"/>
          <w:b w:val="0"/>
          <w:i w:val="0"/>
          <w:color w:val="111827"/>
          <w:sz w:val="22"/>
        </w:rPr>
        <w:t>The platform has progressed past prototype into a near-production state. All frontend pages and backend endpoints listed above are implemented; the system is in the final pre-deployment phase.</w:t>
      </w:r>
    </w:p>
    <w:tbl>
      <w:tblPr>
        <w:tblStyle w:val="LightGrid-Accent1"/>
        <w:tblW w:type="auto" w:w="0"/>
        <w:jc w:val="center"/>
        <w:tblLook w:firstColumn="1" w:firstRow="1" w:lastColumn="0" w:lastRow="0" w:noHBand="0" w:noVBand="1" w:val="04A0"/>
      </w:tblPr>
      <w:tblGrid>
        <w:gridCol w:w="4759"/>
        <w:gridCol w:w="4759"/>
      </w:tblGrid>
      <w:tr>
        <w:tc>
          <w:tcPr>
            <w:tcW w:type="dxa" w:w="5760"/>
            <w:shd w:val="clear" w:color="auto" w:fill="0B5FFF"/>
            <w:vAlign w:val="center"/>
          </w:tcPr>
          <w:p>
            <w:r/>
            <w:r>
              <w:rPr>
                <w:rFonts w:ascii="Calibri" w:hAnsi="Calibri"/>
                <w:b/>
                <w:color w:val="FFFFFF"/>
                <w:sz w:val="22"/>
              </w:rPr>
              <w:t>Area</w:t>
            </w:r>
          </w:p>
        </w:tc>
        <w:tc>
          <w:tcPr>
            <w:tcW w:type="dxa" w:w="2160"/>
            <w:shd w:val="clear" w:color="auto" w:fill="0B5FFF"/>
            <w:vAlign w:val="center"/>
          </w:tcPr>
          <w:p>
            <w:r/>
            <w:r>
              <w:rPr>
                <w:rFonts w:ascii="Calibri" w:hAnsi="Calibri"/>
                <w:b/>
                <w:color w:val="FFFFFF"/>
                <w:sz w:val="22"/>
              </w:rPr>
              <w:t>Status</w:t>
            </w:r>
          </w:p>
        </w:tc>
      </w:tr>
      <w:tr>
        <w:tc>
          <w:tcPr>
            <w:tcW w:type="dxa" w:w="5760"/>
            <w:vAlign w:val="center"/>
          </w:tcPr>
          <w:p>
            <w:r/>
            <w:r>
              <w:rPr>
                <w:rFonts w:ascii="Calibri" w:hAnsi="Calibri"/>
                <w:color w:val="111827"/>
                <w:sz w:val="21"/>
              </w:rPr>
              <w:t>Public marketing pages (Landing, Pricing, About, Contact, Terms, Privacy)</w:t>
            </w:r>
          </w:p>
        </w:tc>
        <w:tc>
          <w:tcPr>
            <w:tcW w:type="dxa" w:w="2160"/>
            <w:vAlign w:val="center"/>
          </w:tcPr>
          <w:p>
            <w:r/>
            <w:r>
              <w:rPr>
                <w:rFonts w:ascii="Calibri" w:hAnsi="Calibri"/>
                <w:color w:val="111827"/>
                <w:sz w:val="21"/>
              </w:rPr>
              <w:t>Complete</w:t>
            </w:r>
          </w:p>
        </w:tc>
      </w:tr>
      <w:tr>
        <w:tc>
          <w:tcPr>
            <w:tcW w:type="dxa" w:w="5760"/>
            <w:vAlign w:val="center"/>
          </w:tcPr>
          <w:p>
            <w:r/>
            <w:r>
              <w:rPr>
                <w:rFonts w:ascii="Calibri" w:hAnsi="Calibri"/>
                <w:color w:val="111827"/>
                <w:sz w:val="21"/>
              </w:rPr>
              <w:t>Authentication (register, login, refresh, verify, reset)</w:t>
            </w:r>
          </w:p>
        </w:tc>
        <w:tc>
          <w:tcPr>
            <w:tcW w:type="dxa" w:w="2160"/>
            <w:vAlign w:val="center"/>
          </w:tcPr>
          <w:p>
            <w:r/>
            <w:r>
              <w:rPr>
                <w:rFonts w:ascii="Calibri" w:hAnsi="Calibri"/>
                <w:color w:val="111827"/>
                <w:sz w:val="21"/>
              </w:rPr>
              <w:t>Complete</w:t>
            </w:r>
          </w:p>
        </w:tc>
      </w:tr>
      <w:tr>
        <w:tc>
          <w:tcPr>
            <w:tcW w:type="dxa" w:w="5760"/>
            <w:vAlign w:val="center"/>
          </w:tcPr>
          <w:p>
            <w:r/>
            <w:r>
              <w:rPr>
                <w:rFonts w:ascii="Calibri" w:hAnsi="Calibri"/>
                <w:color w:val="111827"/>
                <w:sz w:val="21"/>
              </w:rPr>
              <w:t>Student dashboard (overview, courses, resources, schedule)</w:t>
            </w:r>
          </w:p>
        </w:tc>
        <w:tc>
          <w:tcPr>
            <w:tcW w:type="dxa" w:w="2160"/>
            <w:vAlign w:val="center"/>
          </w:tcPr>
          <w:p>
            <w:r/>
            <w:r>
              <w:rPr>
                <w:rFonts w:ascii="Calibri" w:hAnsi="Calibri"/>
                <w:color w:val="111827"/>
                <w:sz w:val="21"/>
              </w:rPr>
              <w:t>Complete</w:t>
            </w:r>
          </w:p>
        </w:tc>
      </w:tr>
      <w:tr>
        <w:tc>
          <w:tcPr>
            <w:tcW w:type="dxa" w:w="5760"/>
            <w:vAlign w:val="center"/>
          </w:tcPr>
          <w:p>
            <w:r/>
            <w:r>
              <w:rPr>
                <w:rFonts w:ascii="Calibri" w:hAnsi="Calibri"/>
                <w:color w:val="111827"/>
                <w:sz w:val="21"/>
              </w:rPr>
              <w:t>Client dashboard (overview, projects, payments)</w:t>
            </w:r>
          </w:p>
        </w:tc>
        <w:tc>
          <w:tcPr>
            <w:tcW w:type="dxa" w:w="2160"/>
            <w:vAlign w:val="center"/>
          </w:tcPr>
          <w:p>
            <w:r/>
            <w:r>
              <w:rPr>
                <w:rFonts w:ascii="Calibri" w:hAnsi="Calibri"/>
                <w:color w:val="111827"/>
                <w:sz w:val="21"/>
              </w:rPr>
              <w:t>Complete</w:t>
            </w:r>
          </w:p>
        </w:tc>
      </w:tr>
      <w:tr>
        <w:tc>
          <w:tcPr>
            <w:tcW w:type="dxa" w:w="5760"/>
            <w:vAlign w:val="center"/>
          </w:tcPr>
          <w:p>
            <w:r/>
            <w:r>
              <w:rPr>
                <w:rFonts w:ascii="Calibri" w:hAnsi="Calibri"/>
                <w:color w:val="111827"/>
                <w:sz w:val="21"/>
              </w:rPr>
              <w:t>Admin dashboard (users, courses, modules, blogs, payments, sessions, etc.)</w:t>
            </w:r>
          </w:p>
        </w:tc>
        <w:tc>
          <w:tcPr>
            <w:tcW w:type="dxa" w:w="2160"/>
            <w:vAlign w:val="center"/>
          </w:tcPr>
          <w:p>
            <w:r/>
            <w:r>
              <w:rPr>
                <w:rFonts w:ascii="Calibri" w:hAnsi="Calibri"/>
                <w:color w:val="111827"/>
                <w:sz w:val="21"/>
              </w:rPr>
              <w:t>Complete</w:t>
            </w:r>
          </w:p>
        </w:tc>
      </w:tr>
      <w:tr>
        <w:tc>
          <w:tcPr>
            <w:tcW w:type="dxa" w:w="5760"/>
            <w:vAlign w:val="center"/>
          </w:tcPr>
          <w:p>
            <w:r/>
            <w:r>
              <w:rPr>
                <w:rFonts w:ascii="Calibri" w:hAnsi="Calibri"/>
                <w:color w:val="111827"/>
                <w:sz w:val="21"/>
              </w:rPr>
              <w:t>Course system (catalog, detail, modules, enrolment, assignments)</w:t>
            </w:r>
          </w:p>
        </w:tc>
        <w:tc>
          <w:tcPr>
            <w:tcW w:type="dxa" w:w="2160"/>
            <w:vAlign w:val="center"/>
          </w:tcPr>
          <w:p>
            <w:r/>
            <w:r>
              <w:rPr>
                <w:rFonts w:ascii="Calibri" w:hAnsi="Calibri"/>
                <w:color w:val="111827"/>
                <w:sz w:val="21"/>
              </w:rPr>
              <w:t>Complete</w:t>
            </w:r>
          </w:p>
        </w:tc>
      </w:tr>
      <w:tr>
        <w:tc>
          <w:tcPr>
            <w:tcW w:type="dxa" w:w="5760"/>
            <w:vAlign w:val="center"/>
          </w:tcPr>
          <w:p>
            <w:r/>
            <w:r>
              <w:rPr>
                <w:rFonts w:ascii="Calibri" w:hAnsi="Calibri"/>
                <w:color w:val="111827"/>
                <w:sz w:val="21"/>
              </w:rPr>
              <w:t>Blog system (listing, post, admin CRUD)</w:t>
            </w:r>
          </w:p>
        </w:tc>
        <w:tc>
          <w:tcPr>
            <w:tcW w:type="dxa" w:w="2160"/>
            <w:vAlign w:val="center"/>
          </w:tcPr>
          <w:p>
            <w:r/>
            <w:r>
              <w:rPr>
                <w:rFonts w:ascii="Calibri" w:hAnsi="Calibri"/>
                <w:color w:val="111827"/>
                <w:sz w:val="21"/>
              </w:rPr>
              <w:t>Complete</w:t>
            </w:r>
          </w:p>
        </w:tc>
      </w:tr>
      <w:tr>
        <w:tc>
          <w:tcPr>
            <w:tcW w:type="dxa" w:w="5760"/>
            <w:vAlign w:val="center"/>
          </w:tcPr>
          <w:p>
            <w:r/>
            <w:r>
              <w:rPr>
                <w:rFonts w:ascii="Calibri" w:hAnsi="Calibri"/>
                <w:color w:val="111827"/>
                <w:sz w:val="21"/>
              </w:rPr>
              <w:t>Services (catalog, detail, inquiry)</w:t>
            </w:r>
          </w:p>
        </w:tc>
        <w:tc>
          <w:tcPr>
            <w:tcW w:type="dxa" w:w="2160"/>
            <w:vAlign w:val="center"/>
          </w:tcPr>
          <w:p>
            <w:r/>
            <w:r>
              <w:rPr>
                <w:rFonts w:ascii="Calibri" w:hAnsi="Calibri"/>
                <w:color w:val="111827"/>
                <w:sz w:val="21"/>
              </w:rPr>
              <w:t>Complete</w:t>
            </w:r>
          </w:p>
        </w:tc>
      </w:tr>
      <w:tr>
        <w:tc>
          <w:tcPr>
            <w:tcW w:type="dxa" w:w="5760"/>
            <w:vAlign w:val="center"/>
          </w:tcPr>
          <w:p>
            <w:r/>
            <w:r>
              <w:rPr>
                <w:rFonts w:ascii="Calibri" w:hAnsi="Calibri"/>
                <w:color w:val="111827"/>
                <w:sz w:val="21"/>
              </w:rPr>
              <w:t>Paystack payments (initialize, verify, webhook, transactions)</w:t>
            </w:r>
          </w:p>
        </w:tc>
        <w:tc>
          <w:tcPr>
            <w:tcW w:type="dxa" w:w="2160"/>
            <w:vAlign w:val="center"/>
          </w:tcPr>
          <w:p>
            <w:r/>
            <w:r>
              <w:rPr>
                <w:rFonts w:ascii="Calibri" w:hAnsi="Calibri"/>
                <w:color w:val="111827"/>
                <w:sz w:val="21"/>
              </w:rPr>
              <w:t>Complete</w:t>
            </w:r>
          </w:p>
        </w:tc>
      </w:tr>
      <w:tr>
        <w:tc>
          <w:tcPr>
            <w:tcW w:type="dxa" w:w="5760"/>
            <w:vAlign w:val="center"/>
          </w:tcPr>
          <w:p>
            <w:r/>
            <w:r>
              <w:rPr>
                <w:rFonts w:ascii="Calibri" w:hAnsi="Calibri"/>
                <w:color w:val="111827"/>
                <w:sz w:val="21"/>
              </w:rPr>
              <w:t>Live video classroom (WebRTC, chat, controls, attendance)</w:t>
            </w:r>
          </w:p>
        </w:tc>
        <w:tc>
          <w:tcPr>
            <w:tcW w:type="dxa" w:w="2160"/>
            <w:vAlign w:val="center"/>
          </w:tcPr>
          <w:p>
            <w:r/>
            <w:r>
              <w:rPr>
                <w:rFonts w:ascii="Calibri" w:hAnsi="Calibri"/>
                <w:color w:val="111827"/>
                <w:sz w:val="21"/>
              </w:rPr>
              <w:t>Complete</w:t>
            </w:r>
          </w:p>
        </w:tc>
      </w:tr>
      <w:tr>
        <w:tc>
          <w:tcPr>
            <w:tcW w:type="dxa" w:w="5760"/>
            <w:vAlign w:val="center"/>
          </w:tcPr>
          <w:p>
            <w:r/>
            <w:r>
              <w:rPr>
                <w:rFonts w:ascii="Calibri" w:hAnsi="Calibri"/>
                <w:color w:val="111827"/>
                <w:sz w:val="21"/>
              </w:rPr>
              <w:t>Light / Dark / System theming</w:t>
            </w:r>
          </w:p>
        </w:tc>
        <w:tc>
          <w:tcPr>
            <w:tcW w:type="dxa" w:w="2160"/>
            <w:vAlign w:val="center"/>
          </w:tcPr>
          <w:p>
            <w:r/>
            <w:r>
              <w:rPr>
                <w:rFonts w:ascii="Calibri" w:hAnsi="Calibri"/>
                <w:color w:val="111827"/>
                <w:sz w:val="21"/>
              </w:rPr>
              <w:t>Complete</w:t>
            </w:r>
          </w:p>
        </w:tc>
      </w:tr>
      <w:tr>
        <w:tc>
          <w:tcPr>
            <w:tcW w:type="dxa" w:w="5760"/>
            <w:vAlign w:val="center"/>
          </w:tcPr>
          <w:p>
            <w:r/>
            <w:r>
              <w:rPr>
                <w:rFonts w:ascii="Calibri" w:hAnsi="Calibri"/>
                <w:color w:val="111827"/>
                <w:sz w:val="21"/>
              </w:rPr>
              <w:t>Swagger / OpenAPI documentation</w:t>
            </w:r>
          </w:p>
        </w:tc>
        <w:tc>
          <w:tcPr>
            <w:tcW w:type="dxa" w:w="2160"/>
            <w:vAlign w:val="center"/>
          </w:tcPr>
          <w:p>
            <w:r/>
            <w:r>
              <w:rPr>
                <w:rFonts w:ascii="Calibri" w:hAnsi="Calibri"/>
                <w:color w:val="111827"/>
                <w:sz w:val="21"/>
              </w:rPr>
              <w:t>Complete</w:t>
            </w:r>
          </w:p>
        </w:tc>
      </w:tr>
      <w:tr>
        <w:tc>
          <w:tcPr>
            <w:tcW w:type="dxa" w:w="5760"/>
            <w:vAlign w:val="center"/>
          </w:tcPr>
          <w:p>
            <w:r/>
            <w:r>
              <w:rPr>
                <w:rFonts w:ascii="Calibri" w:hAnsi="Calibri"/>
                <w:color w:val="111827"/>
                <w:sz w:val="21"/>
              </w:rPr>
              <w:t>.env wiring for production secrets</w:t>
            </w:r>
          </w:p>
        </w:tc>
        <w:tc>
          <w:tcPr>
            <w:tcW w:type="dxa" w:w="2160"/>
            <w:vAlign w:val="center"/>
          </w:tcPr>
          <w:p>
            <w:r/>
            <w:r>
              <w:rPr>
                <w:rFonts w:ascii="Calibri" w:hAnsi="Calibri"/>
                <w:color w:val="111827"/>
                <w:sz w:val="21"/>
              </w:rPr>
              <w:t>Pending</w:t>
            </w:r>
          </w:p>
        </w:tc>
      </w:tr>
      <w:tr>
        <w:tc>
          <w:tcPr>
            <w:tcW w:type="dxa" w:w="5760"/>
            <w:vAlign w:val="center"/>
          </w:tcPr>
          <w:p>
            <w:r/>
            <w:r>
              <w:rPr>
                <w:rFonts w:ascii="Calibri" w:hAnsi="Calibri"/>
                <w:color w:val="111827"/>
                <w:sz w:val="21"/>
              </w:rPr>
              <w:t>Deployment to production hosting</w:t>
            </w:r>
          </w:p>
        </w:tc>
        <w:tc>
          <w:tcPr>
            <w:tcW w:type="dxa" w:w="2160"/>
            <w:vAlign w:val="center"/>
          </w:tcPr>
          <w:p>
            <w:r/>
            <w:r>
              <w:rPr>
                <w:rFonts w:ascii="Calibri" w:hAnsi="Calibri"/>
                <w:color w:val="111827"/>
                <w:sz w:val="21"/>
              </w:rPr>
              <w:t>Pending</w:t>
            </w:r>
          </w:p>
        </w:tc>
      </w:tr>
    </w:tbl>
    <w:p>
      <w:r>
        <w:br w:type="page"/>
      </w:r>
    </w:p>
    <w:p>
      <w:pPr>
        <w:pStyle w:val="Heading1"/>
      </w:pPr>
      <w:r>
        <w:rPr>
          <w:rFonts w:ascii="Calibri" w:hAnsi="Calibri"/>
          <w:color w:val="0B5FFF"/>
        </w:rPr>
        <w:t>14. Future Roadmap</w:t>
      </w:r>
    </w:p>
    <w:p>
      <w:pPr>
        <w:pStyle w:val="Heading2"/>
      </w:pPr>
      <w:r>
        <w:rPr>
          <w:rFonts w:ascii="Calibri" w:hAnsi="Calibri"/>
          <w:color w:val="0B5FFF"/>
        </w:rPr>
        <w:t>Phase 2 (Post-Launch)</w:t>
      </w:r>
    </w:p>
    <w:p>
      <w:pPr>
        <w:pStyle w:val="ListBullet"/>
        <w:spacing w:after="60"/>
      </w:pPr>
      <w:r>
        <w:rPr>
          <w:rFonts w:ascii="Calibri" w:hAnsi="Calibri"/>
          <w:color w:val="111827"/>
          <w:sz w:val="22"/>
        </w:rPr>
        <w:t>Native mobile apps (React Native or Capacitor wrapper).</w:t>
      </w:r>
    </w:p>
    <w:p>
      <w:pPr>
        <w:pStyle w:val="ListBullet"/>
        <w:spacing w:after="60"/>
      </w:pPr>
      <w:r>
        <w:rPr>
          <w:rFonts w:ascii="Calibri" w:hAnsi="Calibri"/>
          <w:color w:val="111827"/>
          <w:sz w:val="22"/>
        </w:rPr>
        <w:t>Student success stories / portfolio showcase pages.</w:t>
      </w:r>
    </w:p>
    <w:p>
      <w:pPr>
        <w:pStyle w:val="ListBullet"/>
        <w:spacing w:after="60"/>
      </w:pPr>
      <w:r>
        <w:rPr>
          <w:rFonts w:ascii="Calibri" w:hAnsi="Calibri"/>
          <w:color w:val="111827"/>
          <w:sz w:val="22"/>
        </w:rPr>
        <w:t>Public live class schedule with countdown to next cohort.</w:t>
      </w:r>
    </w:p>
    <w:p>
      <w:pPr>
        <w:pStyle w:val="ListBullet"/>
        <w:spacing w:after="60"/>
      </w:pPr>
      <w:r>
        <w:rPr>
          <w:rFonts w:ascii="Calibri" w:hAnsi="Calibri"/>
          <w:color w:val="111827"/>
          <w:sz w:val="22"/>
        </w:rPr>
        <w:t>Referral / affiliate system with NGN-denominated rewards.</w:t>
      </w:r>
    </w:p>
    <w:p>
      <w:pPr>
        <w:pStyle w:val="ListBullet"/>
        <w:spacing w:after="60"/>
      </w:pPr>
      <w:r>
        <w:rPr>
          <w:rFonts w:ascii="Calibri" w:hAnsi="Calibri"/>
          <w:color w:val="111827"/>
          <w:sz w:val="22"/>
        </w:rPr>
        <w:t>Newsletter / email capture with exit-intent popup.</w:t>
      </w:r>
    </w:p>
    <w:p>
      <w:pPr>
        <w:pStyle w:val="ListBullet"/>
        <w:spacing w:after="60"/>
      </w:pPr>
      <w:r>
        <w:rPr>
          <w:rFonts w:ascii="Calibri" w:hAnsi="Calibri"/>
          <w:color w:val="111827"/>
          <w:sz w:val="22"/>
        </w:rPr>
        <w:t>Advanced analytics dashboard for admins (cohort completion, payment funnels).</w:t>
      </w:r>
    </w:p>
    <w:p>
      <w:pPr>
        <w:pStyle w:val="Heading2"/>
      </w:pPr>
      <w:r>
        <w:rPr>
          <w:rFonts w:ascii="Calibri" w:hAnsi="Calibri"/>
          <w:color w:val="0B5FFF"/>
        </w:rPr>
        <w:t>Phase 3</w:t>
      </w:r>
    </w:p>
    <w:p>
      <w:pPr>
        <w:pStyle w:val="ListBullet"/>
        <w:spacing w:after="60"/>
      </w:pPr>
      <w:r>
        <w:rPr>
          <w:rFonts w:ascii="Calibri" w:hAnsi="Calibri"/>
          <w:color w:val="111827"/>
          <w:sz w:val="22"/>
        </w:rPr>
        <w:t>Marketplace for vetted external instructors and mentors.</w:t>
      </w:r>
    </w:p>
    <w:p>
      <w:pPr>
        <w:pStyle w:val="ListBullet"/>
        <w:spacing w:after="60"/>
      </w:pPr>
      <w:r>
        <w:rPr>
          <w:rFonts w:ascii="Calibri" w:hAnsi="Calibri"/>
          <w:color w:val="111827"/>
          <w:sz w:val="22"/>
        </w:rPr>
        <w:t>Certificate generation with verifiable on-chain credentials (optional).</w:t>
      </w:r>
    </w:p>
    <w:p>
      <w:pPr>
        <w:pStyle w:val="ListBullet"/>
        <w:spacing w:after="60"/>
      </w:pPr>
      <w:r>
        <w:rPr>
          <w:rFonts w:ascii="Calibri" w:hAnsi="Calibri"/>
          <w:color w:val="111827"/>
          <w:sz w:val="22"/>
        </w:rPr>
        <w:t>Predictive learner analytics — surface at-risk students before they drop off.</w:t>
      </w:r>
    </w:p>
    <w:p>
      <w:pPr>
        <w:pStyle w:val="ListBullet"/>
        <w:spacing w:after="60"/>
      </w:pPr>
      <w:r>
        <w:rPr>
          <w:rFonts w:ascii="Calibri" w:hAnsi="Calibri"/>
          <w:color w:val="111827"/>
          <w:sz w:val="22"/>
        </w:rPr>
        <w:t>Expansion of payment rails into other African currencies (Flutterwave / multi-rail).</w:t>
      </w:r>
    </w:p>
    <w:p>
      <w:pPr>
        <w:pStyle w:val="ListBullet"/>
        <w:spacing w:after="60"/>
      </w:pPr>
      <w:r>
        <w:rPr>
          <w:rFonts w:ascii="Calibri" w:hAnsi="Calibri"/>
          <w:color w:val="111827"/>
          <w:sz w:val="22"/>
        </w:rPr>
        <w:t>Public API for institutional partners.</w:t>
      </w:r>
    </w:p>
    <w:p>
      <w:r>
        <w:br w:type="page"/>
      </w:r>
    </w:p>
    <w:p>
      <w:pPr>
        <w:pStyle w:val="Heading1"/>
      </w:pPr>
      <w:r>
        <w:rPr>
          <w:rFonts w:ascii="Calibri" w:hAnsi="Calibri"/>
          <w:color w:val="0B5FFF"/>
        </w:rPr>
        <w:t>15. Risks &amp; Mitigation</w:t>
      </w:r>
    </w:p>
    <w:tbl>
      <w:tblPr>
        <w:tblStyle w:val="LightGrid-Accent1"/>
        <w:tblW w:type="auto" w:w="0"/>
        <w:jc w:val="center"/>
        <w:tblLook w:firstColumn="1" w:firstRow="1" w:lastColumn="0" w:lastRow="0" w:noHBand="0" w:noVBand="1" w:val="04A0"/>
      </w:tblPr>
      <w:tblGrid>
        <w:gridCol w:w="4759"/>
        <w:gridCol w:w="4759"/>
      </w:tblGrid>
      <w:tr>
        <w:tc>
          <w:tcPr>
            <w:tcW w:type="dxa" w:w="2880"/>
            <w:shd w:val="clear" w:color="auto" w:fill="0B5FFF"/>
            <w:vAlign w:val="center"/>
          </w:tcPr>
          <w:p>
            <w:r/>
            <w:r>
              <w:rPr>
                <w:rFonts w:ascii="Calibri" w:hAnsi="Calibri"/>
                <w:b/>
                <w:color w:val="FFFFFF"/>
                <w:sz w:val="22"/>
              </w:rPr>
              <w:t>Risk</w:t>
            </w:r>
          </w:p>
        </w:tc>
        <w:tc>
          <w:tcPr>
            <w:tcW w:type="dxa" w:w="5760"/>
            <w:shd w:val="clear" w:color="auto" w:fill="0B5FFF"/>
            <w:vAlign w:val="center"/>
          </w:tcPr>
          <w:p>
            <w:r/>
            <w:r>
              <w:rPr>
                <w:rFonts w:ascii="Calibri" w:hAnsi="Calibri"/>
                <w:b/>
                <w:color w:val="FFFFFF"/>
                <w:sz w:val="22"/>
              </w:rPr>
              <w:t>Mitigation</w:t>
            </w:r>
          </w:p>
        </w:tc>
      </w:tr>
      <w:tr>
        <w:tc>
          <w:tcPr>
            <w:tcW w:type="dxa" w:w="2880"/>
            <w:vAlign w:val="center"/>
          </w:tcPr>
          <w:p>
            <w:r/>
            <w:r>
              <w:rPr>
                <w:rFonts w:ascii="Calibri" w:hAnsi="Calibri"/>
                <w:color w:val="111827"/>
                <w:sz w:val="21"/>
              </w:rPr>
              <w:t>Payment provider downtime (Paystack)</w:t>
            </w:r>
          </w:p>
        </w:tc>
        <w:tc>
          <w:tcPr>
            <w:tcW w:type="dxa" w:w="5760"/>
            <w:vAlign w:val="center"/>
          </w:tcPr>
          <w:p>
            <w:r/>
            <w:r>
              <w:rPr>
                <w:rFonts w:ascii="Calibri" w:hAnsi="Calibri"/>
                <w:color w:val="111827"/>
                <w:sz w:val="21"/>
              </w:rPr>
              <w:t>Webhook + verification fallback; Stripe code path retained as legacy.</w:t>
            </w:r>
          </w:p>
        </w:tc>
      </w:tr>
      <w:tr>
        <w:tc>
          <w:tcPr>
            <w:tcW w:type="dxa" w:w="2880"/>
            <w:vAlign w:val="center"/>
          </w:tcPr>
          <w:p>
            <w:r/>
            <w:r>
              <w:rPr>
                <w:rFonts w:ascii="Calibri" w:hAnsi="Calibri"/>
                <w:color w:val="111827"/>
                <w:sz w:val="21"/>
              </w:rPr>
              <w:t>WebRTC quality on poor networks</w:t>
            </w:r>
          </w:p>
        </w:tc>
        <w:tc>
          <w:tcPr>
            <w:tcW w:type="dxa" w:w="5760"/>
            <w:vAlign w:val="center"/>
          </w:tcPr>
          <w:p>
            <w:r/>
            <w:r>
              <w:rPr>
                <w:rFonts w:ascii="Calibri" w:hAnsi="Calibri"/>
                <w:color w:val="111827"/>
                <w:sz w:val="21"/>
              </w:rPr>
              <w:t>Adaptive bitrate; chat-only fallback; recorded session playback (planned).</w:t>
            </w:r>
          </w:p>
        </w:tc>
      </w:tr>
      <w:tr>
        <w:tc>
          <w:tcPr>
            <w:tcW w:type="dxa" w:w="2880"/>
            <w:vAlign w:val="center"/>
          </w:tcPr>
          <w:p>
            <w:r/>
            <w:r>
              <w:rPr>
                <w:rFonts w:ascii="Calibri" w:hAnsi="Calibri"/>
                <w:color w:val="111827"/>
                <w:sz w:val="21"/>
              </w:rPr>
              <w:t>Course content drift</w:t>
            </w:r>
          </w:p>
        </w:tc>
        <w:tc>
          <w:tcPr>
            <w:tcW w:type="dxa" w:w="5760"/>
            <w:vAlign w:val="center"/>
          </w:tcPr>
          <w:p>
            <w:r/>
            <w:r>
              <w:rPr>
                <w:rFonts w:ascii="Calibri" w:hAnsi="Calibri"/>
                <w:color w:val="111827"/>
                <w:sz w:val="21"/>
              </w:rPr>
              <w:t>Admin module editor with versioning; cohort-scoped content references.</w:t>
            </w:r>
          </w:p>
        </w:tc>
      </w:tr>
      <w:tr>
        <w:tc>
          <w:tcPr>
            <w:tcW w:type="dxa" w:w="2880"/>
            <w:vAlign w:val="center"/>
          </w:tcPr>
          <w:p>
            <w:r/>
            <w:r>
              <w:rPr>
                <w:rFonts w:ascii="Calibri" w:hAnsi="Calibri"/>
                <w:color w:val="111827"/>
                <w:sz w:val="21"/>
              </w:rPr>
              <w:t>Security (auth, sessions, payments)</w:t>
            </w:r>
          </w:p>
        </w:tc>
        <w:tc>
          <w:tcPr>
            <w:tcW w:type="dxa" w:w="5760"/>
            <w:vAlign w:val="center"/>
          </w:tcPr>
          <w:p>
            <w:r/>
            <w:r>
              <w:rPr>
                <w:rFonts w:ascii="Calibri" w:hAnsi="Calibri"/>
                <w:color w:val="111827"/>
                <w:sz w:val="21"/>
              </w:rPr>
              <w:t>JWT + refresh rotation, Helmet, rate limiting, input validation, HTTPS-only.</w:t>
            </w:r>
          </w:p>
        </w:tc>
      </w:tr>
      <w:tr>
        <w:tc>
          <w:tcPr>
            <w:tcW w:type="dxa" w:w="2880"/>
            <w:vAlign w:val="center"/>
          </w:tcPr>
          <w:p>
            <w:r/>
            <w:r>
              <w:rPr>
                <w:rFonts w:ascii="Calibri" w:hAnsi="Calibri"/>
                <w:color w:val="111827"/>
                <w:sz w:val="21"/>
              </w:rPr>
              <w:t>Operational scale (admin workload)</w:t>
            </w:r>
          </w:p>
        </w:tc>
        <w:tc>
          <w:tcPr>
            <w:tcW w:type="dxa" w:w="5760"/>
            <w:vAlign w:val="center"/>
          </w:tcPr>
          <w:p>
            <w:r/>
            <w:r>
              <w:rPr>
                <w:rFonts w:ascii="Calibri" w:hAnsi="Calibri"/>
                <w:color w:val="111827"/>
                <w:sz w:val="21"/>
              </w:rPr>
              <w:t>Role assignment, scoped permissions, automation of common admin actions.</w:t>
            </w:r>
          </w:p>
        </w:tc>
      </w:tr>
      <w:tr>
        <w:tc>
          <w:tcPr>
            <w:tcW w:type="dxa" w:w="2880"/>
            <w:vAlign w:val="center"/>
          </w:tcPr>
          <w:p>
            <w:r/>
            <w:r>
              <w:rPr>
                <w:rFonts w:ascii="Calibri" w:hAnsi="Calibri"/>
                <w:color w:val="111827"/>
                <w:sz w:val="21"/>
              </w:rPr>
              <w:t>Data residency / compliance</w:t>
            </w:r>
          </w:p>
        </w:tc>
        <w:tc>
          <w:tcPr>
            <w:tcW w:type="dxa" w:w="5760"/>
            <w:vAlign w:val="center"/>
          </w:tcPr>
          <w:p>
            <w:r/>
            <w:r>
              <w:rPr>
                <w:rFonts w:ascii="Calibri" w:hAnsi="Calibri"/>
                <w:color w:val="111827"/>
                <w:sz w:val="21"/>
              </w:rPr>
              <w:t>Per-environment MongoDB Atlas clusters; secrets via env; documented data model.</w:t>
            </w:r>
          </w:p>
        </w:tc>
      </w:tr>
    </w:tbl>
    <w:p>
      <w:r>
        <w:br w:type="page"/>
      </w:r>
    </w:p>
    <w:p>
      <w:pPr>
        <w:pStyle w:val="Heading1"/>
      </w:pPr>
      <w:r>
        <w:rPr>
          <w:rFonts w:ascii="Calibri" w:hAnsi="Calibri"/>
          <w:color w:val="0B5FFF"/>
        </w:rPr>
        <w:t>16. Conclusion</w:t>
      </w:r>
    </w:p>
    <w:p>
      <w:pPr>
        <w:spacing w:after="120" w:line="360" w:lineRule="auto"/>
      </w:pPr>
      <w:r>
        <w:rPr>
          <w:rFonts w:ascii="Calibri" w:hAnsi="Calibri"/>
          <w:b w:val="0"/>
          <w:i w:val="0"/>
          <w:color w:val="111827"/>
          <w:sz w:val="22"/>
        </w:rPr>
        <w:t>E-Bringgs Technologies is not another bootcamp, not another agency, and not another freelance marketplace. It is a deliberate combination of all three — engineered as a single, role-aware product on a modern, secure, production-grade stack.</w:t>
      </w:r>
    </w:p>
    <w:p>
      <w:pPr>
        <w:spacing w:after="120" w:line="360" w:lineRule="auto"/>
      </w:pPr>
      <w:r>
        <w:rPr>
          <w:rFonts w:ascii="Calibri" w:hAnsi="Calibri"/>
          <w:b w:val="0"/>
          <w:i w:val="0"/>
          <w:color w:val="111827"/>
          <w:sz w:val="22"/>
        </w:rPr>
        <w:t>By pricing in Naira, training through live mentor-led cohorts, and routing graduating talent directly into client projects, the platform addresses the three structural gaps that hold the African digital economy back: training, trust, and continuity.</w:t>
      </w:r>
    </w:p>
    <w:p>
      <w:pPr>
        <w:spacing w:after="120" w:line="360" w:lineRule="auto"/>
      </w:pPr>
      <w:r>
        <w:rPr>
          <w:rFonts w:ascii="Calibri" w:hAnsi="Calibri"/>
          <w:b w:val="0"/>
          <w:i w:val="0"/>
          <w:color w:val="111827"/>
          <w:sz w:val="22"/>
        </w:rPr>
        <w:t>If the previous decade was about putting individual tools online — an LMS here, a Zoom link there, a Stripe page somewhere else — the next one is about composing them into a single experience that respects the user's time and the local economy. E-Bringgs is built for that shift.</w:t>
      </w:r>
    </w:p>
    <w:p>
      <w:pPr>
        <w:spacing w:after="120" w:line="360" w:lineRule="auto"/>
      </w:pPr>
      <w:r>
        <w:rPr>
          <w:rFonts w:ascii="Calibri" w:hAnsi="Calibri"/>
          <w:b w:val="0"/>
          <w:i w:val="0"/>
          <w:color w:val="111827"/>
          <w:sz w:val="22"/>
        </w:rPr>
      </w:r>
    </w:p>
    <w:p>
      <w:pPr>
        <w:spacing w:after="120" w:line="360" w:lineRule="auto"/>
        <w:jc w:val="center"/>
      </w:pPr>
      <w:r>
        <w:rPr>
          <w:rFonts w:ascii="Calibri" w:hAnsi="Calibri"/>
          <w:b w:val="0"/>
          <w:i/>
          <w:color w:val="4B5563"/>
          <w:sz w:val="22"/>
        </w:rPr>
        <w:t>— End of Document —</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