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3864"/>
          <w:sz w:val="40"/>
          <w:szCs w:val="40"/>
        </w:rPr>
        <w:t xml:space="preserve">33kV Feeder Outage Report — Bauchi Region</w:t>
      </w:r>
    </w:p>
    <w:p>
      <w:pPr>
        <w:spacing w:after="60"/>
      </w:pPr>
      <w:r>
        <w:rPr>
          <w:i/>
          <w:iCs/>
          <w:color w:val="595959"/>
          <w:sz w:val="20"/>
          <w:szCs w:val="20"/>
        </w:rPr>
        <w:t xml:space="preserve">Week 3  |  Reporting Period: 13–19 September 2026  |  Scope: TCN-attributed 33kV feeder interruptions</w:t>
      </w:r>
    </w:p>
    <w:p>
      <w:pPr>
        <w:pBdr>
          <w:top w:val="single" w:color="E0A800" w:sz="6"/>
          <w:bottom w:val="single" w:color="E0A800" w:sz="6"/>
          <w:left w:val="single" w:color="E0A800" w:sz="6"/>
          <w:right w:val="single" w:color="E0A800" w:sz="6"/>
        </w:pBdr>
        <w:shd w:fill="FFF3CD" w:val="clear"/>
        <w:spacing w:after="160" w:before="60"/>
      </w:pPr>
      <w:r>
        <w:rPr>
          <w:b/>
          <w:bCs/>
          <w:color w:val="7A5B00"/>
          <w:sz w:val="18"/>
          <w:szCs w:val="18"/>
        </w:rPr>
        <w:t xml:space="preserve">This report was generated by the TCN Operations Department Outage Report &amp; Analytics Software.</w:t>
      </w:r>
    </w:p>
    <w:p>
      <w:pPr>
        <w:spacing w:after="120"/>
      </w:pPr>
      <w:r>
        <w:rPr>
          <w:sz w:val="20"/>
          <w:szCs w:val="20"/>
        </w:rPr>
        <w:t xml:space="preserve">This report looks at all 33kV feeder outages caused by TCN (Transmission Company of Nigeria) equipment in Bauchi Region from 13 to 19 September 2026 (Week 3). It checks these outages against the TCN/DISCO Fault Attribution Ratio (30:70), which is the split agreed in the Service Level Agreement (SLA).</w:t>
      </w:r>
    </w:p>
    <w:p>
      <w:pPr>
        <w:pBdr>
          <w:top w:val="single" w:color="2E5A9C" w:sz="6"/>
          <w:bottom w:val="single" w:color="2E5A9C" w:sz="6"/>
          <w:left w:val="single" w:color="2E5A9C" w:sz="6"/>
          <w:right w:val="single" w:color="2E5A9C" w:sz="6"/>
        </w:pBdr>
        <w:shd w:fill="DCE6F1" w:val="clear"/>
        <w:spacing w:after="160" w:before="60"/>
      </w:pPr>
      <w:r>
        <w:rPr>
          <w:b/>
          <w:bCs/>
          <w:color w:val="1F3864"/>
          <w:sz w:val="18"/>
          <w:szCs w:val="18"/>
        </w:rPr>
        <w:t xml:space="preserve">Important: this analysis covers only Week 3 (13-19 September), not the full month. If outage durations on the feeders listed below are reduced going forward, TCN's overall default level will improve. These feeders should be monitored closely for the remainder of the month.</w:t>
      </w:r>
    </w:p>
    <w:p>
      <w:pPr>
        <w:spacing w:after="120"/>
      </w:pPr>
      <w:r>
        <w:rPr>
          <w:i/>
          <w:iCs/>
          <w:color w:val="595959"/>
          <w:sz w:val="18"/>
          <w:szCs w:val="18"/>
        </w:rPr>
        <w:t xml:space="preserve">Compared with Week 2: outages went from 16 to 5, and no feeders over allocation in either week.</w:t>
      </w:r>
    </w:p>
    <w:p>
      <w:pPr>
        <w:pStyle w:val="Heading1"/>
        <w:pBdr>
          <w:bottom w:val="single" w:color="1F3864" w:sz="8" w:space="4"/>
        </w:pBdr>
        <w:spacing w:after="150" w:before="300"/>
      </w:pPr>
      <w:r>
        <w:rPr>
          <w:b/>
          <w:bCs/>
          <w:color w:val="1F3864"/>
          <w:sz w:val="28"/>
          <w:szCs w:val="28"/>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Metric</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Value</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Number of Outages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Total Outage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171.00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Outage Hours</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2.85</w:t>
            </w:r>
          </w:p>
        </w:tc>
      </w:tr>
      <w:tr>
        <w:tc>
          <w:tcPr>
            <w:tcW w:type="dxa" w:w="50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Average Duration (minutes)</w:t>
            </w:r>
          </w:p>
        </w:tc>
        <w:tc>
          <w:tcPr>
            <w:tcW w:type="dxa" w:w="436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34.20</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Total Load Loss (MWh)</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5.36</w:t>
            </w:r>
          </w:p>
        </w:tc>
      </w:tr>
    </w:tbl>
    <w:p>
      <w:pPr>
        <w:pStyle w:val="Heading2"/>
        <w:spacing w:after="120" w:before="240"/>
      </w:pPr>
      <w:r>
        <w:rPr>
          <w:b/>
          <w:bCs/>
          <w:color w:val="1F3864"/>
          <w:sz w:val="24"/>
          <w:szCs w:val="24"/>
        </w:rPr>
        <w:t xml:space="preserve">1.1 Outage Cause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gridSpan w:val="1"/>
            <w:shd w:fill="1F3864" w:val="clear"/>
            <w:tcMar>
              <w:top w:type="dxa" w:w="60"/>
              <w:left w:type="dxa" w:w="100"/>
              <w:bottom w:type="dxa" w:w="60"/>
              <w:right w:type="dxa" w:w="100"/>
            </w:tcMar>
            <w:vAlign w:val="center"/>
          </w:tcPr>
          <w:p>
            <w:pPr>
              <w:jc w:val="left"/>
            </w:pPr>
            <w:r>
              <w:rPr>
                <w:b/>
                <w:bCs/>
                <w:color w:val="FFFFFF"/>
                <w:sz w:val="17"/>
                <w:szCs w:val="17"/>
              </w:rPr>
              <w:t xml:space="preserve">Cause</w:t>
            </w:r>
          </w:p>
        </w:tc>
        <w:tc>
          <w:tcPr>
            <w:tcW w:type="dxa" w:w="4360"/>
            <w:gridSpan w:val="1"/>
            <w:shd w:fill="1F3864" w:val="clear"/>
            <w:tcMar>
              <w:top w:type="dxa" w:w="60"/>
              <w:left w:type="dxa" w:w="100"/>
              <w:bottom w:type="dxa" w:w="60"/>
              <w:right w:type="dxa" w:w="100"/>
            </w:tcMar>
            <w:vAlign w:val="center"/>
          </w:tcPr>
          <w:p>
            <w:pPr>
              <w:jc w:val="right"/>
            </w:pPr>
            <w:r>
              <w:rPr>
                <w:b/>
                <w:bCs/>
                <w:color w:val="FFFFFF"/>
                <w:sz w:val="17"/>
                <w:szCs w:val="17"/>
              </w:rPr>
              <w:t xml:space="preserve">Share of Outages (%)</w:t>
            </w:r>
          </w:p>
        </w:tc>
      </w:tr>
      <w:tr>
        <w:tc>
          <w:tcPr>
            <w:tcW w:type="dxa" w:w="50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Forced</w:t>
            </w:r>
          </w:p>
        </w:tc>
        <w:tc>
          <w:tcPr>
            <w:tcW w:type="dxa" w:w="436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100.0%</w:t>
            </w:r>
          </w:p>
        </w:tc>
      </w:tr>
    </w:tbl>
    <w:p>
      <w:pPr>
        <w:spacing w:after="120"/>
      </w:pPr>
      <w:r>
        <w:rPr>
          <w:i/>
          <w:iCs/>
          <w:color w:val="595959"/>
          <w:sz w:val="18"/>
          <w:szCs w:val="18"/>
        </w:rPr>
        <w:t xml:space="preserve">Who is responsible: every outage in this report is caused by TCN equipment (33kV feeders on the transmission side). No DISCO-caused outages are included here.</w:t>
      </w:r>
    </w:p>
    <w:p>
      <w:pPr>
        <w:pStyle w:val="Heading1"/>
        <w:pBdr>
          <w:bottom w:val="single" w:color="1F3864" w:sz="8" w:space="4"/>
        </w:pBdr>
        <w:spacing w:after="150" w:before="300"/>
      </w:pPr>
      <w:r>
        <w:rPr>
          <w:b/>
          <w:bCs/>
          <w:color w:val="1F3864"/>
          <w:sz w:val="28"/>
          <w:szCs w:val="28"/>
        </w:rPr>
        <w:t xml:space="preserve">2. Top Stations by Outage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40"/>
        <w:gridCol w:w="1440"/>
        <w:gridCol w:w="1600"/>
        <w:gridCol w:w="1580"/>
      </w:tblGrid>
      <w:tr>
        <w:trPr>
          <w:tblHeader/>
        </w:trPr>
        <w:tc>
          <w:tcPr>
            <w:tcW w:type="dxa" w:w="2400"/>
            <w:gridSpan w:val="1"/>
            <w:shd w:fill="1F3864" w:val="clear"/>
            <w:tcMar>
              <w:top w:type="dxa" w:w="60"/>
              <w:left w:type="dxa" w:w="100"/>
              <w:bottom w:type="dxa" w:w="60"/>
              <w:right w:type="dxa" w:w="100"/>
            </w:tcMar>
            <w:vAlign w:val="center"/>
          </w:tcPr>
          <w:p>
            <w:pPr>
              <w:jc w:val="left"/>
            </w:pPr>
            <w:r>
              <w:rPr>
                <w:b/>
                <w:bCs/>
                <w:color w:val="FFFFFF"/>
                <w:sz w:val="17"/>
                <w:szCs w:val="17"/>
              </w:rPr>
              <w:t xml:space="preserve">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Min</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Min</w:t>
            </w:r>
          </w:p>
        </w:tc>
        <w:tc>
          <w:tcPr>
            <w:tcW w:type="dxa" w:w="160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Load Loss (MWh)</w:t>
            </w:r>
          </w:p>
        </w:tc>
      </w:tr>
      <w:tr>
        <w:tc>
          <w:tcPr>
            <w:tcW w:type="dxa" w:w="24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Maiduguri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105.00</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35.00</w:t>
            </w:r>
          </w:p>
        </w:tc>
        <w:tc>
          <w:tcPr>
            <w:tcW w:type="dxa" w:w="16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4.26</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1.42</w:t>
            </w:r>
          </w:p>
        </w:tc>
      </w:tr>
      <w:tr>
        <w:tc>
          <w:tcPr>
            <w:tcW w:type="dxa" w:w="24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Molai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2</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66.00</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33.00</w:t>
            </w:r>
          </w:p>
        </w:tc>
        <w:tc>
          <w:tcPr>
            <w:tcW w:type="dxa" w:w="16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1.10</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0.55</w:t>
            </w:r>
          </w:p>
        </w:tc>
      </w:tr>
    </w:tbl>
    <w:p>
      <w:pPr>
        <w:pStyle w:val="Heading1"/>
        <w:pBdr>
          <w:bottom w:val="single" w:color="1F3864" w:sz="8" w:space="4"/>
        </w:pBdr>
        <w:spacing w:after="150" w:before="300"/>
      </w:pPr>
      <w:r>
        <w:rPr>
          <w:b/>
          <w:bCs/>
          <w:color w:val="1F3864"/>
          <w:sz w:val="28"/>
          <w:szCs w:val="28"/>
        </w:rPr>
        <w:t xml:space="preserve">3. Top Feeders by Outage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1440"/>
        <w:gridCol w:w="1140"/>
        <w:gridCol w:w="1580"/>
      </w:tblGrid>
      <w:tr>
        <w:trPr>
          <w:tblHeader/>
        </w:trPr>
        <w:tc>
          <w:tcPr>
            <w:tcW w:type="dxa" w:w="3300"/>
            <w:gridSpan w:val="1"/>
            <w:shd w:fill="1F3864" w:val="clear"/>
            <w:tcMar>
              <w:top w:type="dxa" w:w="60"/>
              <w:left w:type="dxa" w:w="100"/>
              <w:bottom w:type="dxa" w:w="60"/>
              <w:right w:type="dxa" w:w="100"/>
            </w:tcMar>
            <w:vAlign w:val="center"/>
          </w:tcPr>
          <w:p>
            <w:pPr>
              <w:jc w:val="left"/>
            </w:pPr>
            <w:r>
              <w:rPr>
                <w:b/>
                <w:bCs/>
                <w:color w:val="FFFFFF"/>
                <w:sz w:val="17"/>
                <w:szCs w:val="17"/>
              </w:rPr>
              <w:t xml:space="preserve">Feeder (Station)</w:t>
            </w:r>
          </w:p>
        </w:tc>
        <w:tc>
          <w:tcPr>
            <w:tcW w:type="dxa" w:w="900"/>
            <w:gridSpan w:val="1"/>
            <w:shd w:fill="1F3864" w:val="clear"/>
            <w:tcMar>
              <w:top w:type="dxa" w:w="60"/>
              <w:left w:type="dxa" w:w="100"/>
              <w:bottom w:type="dxa" w:w="60"/>
              <w:right w:type="dxa" w:w="100"/>
            </w:tcMar>
            <w:vAlign w:val="center"/>
          </w:tcPr>
          <w:p>
            <w:pPr>
              <w:jc w:val="right"/>
            </w:pPr>
            <w:r>
              <w:rPr>
                <w:b/>
                <w:bCs/>
                <w:color w:val="FFFFFF"/>
                <w:sz w:val="17"/>
                <w:szCs w:val="17"/>
              </w:rPr>
              <w:t xml:space="preserve">Outages</w:t>
            </w:r>
          </w:p>
        </w:tc>
        <w:tc>
          <w:tcPr>
            <w:tcW w:type="dxa" w:w="144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Hrs</w:t>
            </w:r>
          </w:p>
        </w:tc>
        <w:tc>
          <w:tcPr>
            <w:tcW w:type="dxa" w:w="1140"/>
            <w:gridSpan w:val="1"/>
            <w:shd w:fill="1F3864" w:val="clear"/>
            <w:tcMar>
              <w:top w:type="dxa" w:w="60"/>
              <w:left w:type="dxa" w:w="100"/>
              <w:bottom w:type="dxa" w:w="60"/>
              <w:right w:type="dxa" w:w="100"/>
            </w:tcMar>
            <w:vAlign w:val="center"/>
          </w:tcPr>
          <w:p>
            <w:pPr>
              <w:jc w:val="right"/>
            </w:pPr>
            <w:r>
              <w:rPr>
                <w:b/>
                <w:bCs/>
                <w:color w:val="FFFFFF"/>
                <w:sz w:val="17"/>
                <w:szCs w:val="17"/>
              </w:rPr>
              <w:t xml:space="preserve">Avg Hrs</w:t>
            </w:r>
          </w:p>
        </w:tc>
        <w:tc>
          <w:tcPr>
            <w:tcW w:type="dxa" w:w="1580"/>
            <w:gridSpan w:val="1"/>
            <w:shd w:fill="1F3864" w:val="clear"/>
            <w:tcMar>
              <w:top w:type="dxa" w:w="60"/>
              <w:left w:type="dxa" w:w="100"/>
              <w:bottom w:type="dxa" w:w="60"/>
              <w:right w:type="dxa" w:w="100"/>
            </w:tcMar>
            <w:vAlign w:val="center"/>
          </w:tcPr>
          <w:p>
            <w:pPr>
              <w:jc w:val="right"/>
            </w:pPr>
            <w:r>
              <w:rPr>
                <w:b/>
                <w:bCs/>
                <w:color w:val="FFFFFF"/>
                <w:sz w:val="17"/>
                <w:szCs w:val="17"/>
              </w:rPr>
              <w:t xml:space="preserve">Total Load Loss (MWh)</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NTA (Molai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7</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9.47</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1.35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47.82</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MONGUNO (Maiduguri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0.58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0.58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0.00</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MAIDUGURI TOWN (Maiduguri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0.58</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0.58</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2.27</w:t>
            </w:r>
          </w:p>
        </w:tc>
      </w:tr>
      <w:tr>
        <w:tc>
          <w:tcPr>
            <w:tcW w:type="dxa" w:w="3300"/>
            <w:gridSpan w:val="1"/>
            <w:shd w:fill="F2F2F2" w:val="clear"/>
            <w:tcMar>
              <w:top w:type="dxa" w:w="60"/>
              <w:left w:type="dxa" w:w="100"/>
              <w:bottom w:type="dxa" w:w="60"/>
              <w:right w:type="dxa" w:w="100"/>
            </w:tcMar>
            <w:vAlign w:val="center"/>
          </w:tcPr>
          <w:p>
            <w:pPr>
              <w:jc w:val="left"/>
            </w:pPr>
            <w:r>
              <w:rPr>
                <w:b w:val="false"/>
                <w:bCs w:val="false"/>
                <w:color w:val="000000"/>
                <w:sz w:val="18"/>
                <w:szCs w:val="18"/>
              </w:rPr>
              <w:t xml:space="preserve">DAMASAK (Maiduguri 132kV)</w:t>
            </w:r>
          </w:p>
        </w:tc>
        <w:tc>
          <w:tcPr>
            <w:tcW w:type="dxa" w:w="90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0.58</w:t>
            </w:r>
          </w:p>
        </w:tc>
        <w:tc>
          <w:tcPr>
            <w:tcW w:type="dxa" w:w="114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0.58</w:t>
            </w:r>
          </w:p>
        </w:tc>
        <w:tc>
          <w:tcPr>
            <w:tcW w:type="dxa" w:w="1580"/>
            <w:gridSpan w:val="1"/>
            <w:shd w:fill="F2F2F2" w:val="clear"/>
            <w:tcMar>
              <w:top w:type="dxa" w:w="60"/>
              <w:left w:type="dxa" w:w="100"/>
              <w:bottom w:type="dxa" w:w="60"/>
              <w:right w:type="dxa" w:w="100"/>
            </w:tcMar>
            <w:vAlign w:val="center"/>
          </w:tcPr>
          <w:p>
            <w:pPr>
              <w:jc w:val="right"/>
            </w:pPr>
            <w:r>
              <w:rPr>
                <w:b w:val="false"/>
                <w:bCs w:val="false"/>
                <w:color w:val="000000"/>
                <w:sz w:val="18"/>
                <w:szCs w:val="18"/>
              </w:rPr>
              <w:t xml:space="preserve">1.98</w:t>
            </w:r>
          </w:p>
        </w:tc>
      </w:tr>
      <w:tr>
        <w:tc>
          <w:tcPr>
            <w:tcW w:type="dxa" w:w="3300"/>
            <w:gridSpan w:val="1"/>
            <w:shd w:fill="FFFFFF" w:val="clear"/>
            <w:tcMar>
              <w:top w:type="dxa" w:w="60"/>
              <w:left w:type="dxa" w:w="100"/>
              <w:bottom w:type="dxa" w:w="60"/>
              <w:right w:type="dxa" w:w="100"/>
            </w:tcMar>
            <w:vAlign w:val="center"/>
          </w:tcPr>
          <w:p>
            <w:pPr>
              <w:jc w:val="left"/>
            </w:pPr>
            <w:r>
              <w:rPr>
                <w:b w:val="false"/>
                <w:bCs w:val="false"/>
                <w:color w:val="000000"/>
                <w:sz w:val="18"/>
                <w:szCs w:val="18"/>
              </w:rPr>
              <w:t xml:space="preserve">GOMBOLE (Molai 132kV)</w:t>
            </w:r>
          </w:p>
        </w:tc>
        <w:tc>
          <w:tcPr>
            <w:tcW w:type="dxa" w:w="90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1</w:t>
            </w:r>
          </w:p>
        </w:tc>
        <w:tc>
          <w:tcPr>
            <w:tcW w:type="dxa" w:w="14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0.55</w:t>
            </w:r>
          </w:p>
        </w:tc>
        <w:tc>
          <w:tcPr>
            <w:tcW w:type="dxa" w:w="114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0.55</w:t>
            </w:r>
          </w:p>
        </w:tc>
        <w:tc>
          <w:tcPr>
            <w:tcW w:type="dxa" w:w="1580"/>
            <w:gridSpan w:val="1"/>
            <w:shd w:fill="FFFFFF" w:val="clear"/>
            <w:tcMar>
              <w:top w:type="dxa" w:w="60"/>
              <w:left w:type="dxa" w:w="100"/>
              <w:bottom w:type="dxa" w:w="60"/>
              <w:right w:type="dxa" w:w="100"/>
            </w:tcMar>
            <w:vAlign w:val="center"/>
          </w:tcPr>
          <w:p>
            <w:pPr>
              <w:jc w:val="right"/>
            </w:pPr>
            <w:r>
              <w:rPr>
                <w:b w:val="false"/>
                <w:bCs w:val="false"/>
                <w:color w:val="000000"/>
                <w:sz w:val="18"/>
                <w:szCs w:val="18"/>
              </w:rPr>
              <w:t xml:space="preserve">0.60</w:t>
            </w:r>
          </w:p>
        </w:tc>
      </w:tr>
    </w:tbl>
    <w:p>
      <w:pPr>
        <w:pStyle w:val="Heading1"/>
        <w:pBdr>
          <w:bottom w:val="single" w:color="1F3864" w:sz="8" w:space="4"/>
        </w:pBdr>
        <w:spacing w:after="150" w:before="300"/>
      </w:pPr>
      <w:r>
        <w:rPr>
          <w:b/>
          <w:bCs/>
          <w:color w:val="1F3864"/>
          <w:sz w:val="28"/>
          <w:szCs w:val="28"/>
        </w:rPr>
        <w:t xml:space="preserve">4. SLA Compliance — Allowable Outage Hours by Band</w:t>
      </w:r>
    </w:p>
    <w:p>
      <w:pPr>
        <w:spacing w:after="120"/>
      </w:pPr>
      <w:r>
        <w:rPr>
          <w:color w:val="595959"/>
          <w:sz w:val="18"/>
          <w:szCs w:val="18"/>
        </w:rPr>
        <w:t xml:space="preserve">Every DISCO band (A, B, C, D) has a set number of hours TCN is allowed to be down; where a station has no recorded DISCO/band, a default of 4 hours/day is assumed. The table below lists feeders where TCN's total outage hours went over that limit, shown as a negative number in the last column.</w:t>
      </w:r>
    </w:p>
    <w:p>
      <w:pPr>
        <w:spacing w:after="120"/>
      </w:pPr>
      <w:r>
        <w:rPr>
          <w:i/>
          <w:iCs/>
          <w:sz w:val="20"/>
          <w:szCs w:val="20"/>
        </w:rPr>
        <w:t xml:space="preserve">No feeder in this region went over its band limit during the reporting period.</w:t>
      </w:r>
    </w:p>
    <w:p>
      <w:pPr>
        <w:pStyle w:val="Heading1"/>
        <w:pBdr>
          <w:bottom w:val="single" w:color="1F3864" w:sz="8" w:space="4"/>
        </w:pBdr>
        <w:spacing w:after="150" w:before="300"/>
      </w:pPr>
      <w:r>
        <w:rPr>
          <w:b/>
          <w:bCs/>
          <w:color w:val="1F3864"/>
          <w:sz w:val="28"/>
          <w:szCs w:val="28"/>
        </w:rPr>
        <w:t xml:space="preserve">5. TCN Outage-Hour Allocation Exceedance &amp; Estimated Cost</w:t>
      </w:r>
    </w:p>
    <w:p>
      <w:pPr>
        <w:spacing w:after="120"/>
      </w:pPr>
      <w:r>
        <w:rPr>
          <w:color w:val="595959"/>
          <w:sz w:val="18"/>
          <w:szCs w:val="18"/>
        </w:rPr>
        <w:t xml:space="preserve">This week, the outage-hour allocation is the same band-based figure used in Section 4 (or the 4 hours/day default where no band is recorded) — so a feeder listed in Section 4 will show up here too, with the same shortfall now expressed as excess hours and cost. The cost below only counts the hours a feeder was down after its allocation ran out, using the actual load recorded during those extra hours.</w:t>
      </w:r>
    </w:p>
    <w:p>
      <w:pPr>
        <w:spacing w:after="120"/>
      </w:pPr>
      <w:r>
        <w:rPr>
          <w:i/>
          <w:iCs/>
          <w:sz w:val="20"/>
          <w:szCs w:val="20"/>
        </w:rPr>
        <w:t xml:space="preserve">No feeder in Bauchi Region went over TCN's outage-hour allocation this week. Estimated cost: ₦0.00.</w:t>
      </w:r>
    </w:p>
    <w:p>
      <w:pPr>
        <w:spacing w:before="300"/>
      </w:pPr>
    </w:p>
    <w:p>
      <w:pPr>
        <w:pStyle w:val="Heading1"/>
        <w:pBdr>
          <w:bottom w:val="single" w:color="1F3864" w:sz="8" w:space="4"/>
        </w:pBdr>
        <w:spacing w:after="150" w:before="300"/>
      </w:pPr>
      <w:r>
        <w:rPr>
          <w:b/>
          <w:bCs/>
          <w:color w:val="1F3864"/>
          <w:sz w:val="28"/>
          <w:szCs w:val="28"/>
        </w:rPr>
        <w:t xml:space="preserve">6. Approval</w:t>
      </w:r>
    </w:p>
    <w:p>
      <w:pPr>
        <w:spacing w:after="120"/>
      </w:pPr>
      <w:r>
        <w:rPr>
          <w:sz w:val="20"/>
          <w:szCs w:val="20"/>
        </w:rPr>
        <w:t xml:space="preserve">This report was reviewed and is hereby submitted for Management's consideration.</w:t>
      </w:r>
    </w:p>
    <w:p>
      <w:pPr>
        <w:spacing w:after="20" w:before="500"/>
      </w:pPr>
      <w:r>
        <w:rPr>
          <w:sz w:val="20"/>
          <w:szCs w:val="20"/>
        </w:rPr>
        <w:t xml:space="preserve">_______________________________</w:t>
      </w:r>
    </w:p>
    <w:p>
      <w:pPr>
        <w:spacing w:after="20"/>
      </w:pPr>
      <w:r>
        <w:rPr>
          <w:b/>
          <w:bCs/>
          <w:sz w:val="20"/>
          <w:szCs w:val="20"/>
        </w:rPr>
        <w:t xml:space="preserve">Engr. G. A. Aguiyi</w:t>
      </w:r>
    </w:p>
    <w:p>
      <w:pPr>
        <w:spacing w:after="20"/>
      </w:pPr>
      <w:r>
        <w:rPr>
          <w:sz w:val="20"/>
          <w:szCs w:val="20"/>
        </w:rPr>
        <w:t xml:space="preserve">General Manager (Operations)</w:t>
      </w:r>
    </w:p>
    <w:p>
      <w:r>
        <w:rPr>
          <w:color w:val="595959"/>
          <w:sz w:val="20"/>
          <w:szCs w:val="20"/>
        </w:rPr>
        <w:t xml:space="preserve">Transmission Company of Nigeria</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2026-09-23T09:40:16.452Z</dcterms:created>
  <dcterms:modified xsi:type="dcterms:W3CDTF">2026-09-23T09:40:16.452Z</dcterms:modified>
</cp:coreProperties>
</file>

<file path=docProps/custom.xml><?xml version="1.0" encoding="utf-8"?>
<Properties xmlns="http://schemas.openxmlformats.org/officeDocument/2006/custom-properties" xmlns:vt="http://schemas.openxmlformats.org/officeDocument/2006/docPropsVTypes"/>
</file>