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Enugu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Enugu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120 to 92, and estimated cost exposure this week is up from ₦335,110,953.33 in Week 2 to ₦353,743,448.00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92</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24,453.00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407.55</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265.79</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2,281.64</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66.2%</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22,770.00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484.47</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2,127.80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45.27</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Abakaliki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600.00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200.00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75.33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25.11</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GCM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377.00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75.40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30.14</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6.03</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Agu Awka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343.00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24.50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28.19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2.01</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Oji River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0.34</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New-Haven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10.59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1.32</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UNN Nsukka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73.00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14.60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6.23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1.25</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OSSAMALA (Onitsha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11.08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345.16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OBOSI (Onitsha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48.90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6.99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315.56</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ARMY BARRACKS (Onitsha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46.70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6.67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215.69</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CANTONMENT (Onitsha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43.80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7.30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227.27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AWADA II (Onitsha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42.88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7.15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228.57</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UMUNYA (Onitsha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41.18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6.86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197.42</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NNEWI INDUSTRIAL (Onitsha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40.62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10.15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343.73</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NNEWI (Onitsha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30.83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15.42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247.87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AIRPORT (Agu Awka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14.93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76.01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T3 15MVA (Abakaliki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7.63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44.32</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OSSAMALA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-69.15</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OBOSI</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48.90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-40.50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ARMY BARRACKS</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46.70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-38.30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CANTONMENT</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43.80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-35.40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AWADA II</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42.88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-34.48</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UMUNYA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41.18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-32.78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NNEWI INDUSTRIAL</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40.62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-32.22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NNEWI</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30.83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-22.43</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8</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305.3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1,713.05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₦353,743,448.00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OSSAMALA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69.15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311.56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₦64,336,452.00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NNEWI INDUSTRIAL</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40.62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32.22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272.33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₦56,236,489.00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OBOSI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48.90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40.50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261.80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₦54,062,044.00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CANTONMENT</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35.40</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186.95</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₦38,605,175.00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NNEWI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30.83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22.43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184.87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₦38,175,655.00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AWADA II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42.88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34.48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176.51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₦36,448,971.00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ARMY BARRACKS</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46.70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38.30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161.93</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₦33,437,512.00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UMUNYA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41.18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32.78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157.10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₦32,441,150.00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pStyle w:val="Heading1"/>
        <w:pBdr>
          <w:bottom w:val="single" w:color="1F3864" w:sz="8" w:space="4"/>
        </w:pBdr>
        <w:spacing w:after="150" w:before="300"/>
      </w:pPr>
      <w:r>
        <w:rPr>
          <w:b/>
          <w:bCs/>
          <w:color w:val="1F3864"/>
          <w:sz w:val="28"/>
          <w:szCs w:val="28"/>
        </w:rPr>
        <w:t xml:space="preserve">6. Root Cause Notes</w:t>
      </w:r>
    </w:p>
    <w:p>
      <w:pPr>
        <w:spacing w:after="120"/>
      </w:pPr>
      <w:r>
        <w:rPr>
          <w:color w:val="595959"/>
          <w:sz w:val="18"/>
          <w:szCs w:val="18"/>
        </w:rPr>
        <w:t xml:space="preserve">These notes come from a feeder-by-feeder review of the underlying interruption log for 13-19 September 2026, so the actual cause behind each outage can be addressed directly.</w:t>
      </w:r>
    </w:p>
    <w:p>
      <w:pPr>
        <w:pStyle w:val="ListParagraph"/>
        <w:numPr>
          <w:ilvl w:val="0"/>
          <w:numId w:val="1"/>
        </w:numPr>
        <w:spacing w:after="60"/>
      </w:pPr>
      <w:r>
        <w:rPr>
          <w:sz w:val="20"/>
          <w:szCs w:val="20"/>
        </w:rPr>
        <w:t xml:space="preserve">There is active work underway on the Onitsha 132kV transformer limitation: on 12 September, TCN's LMD crew opened the mobile transformer's (3NSHTR5) secondary breaker specifically to separate its bus sections from 3NSHTR3 (TR13) and transfer load back onto TR13. This is a genuine remediation step, not just a workaround, though the feeders affected during the changeover still count as outages this week.</w:t>
      </w:r>
    </w:p>
    <w:p>
      <w:pPr>
        <w:pStyle w:val="ListParagraph"/>
        <w:numPr>
          <w:ilvl w:val="0"/>
          <w:numId w:val="1"/>
        </w:numPr>
        <w:spacing w:after="60"/>
      </w:pPr>
      <w:r>
        <w:rPr>
          <w:sz w:val="20"/>
          <w:szCs w:val="20"/>
        </w:rPr>
        <w:t xml:space="preserve">Separately, a large share of Enugu's outages this week are planned, not faults: TCN is running a multi-station commissioning programme for a SERGI fire-protection system on a 330kV transformer at New Haven, which required brief, deliberate outages at New Haven, UNN Nsukka (UNN, ORBA, SUMAS feeders) and other stations. This inflates the region's Planned share (66%) but is scheduled work, not a reliability problem.</w:t>
      </w:r>
    </w:p>
    <w:p>
      <w:pPr>
        <w:spacing w:before="300"/>
      </w:pPr>
    </w:p>
    <w:p>
      <w:pPr>
        <w:pStyle w:val="Heading1"/>
        <w:pBdr>
          <w:bottom w:val="single" w:color="1F3864" w:sz="8" w:space="4"/>
        </w:pBdr>
        <w:spacing w:after="150" w:before="300"/>
      </w:pPr>
      <w:r>
        <w:rPr>
          <w:b/>
          <w:bCs/>
          <w:color w:val="1F3864"/>
          <w:sz w:val="28"/>
          <w:szCs w:val="28"/>
        </w:rPr>
        <w:t xml:space="preserve">7.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2026-09-23T09:40:16.611Z</dcterms:created>
  <dcterms:modified xsi:type="dcterms:W3CDTF">2026-09-23T09:40:16.611Z</dcterms:modified>
</cp:coreProperties>
</file>

<file path=docProps/custom.xml><?xml version="1.0" encoding="utf-8"?>
<Properties xmlns="http://schemas.openxmlformats.org/officeDocument/2006/custom-properties" xmlns:vt="http://schemas.openxmlformats.org/officeDocument/2006/docPropsVTypes"/>
</file>