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TCN Network Outage &amp; SLA Exceedance Report</w:t>
      </w:r>
    </w:p>
    <w:p>
      <w:pPr>
        <w:spacing w:after="60"/>
      </w:pPr>
      <w:r>
        <w:rPr>
          <w:i/>
          <w:iCs/>
          <w:color w:val="595959"/>
          <w:sz w:val="20"/>
          <w:szCs w:val="20"/>
        </w:rPr>
        <w:t xml:space="preserve">Management Summary — Week 3  |  Reporting Period: 13–19 September 2026  |  All Regions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brings together 33kV feeder outage data from all ten TCN regions for 13–19 September 2026 (Week 3). It shows how much of TCN's outage-hour allocation has been used up, based on the TCN/DISCO Fault Attribution Ratio (30:70) agreed in the Service Level Agreement (SLA). It covers how much outage activity happened in each region, which feeders and stations have gone over TCN's allowed downtime, how this week compares with Weeks 1 and 2, and what the true combined picture looks like across all three weeks.</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the losses of individual weeks cannot be straight-line summed to get the month-to-date total. A feeder's outage-hour allocation builds up over the full period, so a feeder's improved performance in one week can offset its excess in another week. Simply adding Week 1, Week 2 and Week 3 exceedance figures together overstates the real exposure — see Section 6 (Aggregate Performance) for the correct combined figures. Remember: individual weekly figures do not add up in a straight line. The true combined exposure for 1-19 September is ₦1,135,339,495.47, not the ₦2,041,906,058.34 you get from simply adding the three weeks together. Use Section 6 for the accurate month-to-date picture, and keep monitoring the feeders named above strictly for the rest of the month.</w:t>
      </w:r>
    </w:p>
    <w:p>
      <w:pPr>
        <w:pStyle w:val="Heading2"/>
        <w:spacing w:after="120" w:before="240"/>
      </w:pPr>
      <w:r>
        <w:rPr>
          <w:b/>
          <w:bCs/>
          <w:color w:val="1F3864"/>
          <w:sz w:val="24"/>
          <w:szCs w:val="24"/>
        </w:rPr>
        <w:t xml:space="preserve">Network-Wide Outage Cause Distribution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28.7%</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16.3%</w:t>
            </w:r>
          </w:p>
        </w:tc>
      </w:tr>
    </w:tbl>
    <w:p>
      <w:pPr>
        <w:spacing w:after="120"/>
      </w:pPr>
      <w:r>
        <w:rPr>
          <w:i/>
          <w:iCs/>
          <w:color w:val="808080"/>
          <w:sz w:val="16"/>
          <w:szCs w:val="16"/>
        </w:rPr>
        <w:t xml:space="preserve">132kV line trips remain the single biggest cause of downtime and lost load network-wide this week, consistent with Weeks 1 and 2 — the difference this week is that several of the largest line-trip and transformer events are now traced to specific, named equipment (see Section 7).</w:t>
      </w:r>
    </w:p>
    <w:p>
      <w:pPr>
        <w:pStyle w:val="Heading1"/>
        <w:pBdr>
          <w:bottom w:val="single" w:color="1F3864" w:sz="8" w:space="4"/>
        </w:pBdr>
        <w:spacing w:after="150" w:before="300"/>
      </w:pPr>
      <w:r>
        <w:rPr>
          <w:b/>
          <w:bCs/>
          <w:color w:val="1F3864"/>
          <w:sz w:val="28"/>
          <w:szCs w:val="28"/>
        </w:rPr>
        <w:t xml:space="preserve">1. Network-Wide Key Performance Indicators (Week 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OUTAGES</w:t>
            </w:r>
          </w:p>
          <w:p>
            <w:r>
              <w:rPr>
                <w:b/>
                <w:bCs/>
                <w:color w:val="1F3864"/>
                <w:sz w:val="28"/>
                <w:szCs w:val="28"/>
              </w:rPr>
              <w:t xml:space="preserve">1,168</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OUTAGE HOURS</w:t>
            </w:r>
          </w:p>
          <w:p>
            <w:r>
              <w:rPr>
                <w:b/>
                <w:bCs/>
                <w:color w:val="1F3864"/>
                <w:sz w:val="28"/>
                <w:szCs w:val="28"/>
              </w:rPr>
              <w:t xml:space="preserve">3,941.6</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LOAD LOSS</w:t>
            </w:r>
          </w:p>
          <w:p>
            <w:r>
              <w:rPr>
                <w:b/>
                <w:bCs/>
                <w:color w:val="1F3864"/>
                <w:sz w:val="28"/>
                <w:szCs w:val="28"/>
              </w:rPr>
              <w:t xml:space="preserve">19,223.74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REGIONS REPORTING</w:t>
            </w:r>
          </w:p>
          <w:p>
            <w:r>
              <w:rPr>
                <w:b/>
                <w:bCs/>
                <w:color w:val="1F3864"/>
                <w:sz w:val="28"/>
                <w:szCs w:val="28"/>
              </w:rPr>
              <w:t xml:space="preserve">10</w:t>
            </w:r>
          </w:p>
        </w:tc>
      </w:tr>
    </w:tbl>
    <w:p>
      <w:pPr>
        <w:spacing w:after="200"/>
      </w:pPr>
    </w:p>
    <w:p>
      <w:pPr>
        <w:pStyle w:val="Heading2"/>
        <w:spacing w:after="120" w:before="240"/>
      </w:pPr>
      <w:r>
        <w:rPr>
          <w:b/>
          <w:bCs/>
          <w:color w:val="1F3864"/>
          <w:sz w:val="24"/>
          <w:szCs w:val="24"/>
        </w:rPr>
        <w:t xml:space="preserve">1.1 TCN Outage-Hour Allocation Exceedance (30% Fault Attribution Ratio)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86</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1,647.7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7,214.20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TOTAL COST EXPOSURE</w:t>
            </w:r>
          </w:p>
          <w:p>
            <w:r>
              <w:rPr>
                <w:b/>
                <w:bCs/>
                <w:color w:val="C0392B"/>
                <w:sz w:val="28"/>
                <w:szCs w:val="28"/>
              </w:rPr>
              <w:t xml:space="preserve">₦1,212,731,705.93</w:t>
            </w:r>
          </w:p>
        </w:tc>
      </w:tr>
    </w:tbl>
    <w:p>
      <w:pPr>
        <w:spacing w:after="150"/>
      </w:pPr>
    </w:p>
    <w:p>
      <w:pPr>
        <w:spacing w:after="120"/>
      </w:pPr>
      <w:r>
        <w:rPr>
          <w:i/>
          <w:iCs/>
          <w:color w:val="595959"/>
          <w:sz w:val="18"/>
          <w:szCs w:val="18"/>
        </w:rPr>
        <w:t xml:space="preserve">How this is worked out: each feeder's allowable outage duration for the week is based on its DISCO band (or a 4 hours/day default where no band is recorded). Cost is estimated from each outage event's own recorded load, counting only the hours in excess of the allocation.</w:t>
      </w:r>
    </w:p>
    <w:p>
      <w:pPr>
        <w:pStyle w:val="Heading1"/>
        <w:pBdr>
          <w:bottom w:val="single" w:color="1F3864" w:sz="8" w:space="4"/>
        </w:pBdr>
        <w:spacing w:after="150" w:before="300"/>
      </w:pPr>
      <w:r>
        <w:rPr>
          <w:b/>
          <w:bCs/>
          <w:color w:val="1F3864"/>
          <w:sz w:val="28"/>
          <w:szCs w:val="28"/>
        </w:rPr>
        <w:t xml:space="preserve">2. Region-by-Region Outage Summary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400"/>
        <w:gridCol w:w="1700"/>
        <w:gridCol w:w="1760"/>
      </w:tblGrid>
      <w:tr>
        <w:trPr>
          <w:tblHeader/>
        </w:trPr>
        <w:tc>
          <w:tcPr>
            <w:tcW w:type="dxa" w:w="2100"/>
            <w:gridSpan w:val="1"/>
            <w:shd w:fill="1F3864" w:val="clear"/>
            <w:tcMar>
              <w:top w:type="dxa" w:w="60"/>
              <w:left w:type="dxa" w:w="100"/>
              <w:bottom w:type="dxa" w:w="60"/>
              <w:right w:type="dxa" w:w="100"/>
            </w:tcMar>
            <w:vAlign w:val="center"/>
          </w:tcPr>
          <w:p>
            <w:pPr>
              <w:jc w:val="left"/>
            </w:pPr>
            <w:r>
              <w:rPr>
                <w:b/>
                <w:bCs/>
                <w:color w:val="FFFFFF"/>
                <w:sz w:val="17"/>
                <w:szCs w:val="17"/>
              </w:rPr>
              <w:t xml:space="preserve">Region</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7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Duration (min)</w:t>
            </w:r>
          </w:p>
        </w:tc>
        <w:tc>
          <w:tcPr>
            <w:tcW w:type="dxa" w:w="1760"/>
            <w:gridSpan w:val="1"/>
            <w:shd w:fill="1F3864" w:val="clear"/>
            <w:tcMar>
              <w:top w:type="dxa" w:w="60"/>
              <w:left w:type="dxa" w:w="100"/>
              <w:bottom w:type="dxa" w:w="60"/>
              <w:right w:type="dxa" w:w="100"/>
            </w:tcMar>
            <w:vAlign w:val="center"/>
          </w:tcPr>
          <w:p>
            <w:pPr>
              <w:jc w:val="right"/>
            </w:pPr>
            <w:r>
              <w:rPr>
                <w:b/>
                <w:bCs/>
                <w:color w:val="FFFFFF"/>
                <w:sz w:val="17"/>
                <w:szCs w:val="17"/>
              </w:rPr>
              <w:t xml:space="preserve">Load Loss (MWh)</w:t>
            </w:r>
          </w:p>
        </w:tc>
      </w:tr>
      <w:tr>
        <w:tc>
          <w:tcPr>
            <w:tcW w:type="dxa" w:w="21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Abuja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248.77</w:t>
            </w:r>
          </w:p>
        </w:tc>
        <w:tc>
          <w:tcPr>
            <w:tcW w:type="dxa" w:w="17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271.38</w:t>
            </w:r>
          </w:p>
        </w:tc>
        <w:tc>
          <w:tcPr>
            <w:tcW w:type="dxa" w:w="17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1,551.23</w:t>
            </w:r>
          </w:p>
        </w:tc>
      </w:tr>
      <w:tr>
        <w:tc>
          <w:tcPr>
            <w:tcW w:type="dxa" w:w="21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Bauchi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2.85</w:t>
            </w:r>
          </w:p>
        </w:tc>
        <w:tc>
          <w:tcPr>
            <w:tcW w:type="dxa" w:w="17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34.20</w:t>
            </w:r>
          </w:p>
        </w:tc>
        <w:tc>
          <w:tcPr>
            <w:tcW w:type="dxa" w:w="17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5.36</w:t>
            </w:r>
          </w:p>
        </w:tc>
      </w:tr>
      <w:tr>
        <w:tc>
          <w:tcPr>
            <w:tcW w:type="dxa" w:w="21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Benin</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165.00</w:t>
            </w:r>
          </w:p>
        </w:tc>
        <w:tc>
          <w:tcPr>
            <w:tcW w:type="dxa" w:w="17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521.05</w:t>
            </w:r>
          </w:p>
        </w:tc>
        <w:tc>
          <w:tcPr>
            <w:tcW w:type="dxa" w:w="17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817.35</w:t>
            </w:r>
          </w:p>
        </w:tc>
      </w:tr>
      <w:tr>
        <w:tc>
          <w:tcPr>
            <w:tcW w:type="dxa" w:w="21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92</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407.55</w:t>
            </w:r>
          </w:p>
        </w:tc>
        <w:tc>
          <w:tcPr>
            <w:tcW w:type="dxa" w:w="17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265.79</w:t>
            </w:r>
          </w:p>
        </w:tc>
        <w:tc>
          <w:tcPr>
            <w:tcW w:type="dxa" w:w="17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2,281.64</w:t>
            </w:r>
          </w:p>
        </w:tc>
      </w:tr>
      <w:tr>
        <w:tc>
          <w:tcPr>
            <w:tcW w:type="dxa" w:w="21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Kaduna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49</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67.25</w:t>
            </w:r>
          </w:p>
        </w:tc>
        <w:tc>
          <w:tcPr>
            <w:tcW w:type="dxa" w:w="17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82.35</w:t>
            </w:r>
          </w:p>
        </w:tc>
        <w:tc>
          <w:tcPr>
            <w:tcW w:type="dxa" w:w="17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249.87</w:t>
            </w:r>
          </w:p>
        </w:tc>
      </w:tr>
      <w:tr>
        <w:tc>
          <w:tcPr>
            <w:tcW w:type="dxa" w:w="21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Kano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55.90</w:t>
            </w:r>
          </w:p>
        </w:tc>
        <w:tc>
          <w:tcPr>
            <w:tcW w:type="dxa" w:w="17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139.75</w:t>
            </w:r>
          </w:p>
        </w:tc>
        <w:tc>
          <w:tcPr>
            <w:tcW w:type="dxa" w:w="17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83.46</w:t>
            </w:r>
          </w:p>
        </w:tc>
      </w:tr>
      <w:tr>
        <w:tc>
          <w:tcPr>
            <w:tcW w:type="dxa" w:w="21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548</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1,486.73</w:t>
            </w:r>
          </w:p>
        </w:tc>
        <w:tc>
          <w:tcPr>
            <w:tcW w:type="dxa" w:w="17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162.78</w:t>
            </w:r>
          </w:p>
        </w:tc>
        <w:tc>
          <w:tcPr>
            <w:tcW w:type="dxa" w:w="17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9,131.08</w:t>
            </w:r>
          </w:p>
        </w:tc>
      </w:tr>
      <w:tr>
        <w:tc>
          <w:tcPr>
            <w:tcW w:type="dxa" w:w="21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Osogbo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67</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181.33</w:t>
            </w:r>
          </w:p>
        </w:tc>
        <w:tc>
          <w:tcPr>
            <w:tcW w:type="dxa" w:w="17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162.39</w:t>
            </w:r>
          </w:p>
        </w:tc>
        <w:tc>
          <w:tcPr>
            <w:tcW w:type="dxa" w:w="17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839.28</w:t>
            </w:r>
          </w:p>
        </w:tc>
      </w:tr>
      <w:tr>
        <w:tc>
          <w:tcPr>
            <w:tcW w:type="dxa" w:w="21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Port Harcourt</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200</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385.22</w:t>
            </w:r>
          </w:p>
        </w:tc>
        <w:tc>
          <w:tcPr>
            <w:tcW w:type="dxa" w:w="17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115.56</w:t>
            </w:r>
          </w:p>
        </w:tc>
        <w:tc>
          <w:tcPr>
            <w:tcW w:type="dxa" w:w="17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2,084.72</w:t>
            </w:r>
          </w:p>
        </w:tc>
      </w:tr>
      <w:tr>
        <w:tc>
          <w:tcPr>
            <w:tcW w:type="dxa" w:w="21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109</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941.00</w:t>
            </w:r>
          </w:p>
        </w:tc>
        <w:tc>
          <w:tcPr>
            <w:tcW w:type="dxa" w:w="17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517.98</w:t>
            </w:r>
          </w:p>
        </w:tc>
        <w:tc>
          <w:tcPr>
            <w:tcW w:type="dxa" w:w="17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2,179.75</w:t>
            </w:r>
          </w:p>
        </w:tc>
      </w:tr>
    </w:tbl>
    <w:p>
      <w:pPr>
        <w:pStyle w:val="Heading1"/>
        <w:pBdr>
          <w:bottom w:val="single" w:color="1F3864" w:sz="8" w:space="4"/>
        </w:pBdr>
        <w:spacing w:after="150" w:before="300"/>
      </w:pPr>
      <w:r>
        <w:rPr>
          <w:b/>
          <w:bCs/>
          <w:color w:val="1F3864"/>
          <w:sz w:val="28"/>
          <w:szCs w:val="28"/>
        </w:rPr>
        <w:t xml:space="preserve">3. TCN Allowable Outage Duration Exceedance by Region (Week 3)</w:t>
      </w:r>
    </w:p>
    <w:p>
      <w:pPr>
        <w:spacing w:after="120"/>
      </w:pPr>
      <w:r>
        <w:rPr>
          <w:sz w:val="20"/>
          <w:szCs w:val="20"/>
        </w:rPr>
        <w:t xml:space="preserve">8 out of 10 regions had at least one feeder go over TCN's allowable outage duration this week. The other 2 regions (Bauchi, Kaduna) had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900"/>
        <w:gridCol w:w="196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Region</w:t>
            </w:r>
          </w:p>
        </w:tc>
        <w:tc>
          <w:tcPr>
            <w:tcW w:type="dxa" w:w="1800"/>
            <w:gridSpan w:val="1"/>
            <w:shd w:fill="1F3864" w:val="clear"/>
            <w:tcMar>
              <w:top w:type="dxa" w:w="60"/>
              <w:left w:type="dxa" w:w="100"/>
              <w:bottom w:type="dxa" w:w="60"/>
              <w:right w:type="dxa" w:w="100"/>
            </w:tcMar>
            <w:vAlign w:val="center"/>
          </w:tcPr>
          <w:p>
            <w:pPr>
              <w:jc w:val="right"/>
            </w:pPr>
            <w:r>
              <w:rPr>
                <w:b/>
                <w:bCs/>
                <w:color w:val="FFFFFF"/>
                <w:sz w:val="17"/>
                <w:szCs w:val="17"/>
              </w:rPr>
              <w:t xml:space="preserve">Feeders Over Allocation</w:t>
            </w:r>
          </w:p>
        </w:tc>
        <w:tc>
          <w:tcPr>
            <w:tcW w:type="dxa" w:w="15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Hours</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Load Loss (MWh)</w:t>
            </w:r>
          </w:p>
        </w:tc>
        <w:tc>
          <w:tcPr>
            <w:tcW w:type="dxa" w:w="196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Estimated Cost (₦)</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503.5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3,101.12</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₦534,299,209.50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305.3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1,713.05</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₦353,743,448.00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728.9</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1,697.77</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₦200,295,572.20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Abuja</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334.70</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₦55,743,837.50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Port Harcourt</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26.4</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184.87</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₦32,496,319.00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Benin</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163.52</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₦32,136,157.53</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Kano</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12.64</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₦2,648,429.20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Osogbo</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6.53</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₦1,368,733.00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1,647.7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7,214.20</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₦1,212,731,705.93</w:t>
            </w:r>
          </w:p>
        </w:tc>
      </w:tr>
    </w:tbl>
    <w:p>
      <w:pPr>
        <w:pStyle w:val="Heading1"/>
        <w:pBdr>
          <w:bottom w:val="single" w:color="1F3864" w:sz="8" w:space="4"/>
        </w:pBdr>
        <w:spacing w:after="150" w:before="300"/>
      </w:pPr>
      <w:r>
        <w:rPr>
          <w:b/>
          <w:bCs/>
          <w:color w:val="1F3864"/>
          <w:sz w:val="28"/>
          <w:szCs w:val="28"/>
        </w:rPr>
        <w:t xml:space="preserve">4. Top 10 Highest-Cost Feeder Exceedances — Week 3 (All Regions)</w:t>
      </w:r>
    </w:p>
    <w:p>
      <w:pPr>
        <w:spacing w:after="120"/>
      </w:pPr>
      <w:r>
        <w:rPr>
          <w:color w:val="595959"/>
          <w:sz w:val="18"/>
          <w:szCs w:val="18"/>
        </w:rPr>
        <w:t xml:space="preserve">Onitsha 132kV (Enugu) and Birnin-Kebbi 132kV (Shiroro) between them account for most of this week's network cost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700"/>
        <w:gridCol w:w="1000"/>
        <w:gridCol w:w="1000"/>
        <w:gridCol w:w="1260"/>
        <w:gridCol w:w="1500"/>
      </w:tblGrid>
      <w:tr>
        <w:trPr>
          <w:tblHeader/>
        </w:trPr>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200"/>
            <w:gridSpan w:val="1"/>
            <w:shd w:fill="1F3864" w:val="clear"/>
            <w:tcMar>
              <w:top w:type="dxa" w:w="60"/>
              <w:left w:type="dxa" w:w="100"/>
              <w:bottom w:type="dxa" w:w="60"/>
              <w:right w:type="dxa" w:w="100"/>
            </w:tcMar>
            <w:vAlign w:val="center"/>
          </w:tcPr>
          <w:p>
            <w:pPr>
              <w:jc w:val="left"/>
            </w:pPr>
            <w:r>
              <w:rPr>
                <w:b/>
                <w:bCs/>
                <w:color w:val="FFFFFF"/>
                <w:sz w:val="17"/>
                <w:szCs w:val="17"/>
              </w:rPr>
              <w:t xml:space="preserve">Region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5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 II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78.22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69.82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466.49</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₦97,730,388.00</w:t>
            </w:r>
          </w:p>
        </w:tc>
      </w:tr>
      <w:tr>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OSSAMALA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69.15</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311.56</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₦64,336,452.00</w:t>
            </w:r>
          </w:p>
        </w:tc>
      </w:tr>
      <w:tr>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OGUDU 1</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29.00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20.60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271.64</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₦56,907,882.00</w:t>
            </w:r>
          </w:p>
        </w:tc>
      </w:tr>
      <w:tr>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NNEWI INDUSTRIAL</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40.62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32.22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272.33</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₦56,236,489.00</w:t>
            </w:r>
          </w:p>
        </w:tc>
      </w:tr>
      <w:tr>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OBOSI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48.90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40.50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261.80</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₦54,062,044.00</w:t>
            </w:r>
          </w:p>
        </w:tc>
      </w:tr>
      <w:tr>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IGBOBI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33.77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211.65</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₦44,340,675.00</w:t>
            </w:r>
          </w:p>
        </w:tc>
      </w:tr>
      <w:tr>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77.72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69.32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208.70</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₦43,721,847.00</w:t>
            </w:r>
          </w:p>
        </w:tc>
      </w:tr>
      <w:tr>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CANTONMENT</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35.40</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186.95</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₦38,605,175.00</w:t>
            </w:r>
          </w:p>
        </w:tc>
      </w:tr>
      <w:tr>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NNEWI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30.83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22.43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184.87</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₦38,175,655.00</w:t>
            </w:r>
          </w:p>
        </w:tc>
      </w:tr>
      <w:tr>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AWADA II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42.88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34.48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176.51</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₦36,448,971.00</w:t>
            </w:r>
          </w:p>
        </w:tc>
      </w:tr>
    </w:tbl>
    <w:p>
      <w:pPr>
        <w:pStyle w:val="Heading1"/>
        <w:pBdr>
          <w:bottom w:val="single" w:color="1F3864" w:sz="8" w:space="4"/>
        </w:pBdr>
        <w:spacing w:after="150" w:before="300"/>
      </w:pPr>
      <w:r>
        <w:rPr>
          <w:b/>
          <w:bCs/>
          <w:color w:val="1F3864"/>
          <w:sz w:val="28"/>
          <w:szCs w:val="28"/>
        </w:rPr>
        <w:t xml:space="preserve">5. Comparative Performance — Week 1 vs Week 2 vs Week 3</w:t>
      </w:r>
    </w:p>
    <w:p>
      <w:pPr>
        <w:spacing w:after="120"/>
      </w:pPr>
      <w:r>
        <w:rPr>
          <w:sz w:val="20"/>
          <w:szCs w:val="20"/>
        </w:rPr>
        <w:t xml:space="preserve">Week 1 covered 5 days (1-5 September); Weeks 2 and 3 each cover 7 days. Raw totals are naturally higher in the 7-day weeks — the Avg Duration figures are a fairer like-for-like comparison than the raw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220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1 (5d)</w:t>
            </w:r>
          </w:p>
        </w:tc>
        <w:tc>
          <w:tcPr>
            <w:tcW w:type="dxa" w:w="220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2 (7d)</w:t>
            </w:r>
          </w:p>
        </w:tc>
        <w:tc>
          <w:tcPr>
            <w:tcW w:type="dxa" w:w="220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3 (7d)</w:t>
            </w:r>
          </w:p>
        </w:tc>
      </w:tr>
      <w:tr>
        <w:tc>
          <w:tcPr>
            <w:tcW w:type="dxa" w:w="276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Outages</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487</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1,348</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1,168</w:t>
            </w:r>
          </w:p>
        </w:tc>
      </w:tr>
      <w:tr>
        <w:tc>
          <w:tcPr>
            <w:tcW w:type="dxa" w:w="276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1,033.87</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3,304.10</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3,941.60</w:t>
            </w:r>
          </w:p>
        </w:tc>
      </w:tr>
      <w:tr>
        <w:tc>
          <w:tcPr>
            <w:tcW w:type="dxa" w:w="276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6,308.97</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14,607.98</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19,223.74</w:t>
            </w:r>
          </w:p>
        </w:tc>
      </w:tr>
      <w:tr>
        <w:tc>
          <w:tcPr>
            <w:tcW w:type="dxa" w:w="276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Feeders Over Allocation</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86</w:t>
            </w:r>
          </w:p>
        </w:tc>
      </w:tr>
      <w:tr>
        <w:tc>
          <w:tcPr>
            <w:tcW w:type="dxa" w:w="276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Excess Hours</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182.0</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738.3</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1,647.7</w:t>
            </w:r>
          </w:p>
        </w:tc>
      </w:tr>
      <w:tr>
        <w:tc>
          <w:tcPr>
            <w:tcW w:type="dxa" w:w="276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Excess Load Loss (MWh)</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1,527.01</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2,488.38</w:t>
            </w:r>
          </w:p>
        </w:tc>
        <w:tc>
          <w:tcPr>
            <w:tcW w:type="dxa" w:w="22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7,214.20</w:t>
            </w:r>
          </w:p>
        </w:tc>
      </w:tr>
      <w:tr>
        <w:tc>
          <w:tcPr>
            <w:tcW w:type="dxa" w:w="276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Estimated Cost</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₦315,327,324.08</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₦513,847,028.33</w:t>
            </w:r>
          </w:p>
        </w:tc>
        <w:tc>
          <w:tcPr>
            <w:tcW w:type="dxa" w:w="22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₦1,212,731,705.93</w:t>
            </w:r>
          </w:p>
        </w:tc>
      </w:tr>
    </w:tbl>
    <w:p>
      <w:pPr>
        <w:pStyle w:val="Heading2"/>
        <w:spacing w:after="120" w:before="240"/>
      </w:pPr>
      <w:r>
        <w:rPr>
          <w:b/>
          <w:bCs/>
          <w:color w:val="1F3864"/>
          <w:sz w:val="24"/>
          <w:szCs w:val="24"/>
        </w:rPr>
        <w:t xml:space="preserve">5.1 Exceedance Cost by Region — Week 1 vs Week 2 vs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gridSpan w:val="1"/>
            <w:shd w:fill="1F3864" w:val="clear"/>
            <w:tcMar>
              <w:top w:type="dxa" w:w="60"/>
              <w:left w:type="dxa" w:w="100"/>
              <w:bottom w:type="dxa" w:w="60"/>
              <w:right w:type="dxa" w:w="100"/>
            </w:tcMar>
            <w:vAlign w:val="center"/>
          </w:tcPr>
          <w:p>
            <w:pPr>
              <w:jc w:val="left"/>
            </w:pPr>
            <w:r>
              <w:rPr>
                <w:b/>
                <w:bCs/>
                <w:color w:val="FFFFFF"/>
                <w:sz w:val="17"/>
                <w:szCs w:val="17"/>
              </w:rPr>
              <w:t xml:space="preserve">Region</w:t>
            </w:r>
          </w:p>
        </w:tc>
        <w:tc>
          <w:tcPr>
            <w:tcW w:type="dxa" w:w="240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1 (₦)</w:t>
            </w:r>
          </w:p>
        </w:tc>
        <w:tc>
          <w:tcPr>
            <w:tcW w:type="dxa" w:w="240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2 (₦)</w:t>
            </w:r>
          </w:p>
        </w:tc>
        <w:tc>
          <w:tcPr>
            <w:tcW w:type="dxa" w:w="2660"/>
            <w:gridSpan w:val="1"/>
            <w:shd w:fill="1F3864" w:val="clear"/>
            <w:tcMar>
              <w:top w:type="dxa" w:w="60"/>
              <w:left w:type="dxa" w:w="100"/>
              <w:bottom w:type="dxa" w:w="60"/>
              <w:right w:type="dxa" w:w="100"/>
            </w:tcMar>
            <w:vAlign w:val="center"/>
          </w:tcPr>
          <w:p>
            <w:pPr>
              <w:jc w:val="right"/>
            </w:pPr>
            <w:r>
              <w:rPr>
                <w:b/>
                <w:bCs/>
                <w:color w:val="FFFFFF"/>
                <w:sz w:val="17"/>
                <w:szCs w:val="17"/>
              </w:rPr>
              <w:t xml:space="preserve">Week 3 (₦)</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Abuja</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₦254,195,305.67</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6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₦55,743,837.50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Bauchi</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6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Benin</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₦2,526,183.33</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6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₦32,136,157.53</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₦26,911,768.33</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₦335,110,953.33</w:t>
            </w:r>
          </w:p>
        </w:tc>
        <w:tc>
          <w:tcPr>
            <w:tcW w:type="dxa" w:w="26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₦353,743,448.00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Kaduna</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₦8,948.33</w:t>
            </w:r>
          </w:p>
        </w:tc>
        <w:tc>
          <w:tcPr>
            <w:tcW w:type="dxa" w:w="26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Kano</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6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₦2,648,429.20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₦19,898,787.42</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₦47,802,685.00</w:t>
            </w:r>
          </w:p>
        </w:tc>
        <w:tc>
          <w:tcPr>
            <w:tcW w:type="dxa" w:w="26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₦534,299,209.50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Osogbo</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₦30,797,065.83</w:t>
            </w:r>
          </w:p>
        </w:tc>
        <w:tc>
          <w:tcPr>
            <w:tcW w:type="dxa" w:w="26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₦1,368,733.00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Port Harcourt</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₦11,795,280.00</w:t>
            </w:r>
          </w:p>
        </w:tc>
        <w:tc>
          <w:tcPr>
            <w:tcW w:type="dxa" w:w="2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₦11,567,785.84</w:t>
            </w:r>
          </w:p>
        </w:tc>
        <w:tc>
          <w:tcPr>
            <w:tcW w:type="dxa" w:w="26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₦32,496,319.00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c>
          <w:tcPr>
            <w:tcW w:type="dxa" w:w="2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₦88,559,590.00</w:t>
            </w:r>
          </w:p>
        </w:tc>
        <w:tc>
          <w:tcPr>
            <w:tcW w:type="dxa" w:w="26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₦200,295,572.20</w:t>
            </w:r>
          </w:p>
        </w:tc>
      </w:tr>
    </w:tbl>
    <w:p>
      <w:pPr>
        <w:spacing w:after="120"/>
      </w:pPr>
      <w:r>
        <w:rPr>
          <w:sz w:val="20"/>
          <w:szCs w:val="20"/>
        </w:rPr>
        <w:t xml:space="preserve">The biggest swings: Lagos Region's exposure has climbed every week — ₦19.9 million (Week 1) to ₦47.8 million (Week 2) to ₦534.3 million (Week 3) — now the single largest regional exposure, driven substantially by outages at Oworonshoki 132kV that were still open when the Week 2 report was compiled and closed out during Week 3. Birnin-Kebbi 132kV (Shiroro Region) is a new, large driver this week, separate from the Sokoto line-trip issue flagged last week. Onitsha 132kV (Enugu Region) remains a large, persistent driver for a third consecutive week.</w:t>
      </w:r>
    </w:p>
    <w:p>
      <w:pPr>
        <w:pStyle w:val="Heading1"/>
        <w:pBdr>
          <w:bottom w:val="single" w:color="1F3864" w:sz="8" w:space="4"/>
        </w:pBdr>
        <w:spacing w:after="150" w:before="300"/>
      </w:pPr>
      <w:r>
        <w:rPr>
          <w:b/>
          <w:bCs/>
          <w:color w:val="1F3864"/>
          <w:sz w:val="28"/>
          <w:szCs w:val="28"/>
        </w:rPr>
        <w:t xml:space="preserve">6. Aggregate Performance — Weeks 1-3 Combined (1–19 September)</w:t>
      </w:r>
    </w:p>
    <w:p>
      <w:pPr>
        <w:spacing w:after="120"/>
      </w:pPr>
      <w:r>
        <w:rPr>
          <w:sz w:val="20"/>
          <w:szCs w:val="20"/>
        </w:rPr>
        <w:t xml:space="preserve">This section uses each feeder's actual cumulative outage hours over the full 19 days, checked against a single 19-day allocation for that feeder — not the three weekly exceedance totals added together. This is the correct way to see the true combined picture, because a feeder that improves in one week can offset an excess from another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 (19 DAYS)</w:t>
            </w:r>
          </w:p>
          <w:p>
            <w:r>
              <w:rPr>
                <w:b/>
                <w:bCs/>
                <w:color w:val="C0392B"/>
                <w:sz w:val="28"/>
                <w:szCs w:val="28"/>
              </w:rPr>
              <w:t xml:space="preserve">54</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1,606.9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6,173.12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TOTAL COST</w:t>
            </w:r>
          </w:p>
          <w:p>
            <w:r>
              <w:rPr>
                <w:b/>
                <w:bCs/>
                <w:color w:val="C0392B"/>
                <w:sz w:val="28"/>
                <w:szCs w:val="28"/>
              </w:rPr>
              <w:t xml:space="preserve">₦1,135,339,495.47</w:t>
            </w:r>
          </w:p>
        </w:tc>
      </w:tr>
    </w:tbl>
    <w:p>
      <w:pPr>
        <w:spacing w:after="150"/>
      </w:pPr>
    </w:p>
    <w:p>
      <w:pPr>
        <w:pStyle w:val="Heading2"/>
        <w:spacing w:after="120" w:before="240"/>
      </w:pPr>
      <w:r>
        <w:rPr>
          <w:b/>
          <w:bCs/>
          <w:color w:val="1F3864"/>
          <w:sz w:val="24"/>
          <w:szCs w:val="24"/>
        </w:rPr>
        <w:t xml:space="preserve">6.1 Why This Is Not Week 1 + Week 2 + Week 3 Added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gridSpan w:val="1"/>
            <w:shd w:fill="1F3864" w:val="clear"/>
            <w:tcMar>
              <w:top w:type="dxa" w:w="60"/>
              <w:left w:type="dxa" w:w="100"/>
              <w:bottom w:type="dxa" w:w="60"/>
              <w:right w:type="dxa" w:w="100"/>
            </w:tcMar>
            <w:vAlign w:val="center"/>
          </w:tcPr>
          <w:p>
            <w:pPr>
              <w:jc w:val="left"/>
            </w:pPr>
            <w:r>
              <w:rPr>
                <w:b/>
                <w:bCs/>
                <w:color w:val="FFFFFF"/>
                <w:sz w:val="17"/>
                <w:szCs w:val="17"/>
              </w:rPr>
              <w:t xml:space="preserve"/>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Hours</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Load Loss (MWh)</w:t>
            </w:r>
          </w:p>
        </w:tc>
        <w:tc>
          <w:tcPr>
            <w:tcW w:type="dxa" w:w="196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Estimated Cost (₦)</w:t>
            </w:r>
          </w:p>
        </w:tc>
      </w:tr>
      <w:tr>
        <w:tc>
          <w:tcPr>
            <w:tcW w:type="dxa" w:w="36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Week 1 + Week 2 + Week 3 added together (naive sum)</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2,568.0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11,229.59</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₦2,041,906,058.34</w:t>
            </w:r>
          </w:p>
        </w:tc>
      </w:tr>
      <w:tr>
        <w:tc>
          <w:tcPr>
            <w:tcW w:type="dxa" w:w="36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Actual combined (19-day cumulative)</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1,606.9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6,173.12</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₦1,135,339,495.47</w:t>
            </w:r>
          </w:p>
        </w:tc>
      </w:tr>
      <w:tr>
        <w:tc>
          <w:tcPr>
            <w:tcW w:type="dxa" w:w="36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Difference (naive sum overstates by)</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961.1</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5,056.47</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₦906,566,562.87</w:t>
            </w:r>
          </w:p>
        </w:tc>
      </w:tr>
    </w:tbl>
    <w:p>
      <w:pPr>
        <w:spacing w:after="100"/>
      </w:pPr>
    </w:p>
    <w:p>
      <w:pPr>
        <w:spacing w:after="120"/>
      </w:pPr>
      <w:r>
        <w:rPr>
          <w:b/>
          <w:bCs/>
          <w:sz w:val="20"/>
          <w:szCs w:val="20"/>
        </w:rPr>
        <w:t xml:space="preserve">Simply adding the three weekly cost figures together gives ₦2,041,906,058.34, which is 44.4% higher than the true combined exposure of ₦1,135,339,495.47. The gap exists because several regions and feeders (Abuja's Apo 132kV and Osogbo Region among them) were over allocation in one or two weeks but not in others, so a good week reduces — but does not erase — an earlier excess once the full period is looked at together as one continuous 19-day window.</w:t>
      </w:r>
    </w:p>
    <w:p>
      <w:pPr>
        <w:pStyle w:val="Heading2"/>
        <w:spacing w:after="120" w:before="240"/>
      </w:pPr>
      <w:r>
        <w:rPr>
          <w:b/>
          <w:bCs/>
          <w:color w:val="1F3864"/>
          <w:sz w:val="24"/>
          <w:szCs w:val="24"/>
        </w:rPr>
        <w:t xml:space="preserve">6.2 Combined Exceedance by Region (19-Day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900"/>
        <w:gridCol w:w="196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Region</w:t>
            </w:r>
          </w:p>
        </w:tc>
        <w:tc>
          <w:tcPr>
            <w:tcW w:type="dxa" w:w="1800"/>
            <w:gridSpan w:val="1"/>
            <w:shd w:fill="1F3864" w:val="clear"/>
            <w:tcMar>
              <w:top w:type="dxa" w:w="60"/>
              <w:left w:type="dxa" w:w="100"/>
              <w:bottom w:type="dxa" w:w="60"/>
              <w:right w:type="dxa" w:w="100"/>
            </w:tcMar>
            <w:vAlign w:val="center"/>
          </w:tcPr>
          <w:p>
            <w:pPr>
              <w:jc w:val="right"/>
            </w:pPr>
            <w:r>
              <w:rPr>
                <w:b/>
                <w:bCs/>
                <w:color w:val="FFFFFF"/>
                <w:sz w:val="17"/>
                <w:szCs w:val="17"/>
              </w:rPr>
              <w:t xml:space="preserve">Feeders Over Allocation</w:t>
            </w:r>
          </w:p>
        </w:tc>
        <w:tc>
          <w:tcPr>
            <w:tcW w:type="dxa" w:w="15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Hours</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Load Loss (MWh)</w:t>
            </w:r>
          </w:p>
        </w:tc>
        <w:tc>
          <w:tcPr>
            <w:tcW w:type="dxa" w:w="196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Estimated Cost (₦)</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Enugu</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677.5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3,262.77</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₦673,853,369.00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Shiroro</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750.7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1,713.90</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₦240,431,280.30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131.6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829.13</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₦147,936,007.37</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Abuja</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184.70</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₦38,681,535.80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Port Harcourt</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118.95</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₦21,099,136.00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Benin</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5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63.67</w:t>
            </w:r>
          </w:p>
        </w:tc>
        <w:tc>
          <w:tcPr>
            <w:tcW w:type="dxa" w:w="19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₦13,338,167.00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w:t>
            </w:r>
          </w:p>
        </w:tc>
        <w:tc>
          <w:tcPr>
            <w:tcW w:type="dxa" w:w="15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1,606.9</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6,173.12</w:t>
            </w:r>
          </w:p>
        </w:tc>
        <w:tc>
          <w:tcPr>
            <w:tcW w:type="dxa" w:w="19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₦1,135,339,495.47</w:t>
            </w:r>
          </w:p>
        </w:tc>
      </w:tr>
    </w:tbl>
    <w:p>
      <w:pPr>
        <w:pStyle w:val="Heading2"/>
        <w:spacing w:after="120" w:before="240"/>
      </w:pPr>
      <w:r>
        <w:rPr>
          <w:b/>
          <w:bCs/>
          <w:color w:val="1F3864"/>
          <w:sz w:val="24"/>
          <w:szCs w:val="24"/>
        </w:rPr>
        <w:t xml:space="preserve">6.3 Top 10 Highest-Cost Feeders — 19-Day Cumulative (All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60"/>
        <w:gridCol w:w="1000"/>
        <w:gridCol w:w="1400"/>
        <w:gridCol w:w="1800"/>
      </w:tblGrid>
      <w:tr>
        <w:trPr>
          <w:tblHeader/>
        </w:trPr>
        <w:tc>
          <w:tcPr>
            <w:tcW w:type="dxa" w:w="19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9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360"/>
            <w:gridSpan w:val="1"/>
            <w:shd w:fill="1F3864" w:val="clear"/>
            <w:tcMar>
              <w:top w:type="dxa" w:w="60"/>
              <w:left w:type="dxa" w:w="100"/>
              <w:bottom w:type="dxa" w:w="60"/>
              <w:right w:type="dxa" w:w="100"/>
            </w:tcMar>
            <w:vAlign w:val="center"/>
          </w:tcPr>
          <w:p>
            <w:pPr>
              <w:jc w:val="right"/>
            </w:pPr>
            <w:r>
              <w:rPr>
                <w:b/>
                <w:bCs/>
                <w:color w:val="FFFFFF"/>
                <w:sz w:val="17"/>
                <w:szCs w:val="17"/>
              </w:rPr>
              <w:t xml:space="preserve">19-Day 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4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8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AWADA II</w:t>
            </w:r>
          </w:p>
        </w:tc>
        <w:tc>
          <w:tcPr>
            <w:tcW w:type="dxa" w:w="1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129.48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106.68</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641.65</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₦133,000,000.00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FADAMA II</w:t>
            </w:r>
          </w:p>
        </w:tc>
        <w:tc>
          <w:tcPr>
            <w:tcW w:type="dxa" w:w="1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114.93</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92.13</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515.71</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₦108,000,000.00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CANTONMENT</w:t>
            </w:r>
          </w:p>
        </w:tc>
        <w:tc>
          <w:tcPr>
            <w:tcW w:type="dxa" w:w="1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124.03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101.23</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503.41</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₦104,000,000.00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ARMY BARRACKS</w:t>
            </w:r>
          </w:p>
        </w:tc>
        <w:tc>
          <w:tcPr>
            <w:tcW w:type="dxa" w:w="1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132.12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109.32</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501.00</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₦103,000,000.00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NNEWI</w:t>
            </w:r>
          </w:p>
        </w:tc>
        <w:tc>
          <w:tcPr>
            <w:tcW w:type="dxa" w:w="1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129.23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106.43</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391.88</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₦80,924,253.00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NNEWI INDUSTRIAL</w:t>
            </w:r>
          </w:p>
        </w:tc>
        <w:tc>
          <w:tcPr>
            <w:tcW w:type="dxa" w:w="1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65.85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43.05</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374.88</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₦77,412,376.00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OSSAMALA</w:t>
            </w:r>
          </w:p>
        </w:tc>
        <w:tc>
          <w:tcPr>
            <w:tcW w:type="dxa" w:w="1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84.37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61.57</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281.22</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₦58,072,618.00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OBOSI</w:t>
            </w:r>
          </w:p>
        </w:tc>
        <w:tc>
          <w:tcPr>
            <w:tcW w:type="dxa" w:w="1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65.00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42.20</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272.68</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₦56,308,764.00</w:t>
            </w:r>
          </w:p>
        </w:tc>
      </w:tr>
      <w:tr>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9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w:t>
            </w:r>
          </w:p>
        </w:tc>
        <w:tc>
          <w:tcPr>
            <w:tcW w:type="dxa" w:w="1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113.80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91.00</w:t>
            </w:r>
          </w:p>
        </w:tc>
        <w:tc>
          <w:tcPr>
            <w:tcW w:type="dxa" w:w="14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258.40</w:t>
            </w:r>
          </w:p>
        </w:tc>
        <w:tc>
          <w:tcPr>
            <w:tcW w:type="dxa" w:w="18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₦54,135,743.00</w:t>
            </w:r>
          </w:p>
        </w:tc>
      </w:tr>
      <w:tr>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Onitsha 132kV</w:t>
            </w:r>
          </w:p>
        </w:tc>
        <w:tc>
          <w:tcPr>
            <w:tcW w:type="dxa" w:w="19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UMUNYA</w:t>
            </w:r>
          </w:p>
        </w:tc>
        <w:tc>
          <w:tcPr>
            <w:tcW w:type="dxa" w:w="1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75.25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52.45</w:t>
            </w:r>
          </w:p>
        </w:tc>
        <w:tc>
          <w:tcPr>
            <w:tcW w:type="dxa" w:w="14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246.72</w:t>
            </w:r>
          </w:p>
        </w:tc>
        <w:tc>
          <w:tcPr>
            <w:tcW w:type="dxa" w:w="18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₦50,948,713.00</w:t>
            </w:r>
          </w:p>
        </w:tc>
      </w:tr>
    </w:tbl>
    <w:p>
      <w:pPr>
        <w:pStyle w:val="Heading1"/>
        <w:pBdr>
          <w:bottom w:val="single" w:color="1F3864" w:sz="8" w:space="4"/>
        </w:pBdr>
        <w:spacing w:after="150" w:before="300"/>
      </w:pPr>
      <w:r>
        <w:rPr>
          <w:b/>
          <w:bCs/>
          <w:color w:val="1F3864"/>
          <w:sz w:val="28"/>
          <w:szCs w:val="28"/>
        </w:rPr>
        <w:t xml:space="preserve">7. Key Observations</w:t>
      </w:r>
    </w:p>
    <w:p>
      <w:pPr>
        <w:spacing w:after="120"/>
      </w:pPr>
      <w:r>
        <w:rPr>
          <w:color w:val="595959"/>
          <w:sz w:val="18"/>
          <w:szCs w:val="18"/>
        </w:rPr>
        <w:t xml:space="preserve">The raw interruption log for 13-19 September was supplied after this report was first drafted, so the observations below have been updated with confirmed root causes rather than magnitude-only inferences.</w:t>
      </w:r>
    </w:p>
    <w:p>
      <w:pPr>
        <w:pStyle w:val="ListParagraph"/>
        <w:numPr>
          <w:ilvl w:val="0"/>
          <w:numId w:val="1"/>
        </w:numPr>
        <w:spacing w:after="60"/>
      </w:pPr>
      <w:r>
        <w:rPr>
          <w:sz w:val="20"/>
          <w:szCs w:val="20"/>
        </w:rPr>
        <w:t xml:space="preserve">Onitsha 132kV (Enugu) remains the network's most persistent problem station for a third straight week, with 8 feeders over allocation and ₦353.7 million in Week 3 cost alone. Across the full 19-day period, Onitsha's cumulative cost exposure (Section 6.3) is the highest of any station in the network. There is a genuine sign of progress, however: on 12 September, TCN's LMD crew began work to separate the mobile transformer (3NSHTR5) from 3NSHTR3 (TR13) and transfer load back onto the fixed unit — a real remediation step, not just a workaround, though the feeders affected during the changeover still show up as outages this week.</w:t>
      </w:r>
    </w:p>
    <w:p>
      <w:pPr>
        <w:pStyle w:val="ListParagraph"/>
        <w:numPr>
          <w:ilvl w:val="0"/>
          <w:numId w:val="1"/>
        </w:numPr>
        <w:spacing w:after="60"/>
      </w:pPr>
      <w:r>
        <w:rPr>
          <w:sz w:val="20"/>
          <w:szCs w:val="20"/>
        </w:rPr>
        <w:t xml:space="preserve">Lagos Region's exposure has grown every week and is now the largest single regional cost this week (₦534.3 million), driven substantially by Oworonshoki 132kV — a station that was not a major factor in Weeks 1-2. Three distinct issues are mixed together there: a TR3-30MVA transformer differential trip, repeated load-shedding for line limitation (including one event explicitly logged as DISCO "non-compliance of 30MW load allocation"), and physical damage to the T2-60MVA transformer's secondary breaker interrupter head, which needs equipment replacement.</w:t>
      </w:r>
    </w:p>
    <w:p>
      <w:pPr>
        <w:pStyle w:val="ListParagraph"/>
        <w:numPr>
          <w:ilvl w:val="0"/>
          <w:numId w:val="1"/>
        </w:numPr>
        <w:spacing w:after="60"/>
      </w:pPr>
      <w:r>
        <w:rPr>
          <w:sz w:val="20"/>
          <w:szCs w:val="20"/>
        </w:rPr>
        <w:t xml:space="preserve">Birnin-Kebbi 132kV (Shiroro Region) is the second-largest cost driver network-wide this week. Its TAMBUWAL feeder alone was down for 236 hours (nearly 10 days, 7-16 September) due to a distance-protection relay operating on a fault detected 198.5km away — an unusually long reach that is worth checking for a relay/settings issue. The rest of the affected feeders trace to repeated 132kV line trips at Mafara TS, consistent with the station's dependence on the Talata-Mafara backfeed (see Section 8 for the related misattribution finding and correction underway with NISO).</w:t>
      </w:r>
    </w:p>
    <w:p>
      <w:pPr>
        <w:pStyle w:val="ListParagraph"/>
        <w:numPr>
          <w:ilvl w:val="0"/>
          <w:numId w:val="1"/>
        </w:numPr>
        <w:spacing w:after="60"/>
      </w:pPr>
      <w:r>
        <w:rPr>
          <w:sz w:val="20"/>
          <w:szCs w:val="20"/>
        </w:rPr>
        <w:t xml:space="preserve">Abuja Region recorded exceedance again this week (4 feeders, ₦55.7 million) after a clean Week 2 — but this is NOT a recurrence of the Apo 132kV/Katampe issue from Week 1; Apo does not appear in this week's data at all. The driver this week is Suleja 132kV, with 12 separate 132kV line trips, alongside emergency openings at Kukwaba and Karu — an apparently unrelated, new issue.</w:t>
      </w:r>
    </w:p>
    <w:p>
      <w:pPr>
        <w:pStyle w:val="ListParagraph"/>
        <w:numPr>
          <w:ilvl w:val="0"/>
          <w:numId w:val="1"/>
        </w:numPr>
        <w:spacing w:after="60"/>
      </w:pPr>
      <w:r>
        <w:rPr>
          <w:sz w:val="20"/>
          <w:szCs w:val="20"/>
        </w:rPr>
        <w:t xml:space="preserve">Port Harcourt Region's Alaoji-related issue, flagged in Weeks 1 and 2, is now fully identified: the great majority of this week's 126 line-trip events at PH Main and Owerri trace to repeated tripping of one specific unit, the 2ALJ-TR2 150MVA 330/132/33kV transformer at Alaoji TS, plus recurring trips on the Alaoji-Owerri and Afam-related 132kV lines. Naming the specific unit should make this easier to target for repair than treating it as a general station reliability issue.</w:t>
      </w:r>
    </w:p>
    <w:p>
      <w:pPr>
        <w:pStyle w:val="ListParagraph"/>
        <w:numPr>
          <w:ilvl w:val="0"/>
          <w:numId w:val="1"/>
        </w:numPr>
        <w:spacing w:after="60"/>
      </w:pPr>
      <w:r>
        <w:rPr>
          <w:sz w:val="20"/>
          <w:szCs w:val="20"/>
        </w:rPr>
        <w:t xml:space="preserve">Two regions — Bauchi and Kaduna — have now recorded zero exceedance in all three weeks, the network's most consistently stable performers.</w:t>
      </w:r>
    </w:p>
    <w:p>
      <w:pPr>
        <w:pStyle w:val="Heading1"/>
        <w:pBdr>
          <w:bottom w:val="single" w:color="1F3864" w:sz="8" w:space="4"/>
        </w:pBdr>
        <w:spacing w:after="150" w:before="300"/>
      </w:pPr>
      <w:r>
        <w:rPr>
          <w:b/>
          <w:bCs/>
          <w:color w:val="1F3864"/>
          <w:sz w:val="28"/>
          <w:szCs w:val="28"/>
        </w:rPr>
        <w:t xml:space="preserve">8. Key Intervention / Loss Prevention Actions by Operations Department</w:t>
      </w:r>
    </w:p>
    <w:p>
      <w:pPr>
        <w:spacing w:after="120"/>
      </w:pPr>
      <w:r>
        <w:rPr>
          <w:color w:val="595959"/>
          <w:sz w:val="18"/>
          <w:szCs w:val="18"/>
        </w:rPr>
        <w:t xml:space="preserve">This section documents corrective action the Operations Department has already taken in response to a finding from this analysis, separate from the forward-looking recommendations in Section 9.</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Shiroro Region / Birnin-Kebbi 132kV TS: a misattribution has been identified and correction is already underway with NISO.</w:t>
      </w:r>
    </w:p>
    <w:p>
      <w:pPr>
        <w:pStyle w:val="ListParagraph"/>
        <w:numPr>
          <w:ilvl w:val="0"/>
          <w:numId w:val="1"/>
        </w:numPr>
        <w:spacing w:after="60"/>
      </w:pPr>
      <w:r>
        <w:rPr>
          <w:sz w:val="20"/>
          <w:szCs w:val="20"/>
        </w:rPr>
        <w:t xml:space="preserve">Root cause: the sharp rise in Shiroro Region's attributed cost, particularly at Birnin-Kebbi 132kV TS, traces back to the collapse of Tower T367 on the 330kV Kainji-Birnin Kebbi line (TCN declared force majeure on the circuit, 2KNJ-BRK1, on 8 September 2026). With that circuit down, Birnin-Kebbi TS has depended on a backfeed from Talata-Mafara TS, which cannot carry the station's full load.</w:t>
      </w:r>
    </w:p>
    <w:p>
      <w:pPr>
        <w:pStyle w:val="ListParagraph"/>
        <w:numPr>
          <w:ilvl w:val="0"/>
          <w:numId w:val="1"/>
        </w:numPr>
        <w:spacing w:after="60"/>
      </w:pPr>
      <w:r>
        <w:rPr>
          <w:sz w:val="20"/>
          <w:szCs w:val="20"/>
        </w:rPr>
        <w:t xml:space="preserve">Finding: because of this reduced-capacity backfeed, TCN and the DISCO had already reached an understanding to leave out (shed) certain feeders at certain periods for the duration of the force majeure. However, this agreed shedding arrangement was not reflected on the 33kV interruption sheet, so the affected feeders continued to be logged as ordinary TCN-caused outages. This meant TCN was still being attributed for outages that were, in fact, part of an agreed, force-majeure-related load management arrangement with the DISCO — not a TCN-caused fault.</w:t>
      </w:r>
    </w:p>
    <w:p>
      <w:pPr>
        <w:pStyle w:val="ListParagraph"/>
        <w:numPr>
          <w:ilvl w:val="0"/>
          <w:numId w:val="1"/>
        </w:numPr>
        <w:spacing w:after="60"/>
      </w:pPr>
      <w:r>
        <w:rPr>
          <w:sz w:val="20"/>
          <w:szCs w:val="20"/>
        </w:rPr>
        <w:t xml:space="preserve">How it was caught: this misattribution was only uncovered through the feeder-level analysis carried out by the Operations Department's Outage Report &amp; Analytics Software — a direct example of this reporting exercise catching a real, material cost exposure that would otherwise have gone unnoticed and unchallenged.</w:t>
      </w:r>
    </w:p>
    <w:p>
      <w:pPr>
        <w:pStyle w:val="ListParagraph"/>
        <w:numPr>
          <w:ilvl w:val="0"/>
          <w:numId w:val="1"/>
        </w:numPr>
        <w:spacing w:after="60"/>
      </w:pPr>
      <w:r>
        <w:rPr>
          <w:sz w:val="20"/>
          <w:szCs w:val="20"/>
        </w:rPr>
        <w:t xml:space="preserve">Action taken: the Operations Department has engaged the NISO Regional Operations Manager (ROM) for Shiroro Region, under which the Birnin-Kebbi Sub-region falls. It has been agreed that a wholesale correction will be made to the attribution records for the affected feeders from 10 September 2026 to date, to properly reclassify them as force-majeure/agreed-shedding events rather than TCN-attributed outages. This correction exercise is currently in progress, and NISO Headquarters has also been briefed and is supportive of the correction.</w:t>
      </w:r>
    </w:p>
    <w:p>
      <w:pPr>
        <w:pStyle w:val="ListParagraph"/>
        <w:numPr>
          <w:ilvl w:val="0"/>
          <w:numId w:val="1"/>
        </w:numPr>
        <w:spacing w:after="60"/>
      </w:pPr>
      <w:r>
        <w:rPr>
          <w:sz w:val="20"/>
          <w:szCs w:val="20"/>
        </w:rPr>
        <w:t xml:space="preserve">Effect on this report's figures: because the correction is still being finalised, the Shiroro Region and Birnin-Kebbi 132kV figures shown in Sections 1-6 of this report (and in the Shiroro regional report) may overstate TCN's true attributable exposure for the period from 10 September onward. These figures should be treated as provisional for the affected feeders and are expected to be revised downward once the correction with NISO is completed. An updated position will be reflected in the next weekly report or issued as an addendum, as appropriate.</w:t>
      </w:r>
    </w:p>
    <w:p>
      <w:pPr>
        <w:pStyle w:val="Heading1"/>
        <w:pBdr>
          <w:bottom w:val="single" w:color="1F3864" w:sz="8" w:space="4"/>
        </w:pBdr>
        <w:spacing w:after="150" w:before="300"/>
      </w:pPr>
      <w:r>
        <w:rPr>
          <w:b/>
          <w:bCs/>
          <w:color w:val="1F3864"/>
          <w:sz w:val="28"/>
          <w:szCs w:val="28"/>
        </w:rPr>
        <w:t xml:space="preserve">9. Recommendations</w:t>
      </w:r>
    </w:p>
    <w:p>
      <w:pPr>
        <w:pStyle w:val="ListParagraph"/>
        <w:numPr>
          <w:ilvl w:val="0"/>
          <w:numId w:val="1"/>
        </w:numPr>
        <w:spacing w:after="60"/>
      </w:pPr>
      <w:r>
        <w:rPr>
          <w:sz w:val="20"/>
          <w:szCs w:val="20"/>
        </w:rPr>
        <w:t xml:space="preserve">Escalate Onitsha 132kV (Enugu) to the highest priority for permanent resolution — three consecutive weeks of exceedance, and the highest cumulative cost of any station over the 19-day period, means incremental fixes are not enough. Support and monitor the transformer bus-section separation work already begun on 12 September so it can be completed and confirmed effective.</w:t>
      </w:r>
    </w:p>
    <w:p>
      <w:pPr>
        <w:pStyle w:val="ListParagraph"/>
        <w:numPr>
          <w:ilvl w:val="0"/>
          <w:numId w:val="1"/>
        </w:numPr>
        <w:spacing w:after="60"/>
      </w:pPr>
      <w:r>
        <w:rPr>
          <w:sz w:val="20"/>
          <w:szCs w:val="20"/>
        </w:rPr>
        <w:t xml:space="preserve">Task maintenance teams with prompt resolution of the three distinct faults identified at Oworonshoki 132kV (Lagos): repair or replace the damaged T2-60MVA breaker interrupter head, investigate the TR3-30MVA differential trip, and follow up with the DISCO on the logged non-compliance with the 30MW load allocation.</w:t>
      </w:r>
    </w:p>
    <w:p>
      <w:pPr>
        <w:pStyle w:val="ListParagraph"/>
        <w:numPr>
          <w:ilvl w:val="0"/>
          <w:numId w:val="1"/>
        </w:numPr>
        <w:spacing w:after="60"/>
      </w:pPr>
      <w:r>
        <w:rPr>
          <w:sz w:val="20"/>
          <w:szCs w:val="20"/>
        </w:rPr>
        <w:t xml:space="preserve">Review the distance-protection settings on the line feeding Birnin-Kebbi 132kV's TAMBUWAL feeder — a Zone 2 operation on a fault 198.5km away is unusually long-reaching and kept the feeder down for nearly 10 days; confirm whether this reflects a genuine remote fault or a relay coordination issue.</w:t>
      </w:r>
    </w:p>
    <w:p>
      <w:pPr>
        <w:pStyle w:val="ListParagraph"/>
        <w:numPr>
          <w:ilvl w:val="0"/>
          <w:numId w:val="1"/>
        </w:numPr>
        <w:spacing w:after="60"/>
      </w:pPr>
      <w:r>
        <w:rPr>
          <w:sz w:val="20"/>
          <w:szCs w:val="20"/>
        </w:rPr>
        <w:t xml:space="preserve">Investigate the 12 separate 132kV line trips at Suleja 132kV (Abuja Region) this week — a new, distinct issue from the Apo/Katampe fault that drove Abuja's Week 1 exposure.</w:t>
      </w:r>
    </w:p>
    <w:p>
      <w:pPr>
        <w:pStyle w:val="ListParagraph"/>
        <w:numPr>
          <w:ilvl w:val="0"/>
          <w:numId w:val="1"/>
        </w:numPr>
        <w:spacing w:after="60"/>
      </w:pPr>
      <w:r>
        <w:rPr>
          <w:sz w:val="20"/>
          <w:szCs w:val="20"/>
        </w:rPr>
        <w:t xml:space="preserve">Prioritise repair of the 2ALJ-TR2 150MVA transformer at Alaoji TS, now confirmed as the single largest contributor to Port Harcourt Region's repeated line-trip pattern across three consecutive weeks.</w:t>
      </w:r>
    </w:p>
    <w:p>
      <w:pPr>
        <w:pStyle w:val="ListParagraph"/>
        <w:numPr>
          <w:ilvl w:val="0"/>
          <w:numId w:val="1"/>
        </w:numPr>
        <w:spacing w:after="60"/>
      </w:pPr>
      <w:r>
        <w:rPr>
          <w:sz w:val="20"/>
          <w:szCs w:val="20"/>
        </w:rPr>
        <w:t xml:space="preserve">Continue monitoring Bauchi and Kaduna, which have stayed clean across all three weeks, to catch any early signs of deterioration.</w:t>
      </w:r>
    </w:p>
    <w:p>
      <w:pPr>
        <w:spacing w:before="150"/>
      </w:pPr>
    </w:p>
    <w:p>
      <w:pPr>
        <w:spacing w:after="120"/>
      </w:pPr>
      <w:r>
        <w:rPr>
          <w:b/>
          <w:bCs/>
          <w:color w:val="C0392B"/>
          <w:sz w:val="18"/>
          <w:szCs w:val="18"/>
        </w:rPr>
        <w:t xml:space="preserve">Remember: Section 6 holds the accurate month-to-date picture, not a straight-line sum of the three weekly reports. Please treat the feeders named above, and in Section 7, as priority items for the rest of September.</w:t>
      </w:r>
    </w:p>
    <w:p>
      <w:pPr>
        <w:spacing w:before="300"/>
      </w:pPr>
    </w:p>
    <w:p>
      <w:pPr>
        <w:spacing w:after="120"/>
      </w:pPr>
      <w:r>
        <w:rPr>
          <w:i/>
          <w:iCs/>
          <w:color w:val="808080"/>
          <w:sz w:val="16"/>
          <w:szCs w:val="16"/>
        </w:rPr>
        <w:t xml:space="preserve">Note: Section 2 covers all outages, whatever the cause. Sections 3, 4 and 6 only cover TCN-caused 33kV feeder outages, measured against each feeder's DISCO-band outage-hour allocation. Full details for each region, including band-based SLA compliance, are in the separate Week 3 regional reports.</w:t>
      </w:r>
    </w:p>
    <w:p>
      <w:pPr>
        <w:pStyle w:val="Heading1"/>
        <w:pBdr>
          <w:bottom w:val="single" w:color="1F3864" w:sz="8" w:space="4"/>
        </w:pBdr>
        <w:spacing w:after="150" w:before="300"/>
      </w:pPr>
      <w:r>
        <w:rPr>
          <w:b/>
          <w:bCs/>
          <w:color w:val="1F3864"/>
          <w:sz w:val="28"/>
          <w:szCs w:val="28"/>
        </w:rPr>
        <w:t xml:space="preserve">10.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2026-09-23T09:40:15.916Z</dcterms:created>
  <dcterms:modified xsi:type="dcterms:W3CDTF">2026-09-23T09:40:15.916Z</dcterms:modified>
</cp:coreProperties>
</file>

<file path=docProps/custom.xml><?xml version="1.0" encoding="utf-8"?>
<Properties xmlns="http://schemas.openxmlformats.org/officeDocument/2006/custom-properties" xmlns:vt="http://schemas.openxmlformats.org/officeDocument/2006/docPropsVTypes"/>
</file>