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Port Harcourt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Port Harcourt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189 to 200, and estimated cost exposure this week is up from ₦11,567,785.84 in Week 2 to ₦32,496,319.00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200</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23,113.00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385.22</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115.56</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2,084.72</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63.0%</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12.0%</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5,916.00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103.79</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685.06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12.02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Owerri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3,426.00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92.59</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253.17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6.84</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Elelenwon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2,957.00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369.62</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399.46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49.93</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2,894.00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152.32</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317.18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16.69</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Uyo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2,791.00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155.06</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175.64</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9.76</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Ahoada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1,279.00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67.32</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19.34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1.02</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Yenagoa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1,255.00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89.64</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33.09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2.36</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PH Town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846.00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94.00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89.99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10.00</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Eket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746.00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93.25</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46.51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5.81</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Ekim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480.00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96.00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15.84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3.17</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BORI (Elelenwon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26.00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227.04</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UNIPORT (PH Main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19.67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192.57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FEEDER 1(AIRPORT) (PH Main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18.28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93.30</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UMUAHIA (Owerri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16.68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57.59</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UPTH (Rumuosi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15.50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5.17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157.21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AIRPORT (Rumuosi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14.93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76.01</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ABAK (Uyo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13.78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59.44</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ABAK (Eket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13.78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2.76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59.44</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IGBO ETCHE (Elelenwon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13.07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13.07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96.69</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REFINERY 1 (PH Main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13.02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138.82</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REFINERY 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13.02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-4.62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GOLDEN LILY</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11.55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-3.15</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RUMUPERIKON</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-3.13</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AIRPORT</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11.28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-2.88</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UNIPORT</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19.67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-2.87</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Uyo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IKOT EKPENE FDR 2 (OBOT AKARA)</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11.08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-2.68</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ABULOMA</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10.75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-2.35</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Uyo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FEEDER 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10.57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-2.17</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FEEDER 1(AIRPORT)</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18.28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-1.48</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NTA</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-0.52</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Owerri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OWERRI 2 (AIRPORT)</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-0.28</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Owerri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OWERRI 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-0.28</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12</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26.4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184.87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₦32,496,319.00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REFINERY 1</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13.02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59.12</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₦12,384,942.00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ABULOMA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10.75</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2.35</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19.66</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₦4,118,072.00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GOLDEN LILY</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18.20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₦3,757,956.00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AIRPORT</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11.28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15.03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₦3,149,134.00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RUMUPERIKON</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3.13</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11.54</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₦2,416,582.00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UNIPORT</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19.67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2.87</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34.88</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₦2,403,347.00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Uyo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IKOT EKPENE FDR 2 (OBOT AKARA)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11.08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8.05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₦1,686,475.00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Rumuosi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NTA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3.41</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₦714,395.00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Owerri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OWERRI 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0.28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₦658,877.50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PH Main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FEEDER 1(AIRPORT)</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18.28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9.05</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₦623,430.20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Owerri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OWERRI 2 (AIRPORT)</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0.28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₦356,150.00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Uyo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FEEDER 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10.57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2.17</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1.08</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₦226,958.30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pStyle w:val="Heading1"/>
        <w:pBdr>
          <w:bottom w:val="single" w:color="1F3864" w:sz="8" w:space="4"/>
        </w:pBdr>
        <w:spacing w:after="150" w:before="300"/>
      </w:pPr>
      <w:r>
        <w:rPr>
          <w:b/>
          <w:bCs/>
          <w:color w:val="1F3864"/>
          <w:sz w:val="28"/>
          <w:szCs w:val="28"/>
        </w:rPr>
        <w:t xml:space="preserve">6. Root Cause Notes</w:t>
      </w:r>
    </w:p>
    <w:p>
      <w:pPr>
        <w:spacing w:after="120"/>
      </w:pPr>
      <w:r>
        <w:rPr>
          <w:color w:val="595959"/>
          <w:sz w:val="18"/>
          <w:szCs w:val="18"/>
        </w:rPr>
        <w:t xml:space="preserve">These notes come from a feeder-by-feeder review of the underlying interruption log for 13-19 September 2026, so the actual cause behind each outage can be addressed directly.</w:t>
      </w:r>
    </w:p>
    <w:p>
      <w:pPr>
        <w:pStyle w:val="ListParagraph"/>
        <w:numPr>
          <w:ilvl w:val="0"/>
          <w:numId w:val="1"/>
        </w:numPr>
        <w:spacing w:after="60"/>
      </w:pPr>
      <w:r>
        <w:rPr>
          <w:sz w:val="20"/>
          <w:szCs w:val="20"/>
        </w:rPr>
        <w:t xml:space="preserve">The Alaoji-related issue flagged in Weeks 1 and 2 is now fully identified: the great majority of this week's PH Main and Owerri line trips (126 events) trace to repeated tripping of one specific unit, the 2ALJ-TR2 150MVA 330/132/33kV transformer at Alaoji TS, plus recurring trips on the Alaoji-Owerri and Afam-related 132kV lines. This is now a confirmed, named piece of equipment rather than a general station reliability concern, which should make it easier to target for repair.</w:t>
      </w:r>
    </w:p>
    <w:p>
      <w:pPr>
        <w:spacing w:before="300"/>
      </w:pPr>
    </w:p>
    <w:p>
      <w:pPr>
        <w:pStyle w:val="Heading1"/>
        <w:pBdr>
          <w:bottom w:val="single" w:color="1F3864" w:sz="8" w:space="4"/>
        </w:pBdr>
        <w:spacing w:after="150" w:before="300"/>
      </w:pPr>
      <w:r>
        <w:rPr>
          <w:b/>
          <w:bCs/>
          <w:color w:val="1F3864"/>
          <w:sz w:val="28"/>
          <w:szCs w:val="28"/>
        </w:rPr>
        <w:t xml:space="preserve">7.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2026-09-23T09:40:16.898Z</dcterms:created>
  <dcterms:modified xsi:type="dcterms:W3CDTF">2026-09-23T09:40:16.898Z</dcterms:modified>
</cp:coreProperties>
</file>

<file path=docProps/custom.xml><?xml version="1.0" encoding="utf-8"?>
<Properties xmlns="http://schemas.openxmlformats.org/officeDocument/2006/custom-properties" xmlns:vt="http://schemas.openxmlformats.org/officeDocument/2006/docPropsVTypes"/>
</file>