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Shiroro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Shiroro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105 to 109, and estimated cost exposure this week is up from ₦88,559,590.00 in Week 2 to ₦200,295,572.20 in Week 3.</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109</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56,460.00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941.00</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517.98</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2,179.75</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94.6%</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Planned</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3.6%</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Emergency</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1.8%</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50,486.00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1,097.52</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1,964.03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42.70</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4,862.00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113.07</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159.61</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3.71</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Bida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937.00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468.50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53.02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26.51</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Shiroro II TS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155.00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9.69</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1.84</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0.11</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Kontagora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0.62</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TAMBUWAL (Birnin-Kebbi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259.13</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129.57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487.73</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ARGUNGU (Birnin-Kebbi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96.77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48.38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696.28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GAYA (Birnin-Kebbi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92.20</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46.10</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0.21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LABANA (Birnin-Kebbi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85.07</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9.45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6.59</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FADAMA II (Birnin-Kebbi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78.22</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6.52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506.81</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FADAMA (Birnin-Kebbi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77.72</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7.07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252.38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UNIVERSITY (Birnin-Kebbi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12.93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6.56</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GWANDU (Birnin-Kebbi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74.78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37.39</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7.48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P/STATION (Sokoto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16.47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2.06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86.12</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FARFARU (Sokoto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16.38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1.82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4.42</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80"/>
        <w:gridCol w:w="1580"/>
        <w:gridCol w:w="1600"/>
      </w:tblGrid>
      <w:tr>
        <w:trPr>
          <w:tblHeader/>
        </w:trPr>
        <w:tc>
          <w:tcPr>
            <w:tcW w:type="dxa" w:w="22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Band Allocation (Hrs)</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Available (Hrs)</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TAMBUWAL</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259.13</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33.60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-225.53</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LABANA</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85.07</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-76.67</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ARGUNGU</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96.77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25.20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-71.57</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FADAMA II</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78.22</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-69.82</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FADAMA</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77.72</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-69.32</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UNIVERSITY</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-69.15</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GWANDU</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74.78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-66.38</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GAYA</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92.20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33.60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-58.60</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P/STATION</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16.47</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-8.07</w:t>
            </w:r>
          </w:p>
        </w:tc>
      </w:tr>
      <w:tr>
        <w:tc>
          <w:tcPr>
            <w:tcW w:type="dxa" w:w="22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FARFARU</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16.38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C0392B"/>
                <w:sz w:val="18"/>
                <w:szCs w:val="18"/>
              </w:rPr>
              <w:t xml:space="preserve">-7.98</w:t>
            </w:r>
          </w:p>
        </w:tc>
      </w:tr>
      <w:tr>
        <w:tc>
          <w:tcPr>
            <w:tcW w:type="dxa" w:w="22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NEW INJECTION</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14.18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C0392B"/>
                <w:sz w:val="18"/>
                <w:szCs w:val="18"/>
              </w:rPr>
              <w:t xml:space="preserve">-5.78</w:t>
            </w:r>
          </w:p>
        </w:tc>
      </w:tr>
    </w:tbl>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shd w:fill="F4F6FA" w:val="clear"/>
            <w:tcMar>
              <w:top w:type="dxa" w:w="120"/>
              <w:left w:type="dxa" w:w="150"/>
              <w:bottom w:type="dxa" w:w="120"/>
              <w:right w:type="dxa" w:w="150"/>
            </w:tcMar>
          </w:tcPr>
          <w:p>
            <w:pPr>
              <w:spacing w:after="40"/>
            </w:pPr>
            <w:r>
              <w:rPr>
                <w:b/>
                <w:bCs/>
                <w:color w:val="595959"/>
                <w:sz w:val="14"/>
                <w:szCs w:val="14"/>
              </w:rPr>
              <w:t xml:space="preserve">FEEDERS OVER ALLOCATION</w:t>
            </w:r>
          </w:p>
          <w:p>
            <w:r>
              <w:rPr>
                <w:b/>
                <w:bCs/>
                <w:color w:val="C0392B"/>
                <w:sz w:val="28"/>
                <w:szCs w:val="28"/>
              </w:rPr>
              <w:t xml:space="preserve">11</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HOURS</w:t>
            </w:r>
          </w:p>
          <w:p>
            <w:r>
              <w:rPr>
                <w:b/>
                <w:bCs/>
                <w:color w:val="1F3864"/>
                <w:sz w:val="28"/>
                <w:szCs w:val="28"/>
              </w:rPr>
              <w:t xml:space="preserve">728.9 hrs</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TOTAL EXCESS LOAD LOSS</w:t>
            </w:r>
          </w:p>
          <w:p>
            <w:r>
              <w:rPr>
                <w:b/>
                <w:bCs/>
                <w:color w:val="1F3864"/>
                <w:sz w:val="28"/>
                <w:szCs w:val="28"/>
              </w:rPr>
              <w:t xml:space="preserve">1,697.77 MWh</w:t>
            </w:r>
          </w:p>
        </w:tc>
        <w:tc>
          <w:tcPr>
            <w:tcW w:type="dxa" w:w="2340"/>
            <w:shd w:fill="F4F6FA" w:val="clear"/>
            <w:tcMar>
              <w:top w:type="dxa" w:w="120"/>
              <w:left w:type="dxa" w:w="150"/>
              <w:bottom w:type="dxa" w:w="120"/>
              <w:right w:type="dxa" w:w="150"/>
            </w:tcMar>
          </w:tcPr>
          <w:p>
            <w:pPr>
              <w:spacing w:after="40"/>
            </w:pPr>
            <w:r>
              <w:rPr>
                <w:b/>
                <w:bCs/>
                <w:color w:val="595959"/>
                <w:sz w:val="14"/>
                <w:szCs w:val="14"/>
              </w:rPr>
              <w:t xml:space="preserve">ESTIMATED COST</w:t>
            </w:r>
          </w:p>
          <w:p>
            <w:r>
              <w:rPr>
                <w:b/>
                <w:bCs/>
                <w:color w:val="1F3864"/>
                <w:sz w:val="28"/>
                <w:szCs w:val="28"/>
              </w:rPr>
              <w:t xml:space="preserve">₦200,295,572.20</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000"/>
        <w:gridCol w:w="1000"/>
        <w:gridCol w:w="1000"/>
        <w:gridCol w:w="1260"/>
        <w:gridCol w:w="1900"/>
      </w:tblGrid>
      <w:tr>
        <w:trPr>
          <w:tblHeader/>
        </w:trPr>
        <w:tc>
          <w:tcPr>
            <w:tcW w:type="dxa" w:w="15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17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TCN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Allocation (Hrs)</w:t>
            </w:r>
          </w:p>
        </w:tc>
        <w:tc>
          <w:tcPr>
            <w:tcW w:type="dxa" w:w="100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Hrs</w:t>
            </w:r>
          </w:p>
        </w:tc>
        <w:tc>
          <w:tcPr>
            <w:tcW w:type="dxa" w:w="1260"/>
            <w:gridSpan w:val="1"/>
            <w:shd w:fill="1F3864" w:val="clear"/>
            <w:tcMar>
              <w:top w:type="dxa" w:w="60"/>
              <w:left w:type="dxa" w:w="100"/>
              <w:bottom w:type="dxa" w:w="60"/>
              <w:right w:type="dxa" w:w="100"/>
            </w:tcMar>
            <w:vAlign w:val="center"/>
          </w:tcPr>
          <w:p>
            <w:pPr>
              <w:jc w:val="right"/>
            </w:pPr>
            <w:r>
              <w:rPr>
                <w:b/>
                <w:bCs/>
                <w:color w:val="FFFFFF"/>
                <w:sz w:val="17"/>
                <w:szCs w:val="17"/>
              </w:rPr>
              <w:t xml:space="preserve">Excess Loss (MWh)</w:t>
            </w:r>
          </w:p>
        </w:tc>
        <w:tc>
          <w:tcPr>
            <w:tcW w:type="dxa" w:w="1900"/>
            <w:gridSpan w:val="1"/>
            <w:shd w:fill="1F3864" w:val="clear"/>
            <w:tcMar>
              <w:top w:type="dxa" w:w="60"/>
              <w:left w:type="dxa" w:w="100"/>
              <w:bottom w:type="dxa" w:w="60"/>
              <w:right w:type="dxa" w:w="100"/>
            </w:tcMar>
            <w:vAlign w:val="center"/>
          </w:tcPr>
          <w:p>
            <w:pPr>
              <w:jc w:val="right"/>
            </w:pPr>
            <w:r>
              <w:rPr>
                <w:b/>
                <w:bCs/>
                <w:color w:val="FFFFFF"/>
                <w:sz w:val="17"/>
                <w:szCs w:val="17"/>
              </w:rPr>
              <w:t xml:space="preserve">Est. Cost (₦)</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FADAMA II</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78.22</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69.82</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466.49</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₦97,730,388.00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FADAMA</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77.72</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69.32</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208.70</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₦43,721,847.00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ARGUNGU</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96.77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25.20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71.57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514.84</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₦26,308,154.00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TAMBUWAL</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259.13</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33.60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225.53</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423.89</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₦15,005,588.00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P/STATION</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16.47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8.07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54.52</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₦11,422,638.00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GWANDU</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74.78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66.38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6.64</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₦1,390,731.00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UNIVERSITY</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77.55</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69.15</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6.56</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₦1,374,320.00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NEW INJECTION</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14.18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5.78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6.20</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₦1,297,853.00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LABANA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85.07</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76.67</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5.75</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₦1,204,555.00</w:t>
            </w:r>
          </w:p>
        </w:tc>
      </w:tr>
      <w:tr>
        <w:tc>
          <w:tcPr>
            <w:tcW w:type="dxa" w:w="15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Sokoto 132kV</w:t>
            </w:r>
          </w:p>
        </w:tc>
        <w:tc>
          <w:tcPr>
            <w:tcW w:type="dxa" w:w="17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FARFARU</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16.38</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8.40</w:t>
            </w:r>
          </w:p>
        </w:tc>
        <w:tc>
          <w:tcPr>
            <w:tcW w:type="dxa" w:w="10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7.98</w:t>
            </w:r>
          </w:p>
        </w:tc>
        <w:tc>
          <w:tcPr>
            <w:tcW w:type="dxa" w:w="12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3.97</w:t>
            </w:r>
          </w:p>
        </w:tc>
        <w:tc>
          <w:tcPr>
            <w:tcW w:type="dxa" w:w="1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₦832,064.20</w:t>
            </w:r>
          </w:p>
        </w:tc>
      </w:tr>
      <w:tr>
        <w:tc>
          <w:tcPr>
            <w:tcW w:type="dxa" w:w="15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Birnin-Kebbi 132kV</w:t>
            </w:r>
          </w:p>
        </w:tc>
        <w:tc>
          <w:tcPr>
            <w:tcW w:type="dxa" w:w="17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GAYA</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92.20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33.60</w:t>
            </w:r>
          </w:p>
        </w:tc>
        <w:tc>
          <w:tcPr>
            <w:tcW w:type="dxa" w:w="10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58.60</w:t>
            </w:r>
          </w:p>
        </w:tc>
        <w:tc>
          <w:tcPr>
            <w:tcW w:type="dxa" w:w="12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0.21</w:t>
            </w:r>
          </w:p>
        </w:tc>
        <w:tc>
          <w:tcPr>
            <w:tcW w:type="dxa" w:w="1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₦7,434.00</w:t>
            </w:r>
          </w:p>
        </w:tc>
      </w:tr>
    </w:tbl>
    <w:p>
      <w:pPr>
        <w:spacing w:after="100"/>
      </w:pPr>
    </w:p>
    <w:p>
      <w:pPr>
        <w:spacing w:after="120"/>
      </w:pPr>
      <w:r>
        <w:rPr>
          <w:b/>
          <w:bCs/>
          <w:color w:val="C0392B"/>
          <w:sz w:val="18"/>
          <w:szCs w:val="18"/>
        </w:rPr>
        <w:t xml:space="preserve">These figures are from only one week. The feeders listed above should be watched closely and worked on for the rest of the month — cutting their downtime now will directly improve TCN's default level for the full month.</w:t>
      </w:r>
    </w:p>
    <w:p>
      <w:pPr>
        <w:pStyle w:val="Heading1"/>
        <w:pBdr>
          <w:bottom w:val="single" w:color="1F3864" w:sz="8" w:space="4"/>
        </w:pBdr>
        <w:spacing w:after="150" w:before="300"/>
      </w:pPr>
      <w:r>
        <w:rPr>
          <w:b/>
          <w:bCs/>
          <w:color w:val="1F3864"/>
          <w:sz w:val="28"/>
          <w:szCs w:val="28"/>
        </w:rPr>
        <w:t xml:space="preserve">6. Root Cause Notes</w:t>
      </w:r>
    </w:p>
    <w:p>
      <w:pPr>
        <w:spacing w:after="120"/>
      </w:pPr>
      <w:r>
        <w:rPr>
          <w:color w:val="595959"/>
          <w:sz w:val="18"/>
          <w:szCs w:val="18"/>
        </w:rPr>
        <w:t xml:space="preserve">These notes come from a feeder-by-feeder review of the underlying interruption log for 13-19 September 2026, so the actual cause behind each outage can be addressed directly.</w:t>
      </w:r>
    </w:p>
    <w:p>
      <w:pPr>
        <w:pStyle w:val="ListParagraph"/>
        <w:numPr>
          <w:ilvl w:val="0"/>
          <w:numId w:val="1"/>
        </w:numPr>
        <w:spacing w:after="60"/>
      </w:pPr>
      <w:r>
        <w:rPr>
          <w:sz w:val="20"/>
          <w:szCs w:val="20"/>
        </w:rPr>
        <w:t xml:space="preserve">Birnin-Kebbi 132kV's TAMBUWAL feeder was down for 236 hours (nearly 10 days, 7-16 September) due to a distance-protection relay operating on a fault detected 198.5km away (Zone 2 reach) — worth checking whether the protection settings on this line are correctly coordinated, since a Zone 2 operation of this length is unusual and may point to a relay/settings issue rather than a fault on the local line section.</w:t>
      </w:r>
    </w:p>
    <w:p>
      <w:pPr>
        <w:pStyle w:val="ListParagraph"/>
        <w:numPr>
          <w:ilvl w:val="0"/>
          <w:numId w:val="1"/>
        </w:numPr>
        <w:spacing w:after="60"/>
      </w:pPr>
      <w:r>
        <w:rPr>
          <w:sz w:val="20"/>
          <w:szCs w:val="20"/>
        </w:rPr>
        <w:t xml:space="preserve">Beyond TAMBUWAL, the rest of Birnin-Kebbi's affected feeders continue to trace to repeated 132kV line trips at Mafara TS (and one at Sokoto TS), consistent with the station's dependence on the Talata-Mafara backfeed while the Kainji-Birnin Kebbi 330kV line remains under force majeure repair.</w:t>
      </w:r>
    </w:p>
    <w:p>
      <w:pPr>
        <w:pStyle w:val="Heading1"/>
        <w:pBdr>
          <w:bottom w:val="single" w:color="1F3864" w:sz="8" w:space="4"/>
        </w:pBdr>
        <w:spacing w:after="150" w:before="300"/>
      </w:pPr>
      <w:r>
        <w:rPr>
          <w:b/>
          <w:bCs/>
          <w:color w:val="1F3864"/>
          <w:sz w:val="28"/>
          <w:szCs w:val="28"/>
        </w:rPr>
        <w:t xml:space="preserve">7. Key Intervention / Loss Prevention Action by Operations Department</w:t>
      </w:r>
    </w:p>
    <w:p>
      <w:pPr>
        <w:spacing w:after="120"/>
      </w:pPr>
      <w:r>
        <w:rPr>
          <w:color w:val="595959"/>
          <w:sz w:val="18"/>
          <w:szCs w:val="18"/>
        </w:rPr>
        <w:t xml:space="preserve">This section documents corrective action the Operations Department has already taken in response to a finding from this analysis.</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Birnin-Kebbi 132kV TS: a misattribution has been identified and correction is already underway with NISO.</w:t>
      </w:r>
    </w:p>
    <w:p>
      <w:pPr>
        <w:pStyle w:val="ListParagraph"/>
        <w:numPr>
          <w:ilvl w:val="0"/>
          <w:numId w:val="1"/>
        </w:numPr>
        <w:spacing w:after="60"/>
      </w:pPr>
      <w:r>
        <w:rPr>
          <w:sz w:val="20"/>
          <w:szCs w:val="20"/>
        </w:rPr>
        <w:t xml:space="preserve">Root cause: the sharp rise in this region's attributed cost, particularly at Birnin-Kebbi 132kV TS, traces back to the collapse of Tower T367 on the 330kV Kainji-Birnin Kebbi line (TCN declared force majeure on the circuit, 2KNJ-BRK1, on 8 September 2026). With that circuit down, Birnin-Kebbi TS has depended on a backfeed from Talata-Mafara TS, which cannot carry the station's full load.</w:t>
      </w:r>
    </w:p>
    <w:p>
      <w:pPr>
        <w:pStyle w:val="ListParagraph"/>
        <w:numPr>
          <w:ilvl w:val="0"/>
          <w:numId w:val="1"/>
        </w:numPr>
        <w:spacing w:after="60"/>
      </w:pPr>
      <w:r>
        <w:rPr>
          <w:sz w:val="20"/>
          <w:szCs w:val="20"/>
        </w:rPr>
        <w:t xml:space="preserve">Finding: because of this reduced-capacity backfeed, TCN and the DISCO had already reached an understanding to leave out (shed) certain feeders at certain periods for the duration of the force majeure. However, this agreed shedding arrangement was not reflected on the 33kV interruption sheet, so the affected feeders continued to be logged as ordinary TCN-caused outages — meaning TCN was still being attributed for outages that were, in fact, part of an agreed, force-majeure-related load management arrangement with the DISCO, not a TCN-caused fault.</w:t>
      </w:r>
    </w:p>
    <w:p>
      <w:pPr>
        <w:pStyle w:val="ListParagraph"/>
        <w:numPr>
          <w:ilvl w:val="0"/>
          <w:numId w:val="1"/>
        </w:numPr>
        <w:spacing w:after="60"/>
      </w:pPr>
      <w:r>
        <w:rPr>
          <w:sz w:val="20"/>
          <w:szCs w:val="20"/>
        </w:rPr>
        <w:t xml:space="preserve">How it was caught: this misattribution was only uncovered through the feeder-level analysis carried out by the Operations Department's Outage Report &amp; Analytics Software.</w:t>
      </w:r>
    </w:p>
    <w:p>
      <w:pPr>
        <w:pStyle w:val="ListParagraph"/>
        <w:numPr>
          <w:ilvl w:val="0"/>
          <w:numId w:val="1"/>
        </w:numPr>
        <w:spacing w:after="60"/>
      </w:pPr>
      <w:r>
        <w:rPr>
          <w:sz w:val="20"/>
          <w:szCs w:val="20"/>
        </w:rPr>
        <w:t xml:space="preserve">Action taken: the Operations Department has engaged the NISO Regional Operations Manager (ROM) for Shiroro Region, under which the Birnin-Kebbi Sub-region falls. It has been agreed that a wholesale correction will be made to the attribution records for the affected feeders from 10 September 2026 to date, to properly reclassify them as force-majeure/agreed-shedding events rather than TCN-attributed outages. This is currently in progress, and NISO Headquarters has also been briefed and is supportive of the correction.</w:t>
      </w:r>
    </w:p>
    <w:p>
      <w:pPr>
        <w:pStyle w:val="ListParagraph"/>
        <w:numPr>
          <w:ilvl w:val="0"/>
          <w:numId w:val="1"/>
        </w:numPr>
        <w:spacing w:after="60"/>
      </w:pPr>
      <w:r>
        <w:rPr>
          <w:sz w:val="20"/>
          <w:szCs w:val="20"/>
        </w:rPr>
        <w:t xml:space="preserve">Effect on this report's figures: the Birnin-Kebbi 132kV figures in Sections 1-5 above may overstate TCN's true attributable exposure for the period from 10 September onward, and should be treated as provisional pending the correction. An updated position will be reflected in the next weekly report or issued as an addendum.</w:t>
      </w:r>
    </w:p>
    <w:p>
      <w:pPr>
        <w:spacing w:before="300"/>
      </w:pPr>
    </w:p>
    <w:p>
      <w:pPr>
        <w:pStyle w:val="Heading1"/>
        <w:pBdr>
          <w:bottom w:val="single" w:color="1F3864" w:sz="8" w:space="4"/>
        </w:pBdr>
        <w:spacing w:after="150" w:before="300"/>
      </w:pPr>
      <w:r>
        <w:rPr>
          <w:b/>
          <w:bCs/>
          <w:color w:val="1F3864"/>
          <w:sz w:val="28"/>
          <w:szCs w:val="28"/>
        </w:rPr>
        <w:t xml:space="preserve">8.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2026-09-23T09:40:16.945Z</dcterms:created>
  <dcterms:modified xsi:type="dcterms:W3CDTF">2026-09-23T09:40:16.945Z</dcterms:modified>
</cp:coreProperties>
</file>

<file path=docProps/custom.xml><?xml version="1.0" encoding="utf-8"?>
<Properties xmlns="http://schemas.openxmlformats.org/officeDocument/2006/custom-properties" xmlns:vt="http://schemas.openxmlformats.org/officeDocument/2006/docPropsVTypes"/>
</file>