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A"/>
          <w:sz w:val="64"/>
          <w:szCs w:val="64"/>
        </w:rPr>
        <w:t xml:space="preserve">KoropePulse</w:t>
      </w:r>
    </w:p>
    <w:p>
      <w:pPr>
        <w:spacing w:after="400"/>
      </w:pPr>
      <w:r>
        <w:rPr>
          <w:i/>
          <w:iCs/>
          <w:color w:val="0E7C7B"/>
          <w:sz w:val="28"/>
          <w:szCs w:val="28"/>
        </w:rPr>
        <w:t xml:space="preserve">A Hybrid Driver-Led Ledger &amp; AI Predictive Engine for Nigeria's Informal Public Transit Networks</w:t>
      </w:r>
    </w:p>
    <w:p>
      <w:pPr>
        <w:spacing w:after="100" w:line="280"/>
      </w:pPr>
      <w:r>
        <w:rPr>
          <w:b/>
          <w:bCs/>
        </w:rPr>
        <w:t xml:space="preserve">Prepared for: </w:t>
      </w:r>
      <w:r>
        <w:t xml:space="preserve">Future hackathon submission and business pitch (post-UNILAG pilot)</w:t>
      </w:r>
    </w:p>
    <w:p>
      <w:pPr>
        <w:spacing w:after="100" w:line="280"/>
      </w:pPr>
      <w:r>
        <w:rPr>
          <w:b/>
          <w:bCs/>
        </w:rPr>
        <w:t xml:space="preserve">Prepared by: </w:t>
      </w:r>
      <w:r>
        <w:t xml:space="preserve">Emmanuel — Founder, Noukratos Labs</w:t>
      </w:r>
    </w:p>
    <w:p>
      <w:pPr>
        <w:spacing w:after="100" w:line="280"/>
      </w:pPr>
      <w:r>
        <w:rPr>
          <w:b/>
          <w:bCs/>
        </w:rPr>
        <w:t xml:space="preserve">Document type: </w:t>
      </w:r>
      <w:r>
        <w:t xml:space="preserve">Business Concept &amp; Pitch Brief</w:t>
      </w:r>
    </w:p>
    <w:p>
      <w:pPr>
        <w:spacing w:after="100" w:line="280"/>
      </w:pPr>
      <w:r>
        <w:rPr>
          <w:b/>
          <w:bCs/>
        </w:rPr>
        <w:t xml:space="preserve">Date: </w:t>
      </w:r>
      <w:r>
        <w:t xml:space="preserve">July 2026</w:t>
      </w:r>
    </w:p>
    <w:p>
      <w:r>
        <w:br w:type="page"/>
      </w:r>
    </w:p>
    <w:p>
      <w:pPr>
        <w:pStyle w:val="Heading1"/>
        <w:spacing w:after="160" w:before="320"/>
      </w:pPr>
      <w:r>
        <w:t xml:space="preserve">1. Executive Summary</w:t>
      </w:r>
    </w:p>
    <w:p>
      <w:pPr>
        <w:spacing w:after="160" w:line="300"/>
      </w:pPr>
      <w:r>
        <w:t xml:space="preserve">Nigeria's urban transport ecosystem — from campus parks like UNILAG to major hubs like Oshodi, Ojota, and Nyanya — operates with zero centralized visibility into vehicle location, passenger demand, or fleet distribution. KoropePulse is a lightweight, infrastructure-light digital transit network that closes this visibility gap using a phased approach: starting with a driver-reported manifest and predictive software layer, and scaling toward automated, privacy-preserving hardware sensing once field data and partnerships justify the investment.</w:t>
      </w:r>
    </w:p>
    <w:p>
      <w:pPr>
        <w:spacing w:after="160" w:line="300"/>
      </w:pPr>
      <w:r>
        <w:t xml:space="preserve">The venture is deliberately staged in two tracks: a rapid, software-only prototype for the UNILAG closed-ecosystem pilot, and a fuller hardware-augmented system architected for the WEMA Hackaholics 7.0 Startup Pitch Competition and eventual municipal/union partnerships (NURTW, LAMATA, state transport authorities).</w:t>
      </w:r>
    </w:p>
    <w:p>
      <w:pPr>
        <w:pStyle w:val="Heading1"/>
        <w:spacing w:after="160" w:before="320"/>
      </w:pPr>
      <w:r>
        <w:t xml:space="preserve">2. Problem Statement</w:t>
      </w:r>
    </w:p>
    <w:p>
      <w:pPr>
        <w:spacing w:after="160" w:line="300"/>
      </w:pPr>
      <w:r>
        <w:rPr>
          <w:b w:val="false"/>
          <w:bCs w:val="false"/>
        </w:rPr>
        <w:t xml:space="preserve">Nigeria's public transit crisis is a data visibility problem, not merely a capacity problem:</w:t>
      </w:r>
    </w:p>
    <w:p>
      <w:pPr>
        <w:pStyle w:val="ListParagraph"/>
        <w:numPr>
          <w:ilvl w:val="0"/>
          <w:numId w:val="1"/>
        </w:numPr>
        <w:spacing w:after="80" w:line="280"/>
      </w:pPr>
      <w:r>
        <w:t xml:space="preserve">Commuter Time Poverty — passengers wait in unmanaged queues with no visibility into vehicle arrival schedules.</w:t>
      </w:r>
    </w:p>
    <w:p>
      <w:pPr>
        <w:pStyle w:val="ListParagraph"/>
        <w:numPr>
          <w:ilvl w:val="0"/>
          <w:numId w:val="1"/>
        </w:numPr>
        <w:spacing w:after="80" w:line="280"/>
      </w:pPr>
      <w:r>
        <w:t xml:space="preserve">Traffic &amp; Gridlock Amplification — commercial vehicles roam or block arterial roads because drivers cannot gauge real-time passenger demand.</w:t>
      </w:r>
    </w:p>
    <w:p>
      <w:pPr>
        <w:pStyle w:val="ListParagraph"/>
        <w:numPr>
          <w:ilvl w:val="0"/>
          <w:numId w:val="1"/>
        </w:numPr>
        <w:spacing w:after="80" w:line="280"/>
      </w:pPr>
      <w:r>
        <w:t xml:space="preserve">Union &amp; Fleet Inefficiency — transport operators lack logistics data to optimize fleet distribution, wasting fuel and vehicle life during off-peak hours.</w:t>
      </w:r>
    </w:p>
    <w:p>
      <w:pPr>
        <w:pStyle w:val="Heading1"/>
        <w:spacing w:after="160" w:before="320"/>
      </w:pPr>
      <w:r>
        <w:t xml:space="preserve">3. Solution Overview</w:t>
      </w:r>
    </w:p>
    <w:p>
      <w:pPr>
        <w:pStyle w:val="Heading2"/>
        <w:spacing w:after="120" w:before="240"/>
      </w:pPr>
      <w:r>
        <w:t xml:space="preserve">3.1 Phase 1 — Software Core (Manifest + Predictive Engine)</w:t>
      </w:r>
    </w:p>
    <w:p>
      <w:pPr>
        <w:pStyle w:val="ListParagraph"/>
        <w:numPr>
          <w:ilvl w:val="0"/>
          <w:numId w:val="1"/>
        </w:numPr>
        <w:spacing w:after="80" w:line="280"/>
      </w:pPr>
      <w:r>
        <w:t xml:space="preserve">Mobile Driver Manifest: a one-tap PWA for drivers to broadcast location-lifecycle events ("Arrived at Park", "On the Move", "Arrived at Destination").</w:t>
      </w:r>
    </w:p>
    <w:p>
      <w:pPr>
        <w:pStyle w:val="ListParagraph"/>
        <w:numPr>
          <w:ilvl w:val="0"/>
          <w:numId w:val="1"/>
        </w:numPr>
        <w:spacing w:after="80" w:line="280"/>
      </w:pPr>
      <w:r>
        <w:t xml:space="preserve">AI Predictive Transit Engine: ingests dispatch logs, weather, rush-hour schedules, and commuter inputs to forecast demand, recommend dispatch, and generate dynamic ETAs.</w:t>
      </w:r>
    </w:p>
    <w:p>
      <w:pPr>
        <w:pStyle w:val="Heading2"/>
        <w:spacing w:after="120" w:before="240"/>
      </w:pPr>
      <w:r>
        <w:t xml:space="preserve">3.2 Phase 2 — Automated Sensing Hardware (WEMA-scale roadmap)</w:t>
      </w:r>
    </w:p>
    <w:p>
      <w:pPr>
        <w:pStyle w:val="ListParagraph"/>
        <w:numPr>
          <w:ilvl w:val="0"/>
          <w:numId w:val="1"/>
        </w:numPr>
        <w:spacing w:after="80" w:line="280"/>
      </w:pPr>
      <w:r>
        <w:t xml:space="preserve">Vehicle Motion &amp; Distance Tracker: an ESP32 + low-cost GPS node per vehicle performing on-device geofence and checkpoint-crossing detection along each vehicle's fixed route, uplinked via LoRa to a park-side gateway. This automates driver check-in and yields real-time vehicle counts per park without relying on driver compliance.</w:t>
      </w:r>
    </w:p>
    <w:p>
      <w:pPr>
        <w:pStyle w:val="ListParagraph"/>
        <w:numPr>
          <w:ilvl w:val="0"/>
          <w:numId w:val="1"/>
        </w:numPr>
        <w:spacing w:after="80" w:line="280"/>
      </w:pPr>
      <w:r>
        <w:t xml:space="preserve">Privacy-Preserving Queue Sensor: a park-mounted camera performing on-device person/blob counting (edge inference, similar in spirit to lightweight on-device classifiers already used elsewhere in the founder's portfolio). Only a derived count leaves the device — never a frame, crop, or face — so queue length is estimated without any image transmission or storage, addressing both cost and privacy/NDPR concerns.</w:t>
      </w:r>
    </w:p>
    <w:p>
      <w:pPr>
        <w:spacing w:after="160" w:line="300"/>
      </w:pPr>
      <w:r>
        <w:t xml:space="preserve">This two-phase structure is deliberate: Phase 1 proves the software logic and demand model cheaply and fast; Phase 2 is the credible, fundable path to true national scale, where automated sensing removes the single largest adoption barrier — voluntary driver compliance.</w:t>
      </w:r>
    </w:p>
    <w:p>
      <w:pPr>
        <w:pStyle w:val="Heading1"/>
        <w:spacing w:after="160" w:before="320"/>
      </w:pPr>
      <w:r>
        <w:t xml:space="preserve">4. How the AI Model Works</w:t>
      </w:r>
    </w:p>
    <w:p>
      <w:pPr>
        <w:pStyle w:val="ListParagraph"/>
        <w:numPr>
          <w:ilvl w:val="0"/>
          <w:numId w:val="1"/>
        </w:numPr>
        <w:spacing w:after="80" w:line="280"/>
      </w:pPr>
      <w:r>
        <w:t xml:space="preserve">Demand Forecasting: predicts passenger surges ahead of time (e.g., a spike at a rainy Friday rush hour) using historical dispatch and queue data.</w:t>
      </w:r>
    </w:p>
    <w:p>
      <w:pPr>
        <w:pStyle w:val="ListParagraph"/>
        <w:numPr>
          <w:ilvl w:val="0"/>
          <w:numId w:val="1"/>
        </w:numPr>
        <w:spacing w:after="80" w:line="280"/>
      </w:pPr>
      <w:r>
        <w:t xml:space="preserve">Intelligent Dispatching: calculates optimal vehicle counts per hub and alerts nearby idle or moving drivers to redirect before a supply deficit causes a bottleneck.</w:t>
      </w:r>
    </w:p>
    <w:p>
      <w:pPr>
        <w:pStyle w:val="ListParagraph"/>
        <w:numPr>
          <w:ilvl w:val="0"/>
          <w:numId w:val="1"/>
        </w:numPr>
        <w:spacing w:after="80" w:line="280"/>
      </w:pPr>
      <w:r>
        <w:t xml:space="preserve">Dynamic ETA Generation: factors time of day, check-in frequency, and historical choke points into continuously updated ETAs, rather than static timers.</w:t>
      </w:r>
    </w:p>
    <w:p>
      <w:pPr>
        <w:spacing w:after="160" w:line="300"/>
      </w:pPr>
      <w:r>
        <w:rPr>
          <w:i/>
          <w:iCs/>
          <w:color w:val="555555"/>
        </w:rPr>
        <w:t xml:space="preserve">Model honesty note: the initial model is a heuristic/regression baseline trained on limited empirical field data (manually observed BRT headways, queue counts, and weather tags) augmented with synthetic data for coverage gaps. This is explicitly framed as a validated proof-of-concept, with a stated roadmap toward a full time-series model once continuous dispatch-log data is available through a LAMATA/NURTW partnership.</w:t>
      </w:r>
    </w:p>
    <w:p>
      <w:pPr>
        <w:pStyle w:val="Heading1"/>
        <w:spacing w:after="160" w:before="320"/>
      </w:pPr>
      <w:r>
        <w:t xml:space="preserve">5. MVP Scope (UNILAG Pilot — Software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shd w:fill="1B2A4A" w:val="clear"/>
          </w:tcPr>
          <w:p>
            <w:r>
              <w:rPr>
                <w:b/>
                <w:bCs/>
                <w:color w:val="FFFFFF"/>
              </w:rPr>
              <w:t xml:space="preserve">Layer</w:t>
            </w:r>
          </w:p>
        </w:tc>
        <w:tc>
          <w:tcPr>
            <w:tcW w:type="dxa" w:w="3500"/>
            <w:shd w:fill="1B2A4A" w:val="clear"/>
          </w:tcPr>
          <w:p>
            <w:r>
              <w:rPr>
                <w:b/>
                <w:bCs/>
                <w:color w:val="FFFFFF"/>
              </w:rPr>
              <w:t xml:space="preserve">Technology</w:t>
            </w:r>
          </w:p>
        </w:tc>
        <w:tc>
          <w:tcPr>
            <w:tcW w:type="dxa" w:w="3500"/>
            <w:shd w:fill="1B2A4A" w:val="clear"/>
          </w:tcPr>
          <w:p>
            <w:r>
              <w:rPr>
                <w:b/>
                <w:bCs/>
                <w:color w:val="FFFFFF"/>
              </w:rPr>
              <w:t xml:space="preserve">Notes</w:t>
            </w:r>
          </w:p>
        </w:tc>
      </w:tr>
      <w:tr>
        <w:tc>
          <w:tcPr>
            <w:tcW w:type="dxa" w:w="2000"/>
          </w:tcPr>
          <w:p>
            <w:r>
              <w:t xml:space="preserve">Frontend</w:t>
            </w:r>
          </w:p>
        </w:tc>
        <w:tc>
          <w:tcPr>
            <w:tcW w:type="dxa" w:w="3500"/>
          </w:tcPr>
          <w:p>
            <w:r>
              <w:t xml:space="preserve">React or Flutter (PWA)</w:t>
            </w:r>
          </w:p>
        </w:tc>
        <w:tc>
          <w:tcPr>
            <w:tcW w:type="dxa" w:w="3500"/>
          </w:tcPr>
          <w:p>
            <w:r>
              <w:t xml:space="preserve">Optimized for low-end phones, minimal bandwidth</w:t>
            </w:r>
          </w:p>
        </w:tc>
      </w:tr>
      <w:tr>
        <w:tc>
          <w:tcPr>
            <w:tcW w:type="dxa" w:w="2000"/>
          </w:tcPr>
          <w:p>
            <w:r>
              <w:t xml:space="preserve">Real-time backend</w:t>
            </w:r>
          </w:p>
        </w:tc>
        <w:tc>
          <w:tcPr>
            <w:tcW w:type="dxa" w:w="3500"/>
          </w:tcPr>
          <w:p>
            <w:r>
              <w:t xml:space="preserve">Firebase Realtime DB / Supabase</w:t>
            </w:r>
          </w:p>
        </w:tc>
        <w:tc>
          <w:tcPr>
            <w:tcW w:type="dxa" w:w="3500"/>
          </w:tcPr>
          <w:p>
            <w:r>
              <w:t xml:space="preserve">Instant state sync between drivers and commuters</w:t>
            </w:r>
          </w:p>
        </w:tc>
      </w:tr>
      <w:tr>
        <w:tc>
          <w:tcPr>
            <w:tcW w:type="dxa" w:w="2000"/>
          </w:tcPr>
          <w:p>
            <w:r>
              <w:t xml:space="preserve">Predictive layer</w:t>
            </w:r>
          </w:p>
        </w:tc>
        <w:tc>
          <w:tcPr>
            <w:tcW w:type="dxa" w:w="3500"/>
          </w:tcPr>
          <w:p>
            <w:r>
              <w:t xml:space="preserve">scikit-learn or Prophet, Flask/FastAPI</w:t>
            </w:r>
          </w:p>
        </w:tc>
        <w:tc>
          <w:tcPr>
            <w:tcW w:type="dxa" w:w="3500"/>
          </w:tcPr>
          <w:p>
            <w:r>
              <w:t xml:space="preserve">Simulated + limited real BRT data; heuristic baseline</w:t>
            </w:r>
          </w:p>
        </w:tc>
      </w:tr>
      <w:tr>
        <w:tc>
          <w:tcPr>
            <w:tcW w:type="dxa" w:w="2000"/>
          </w:tcPr>
          <w:p>
            <w:r>
              <w:t xml:space="preserve">Data collection</w:t>
            </w:r>
          </w:p>
        </w:tc>
        <w:tc>
          <w:tcPr>
            <w:tcW w:type="dxa" w:w="3500"/>
          </w:tcPr>
          <w:p>
            <w:r>
              <w:t xml:space="preserve">Manual field observation</w:t>
            </w:r>
          </w:p>
        </w:tc>
        <w:tc>
          <w:tcPr>
            <w:tcW w:type="dxa" w:w="3500"/>
          </w:tcPr>
          <w:p>
            <w:r>
              <w:t xml:space="preserve">Headway, queue count, dwell time, weather, peak/off-peak tags at BRT terminals</w:t>
            </w:r>
          </w:p>
        </w:tc>
      </w:tr>
    </w:tbl>
    <w:p>
      <w:pPr>
        <w:spacing w:after="160" w:line="300"/>
      </w:pPr>
      <w:r>
        <w:t xml:space="preserve"/>
      </w:r>
    </w:p>
    <w:p>
      <w:pPr>
        <w:spacing w:after="160" w:line="300"/>
      </w:pPr>
      <w:r>
        <w:rPr>
          <w:i/>
          <w:iCs/>
          <w:color w:val="555555"/>
        </w:rPr>
        <w:t xml:space="preserve">No hardware is deployed at this stage — it would contradict the low-infrastructure value proposition and cannot be responsibly built and validated within a 4-day window.</w:t>
      </w:r>
    </w:p>
    <w:p>
      <w:pPr>
        <w:pStyle w:val="Heading1"/>
        <w:spacing w:after="160" w:before="320"/>
      </w:pPr>
      <w:r>
        <w:t xml:space="preserve">6. Hardware Roadmap (Phase 2 — WEMA Pitch)</w:t>
      </w:r>
    </w:p>
    <w:p>
      <w:pPr>
        <w:pStyle w:val="Heading2"/>
        <w:spacing w:after="120" w:before="240"/>
      </w:pPr>
      <w:r>
        <w:t xml:space="preserve">6.1 Vehicle Motion &amp; Distance Tracker</w:t>
      </w:r>
    </w:p>
    <w:p>
      <w:pPr>
        <w:pStyle w:val="ListParagraph"/>
        <w:numPr>
          <w:ilvl w:val="0"/>
          <w:numId w:val="1"/>
        </w:numPr>
        <w:spacing w:after="80" w:line="280"/>
      </w:pPr>
      <w:r>
        <w:t xml:space="preserve">ESP32 microcontroller + low-cost GPS module (e.g., NEO-6M) per vehicle.</w:t>
      </w:r>
    </w:p>
    <w:p>
      <w:pPr>
        <w:pStyle w:val="ListParagraph"/>
        <w:numPr>
          <w:ilvl w:val="0"/>
          <w:numId w:val="1"/>
        </w:numPr>
        <w:spacing w:after="80" w:line="280"/>
      </w:pPr>
      <w:r>
        <w:t xml:space="preserve">On-device geofence logic flags arrival/departure/en-route transitions locally — raw GPS is not streamed continuously.</w:t>
      </w:r>
    </w:p>
    <w:p>
      <w:pPr>
        <w:pStyle w:val="ListParagraph"/>
        <w:numPr>
          <w:ilvl w:val="0"/>
          <w:numId w:val="1"/>
        </w:numPr>
        <w:spacing w:after="80" w:line="280"/>
      </w:pPr>
      <w:r>
        <w:t xml:space="preserve">LoRa uplink to a park-side gateway for range across park-to-park distances.</w:t>
      </w:r>
    </w:p>
    <w:p>
      <w:pPr>
        <w:pStyle w:val="ListParagraph"/>
        <w:numPr>
          <w:ilvl w:val="0"/>
          <w:numId w:val="1"/>
        </w:numPr>
        <w:spacing w:after="80" w:line="280"/>
      </w:pPr>
      <w:r>
        <w:t xml:space="preserve">Vehicle count at a park is derived as the count of devices currently inside that park's geofence.</w:t>
      </w:r>
    </w:p>
    <w:p>
      <w:pPr>
        <w:pStyle w:val="Heading2"/>
        <w:spacing w:after="120" w:before="240"/>
      </w:pPr>
      <w:r>
        <w:t xml:space="preserve">6.2 Privacy-Preserving Queue Camera</w:t>
      </w:r>
    </w:p>
    <w:p>
      <w:pPr>
        <w:pStyle w:val="ListParagraph"/>
        <w:numPr>
          <w:ilvl w:val="0"/>
          <w:numId w:val="1"/>
        </w:numPr>
        <w:spacing w:after="80" w:line="280"/>
      </w:pPr>
      <w:r>
        <w:t xml:space="preserve">On-device blob/silhouette or lightweight person-detection model performs local inference.</w:t>
      </w:r>
    </w:p>
    <w:p>
      <w:pPr>
        <w:pStyle w:val="ListParagraph"/>
        <w:numPr>
          <w:ilvl w:val="0"/>
          <w:numId w:val="1"/>
        </w:numPr>
        <w:spacing w:after="80" w:line="280"/>
      </w:pPr>
      <w:r>
        <w:t xml:space="preserve">Only the resulting count leaves the device — never a frame, bounding box, or face.</w:t>
      </w:r>
    </w:p>
    <w:p>
      <w:pPr>
        <w:pStyle w:val="ListParagraph"/>
        <w:numPr>
          <w:ilvl w:val="0"/>
          <w:numId w:val="1"/>
        </w:numPr>
        <w:spacing w:after="80" w:line="280"/>
      </w:pPr>
      <w:r>
        <w:t xml:space="preserve">Privacy is architectural, not policy-based: the raw image never leaves the sensor node.</w:t>
      </w:r>
    </w:p>
    <w:p>
      <w:pPr>
        <w:spacing w:after="160" w:line="300"/>
      </w:pPr>
      <w:r>
        <w:rPr>
          <w:i/>
          <w:iCs/>
          <w:color w:val="555555"/>
        </w:rPr>
        <w:t xml:space="preserve">Regulatory note: even count-only crowd sensing at a public transit hub is likely to be treated as data processing under Nigeria's NDPR. This should be pre-empted in any pitch or filing with an explicit data-minimization and processing-basis statement, rather than left for a judge or regulator to raise first.</w:t>
      </w:r>
    </w:p>
    <w:p>
      <w:pPr>
        <w:pStyle w:val="Heading1"/>
        <w:spacing w:after="160" w:before="320"/>
      </w:pPr>
      <w:r>
        <w:t xml:space="preserve">7. Business Model &amp; Path to 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B2A4A" w:val="clear"/>
          </w:tcPr>
          <w:p>
            <w:r>
              <w:rPr>
                <w:b/>
                <w:bCs/>
                <w:color w:val="FFFFFF"/>
              </w:rPr>
              <w:t xml:space="preserve">Revenue stream</w:t>
            </w:r>
          </w:p>
        </w:tc>
        <w:tc>
          <w:tcPr>
            <w:tcW w:type="dxa" w:w="5800"/>
            <w:shd w:fill="1B2A4A" w:val="clear"/>
          </w:tcPr>
          <w:p>
            <w:r>
              <w:rPr>
                <w:b/>
                <w:bCs/>
                <w:color w:val="FFFFFF"/>
              </w:rPr>
              <w:t xml:space="preserve">Description</w:t>
            </w:r>
          </w:p>
        </w:tc>
      </w:tr>
      <w:tr>
        <w:tc>
          <w:tcPr>
            <w:tcW w:type="dxa" w:w="3200"/>
          </w:tcPr>
          <w:p>
            <w:r>
              <w:t xml:space="preserve">Union/DisCo-style partnership fees</w:t>
            </w:r>
          </w:p>
        </w:tc>
        <w:tc>
          <w:tcPr>
            <w:tcW w:type="dxa" w:w="5800"/>
          </w:tcPr>
          <w:p>
            <w:r>
              <w:t xml:space="preserve">Municipal or union licensing of the dispatch/analytics platform per park or corridor</w:t>
            </w:r>
          </w:p>
        </w:tc>
      </w:tr>
      <w:tr>
        <w:tc>
          <w:tcPr>
            <w:tcW w:type="dxa" w:w="3200"/>
          </w:tcPr>
          <w:p>
            <w:r>
              <w:t xml:space="preserve">Advertising &amp; sponsored placement</w:t>
            </w:r>
          </w:p>
        </w:tc>
        <w:tc>
          <w:tcPr>
            <w:tcW w:type="dxa" w:w="5800"/>
          </w:tcPr>
          <w:p>
            <w:r>
              <w:t xml:space="preserve">In-app placement for local businesses near transit hubs, shown to commuters waiting for ETAs</w:t>
            </w:r>
          </w:p>
        </w:tc>
      </w:tr>
      <w:tr>
        <w:tc>
          <w:tcPr>
            <w:tcW w:type="dxa" w:w="3200"/>
          </w:tcPr>
          <w:p>
            <w:r>
              <w:t xml:space="preserve">Data &amp; analytics licensing</w:t>
            </w:r>
          </w:p>
        </w:tc>
        <w:tc>
          <w:tcPr>
            <w:tcW w:type="dxa" w:w="5800"/>
          </w:tcPr>
          <w:p>
            <w:r>
              <w:t xml:space="preserve">Aggregated, anonymized congestion and demand data licensed to city planners, LAMATA, or logistics companies</w:t>
            </w:r>
          </w:p>
        </w:tc>
      </w:tr>
      <w:tr>
        <w:tc>
          <w:tcPr>
            <w:tcW w:type="dxa" w:w="3200"/>
          </w:tcPr>
          <w:p>
            <w:r>
              <w:t xml:space="preserve">Hardware-as-a-service</w:t>
            </w:r>
          </w:p>
        </w:tc>
        <w:tc>
          <w:tcPr>
            <w:tcW w:type="dxa" w:w="5800"/>
          </w:tcPr>
          <w:p>
            <w:r>
              <w:t xml:space="preserve">Leased sensor nodes (vehicle tracker + queue camera) to parks/unions, recurring node + connectivity fee</w:t>
            </w:r>
          </w:p>
        </w:tc>
      </w:tr>
    </w:tbl>
    <w:p>
      <w:pPr>
        <w:spacing w:after="160" w:line="300"/>
      </w:pPr>
      <w:r>
        <w:t xml:space="preserve"/>
      </w:r>
    </w:p>
    <w:p>
      <w:pPr>
        <w:pStyle w:val="Heading1"/>
        <w:spacing w:after="160" w:before="320"/>
      </w:pPr>
      <w:r>
        <w:t xml:space="preserve">8. National Scale &amp; Macroeconomic Impact</w:t>
      </w:r>
    </w:p>
    <w:p>
      <w:pPr>
        <w:spacing w:after="160" w:line="300"/>
      </w:pPr>
      <w:r>
        <w:t xml:space="preserve">Piloted on a university campus, KoropePulse is architected to scale nationally through partnerships with municipal governments and transport unions such as NURTW. Digitizing informal transit parks can reduce urban congestion, lower emissions from idling commercial vehicles, increase daily driver revenue through better dispatch, and recover productive hours currently lost to unmanaged queuing and gridlock.</w:t>
      </w:r>
    </w:p>
    <w:p>
      <w:pPr>
        <w:pStyle w:val="Heading1"/>
        <w:spacing w:after="160" w:before="320"/>
      </w:pPr>
      <w:r>
        <w:t xml:space="preserve">9. Competitive Positioning</w:t>
      </w:r>
    </w:p>
    <w:p>
      <w:pPr>
        <w:pStyle w:val="ListParagraph"/>
        <w:numPr>
          <w:ilvl w:val="0"/>
          <w:numId w:val="1"/>
        </w:numPr>
        <w:spacing w:after="80" w:line="280"/>
      </w:pPr>
      <w:r>
        <w:t xml:space="preserve">Most existing transit-tech efforts in Nigeria target formal, already-digitized fleets (BRT scheduling apps, ride-hailing). KoropePulse targets the much larger informal layer — danfo, korope, shuttle networks — that current solutions don't reach.</w:t>
      </w:r>
    </w:p>
    <w:p>
      <w:pPr>
        <w:pStyle w:val="ListParagraph"/>
        <w:numPr>
          <w:ilvl w:val="0"/>
          <w:numId w:val="1"/>
        </w:numPr>
        <w:spacing w:after="80" w:line="280"/>
      </w:pPr>
      <w:r>
        <w:t xml:space="preserve">The phased hardware approach (manifest first, automated sensing later) avoids the common failure mode of transit-tech pilots that over-invest in infrastructure before proving driver and commuter adoption.</w:t>
      </w:r>
    </w:p>
    <w:p>
      <w:pPr>
        <w:pStyle w:val="ListParagraph"/>
        <w:numPr>
          <w:ilvl w:val="0"/>
          <w:numId w:val="1"/>
        </w:numPr>
        <w:spacing w:after="80" w:line="280"/>
      </w:pPr>
      <w:r>
        <w:t xml:space="preserve">Privacy-by-architecture in the queue sensor is a differentiator against any competing CCTV-based crowd analytics approach, both on cost and on regulatory defensibility.</w:t>
      </w:r>
    </w:p>
    <w:p>
      <w:pPr>
        <w:pStyle w:val="Heading1"/>
        <w:spacing w:after="160" w:before="320"/>
      </w:pPr>
      <w:r>
        <w:t xml:space="preserve">10. Key Risks &amp; Open Questions</w:t>
      </w:r>
    </w:p>
    <w:p>
      <w:pPr>
        <w:pStyle w:val="ListParagraph"/>
        <w:numPr>
          <w:ilvl w:val="0"/>
          <w:numId w:val="1"/>
        </w:numPr>
        <w:spacing w:after="80" w:line="280"/>
      </w:pPr>
      <w:r>
        <w:t xml:space="preserve">Driver adoption: Phase 1 depends on manual check-in compliance; Phase 2 hardware is the actual solution to this, and should be framed as such rather than assumed away.</w:t>
      </w:r>
    </w:p>
    <w:p>
      <w:pPr>
        <w:pStyle w:val="ListParagraph"/>
        <w:numPr>
          <w:ilvl w:val="0"/>
          <w:numId w:val="1"/>
        </w:numPr>
        <w:spacing w:after="80" w:line="280"/>
      </w:pPr>
      <w:r>
        <w:t xml:space="preserve">Informal governance: NURTW park chairmen currently control queue order; KoropePulse should be positioned as augmenting, not replacing, this structure to avoid resistance.</w:t>
      </w:r>
    </w:p>
    <w:p>
      <w:pPr>
        <w:pStyle w:val="ListParagraph"/>
        <w:numPr>
          <w:ilvl w:val="0"/>
          <w:numId w:val="1"/>
        </w:numPr>
        <w:spacing w:after="80" w:line="280"/>
      </w:pPr>
      <w:r>
        <w:t xml:space="preserve">Data validity: forecasting claims must be scoped to what real (not synthetic) data currently supports, with an explicit roadmap for when full time-series claims become credible.</w:t>
      </w:r>
    </w:p>
    <w:p>
      <w:pPr>
        <w:pStyle w:val="ListParagraph"/>
        <w:numPr>
          <w:ilvl w:val="0"/>
          <w:numId w:val="1"/>
        </w:numPr>
        <w:spacing w:after="80" w:line="280"/>
      </w:pPr>
      <w:r>
        <w:t xml:space="preserve">NDPR compliance: crowd-counting cameras, even without face capture, likely require a stated legal basis for processing under Nigerian data protection law.</w:t>
      </w:r>
    </w:p>
    <w:p>
      <w:pPr>
        <w:pStyle w:val="Heading1"/>
        <w:spacing w:after="160" w:before="320"/>
      </w:pPr>
      <w:r>
        <w:t xml:space="preserve">11.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B2A4A" w:val="clear"/>
          </w:tcPr>
          <w:p>
            <w:r>
              <w:rPr>
                <w:b/>
                <w:bCs/>
                <w:color w:val="FFFFFF"/>
              </w:rPr>
              <w:t xml:space="preserve">Stage</w:t>
            </w:r>
          </w:p>
        </w:tc>
        <w:tc>
          <w:tcPr>
            <w:tcW w:type="dxa" w:w="6400"/>
            <w:shd w:fill="1B2A4A" w:val="clear"/>
          </w:tcPr>
          <w:p>
            <w:r>
              <w:rPr>
                <w:b/>
                <w:bCs/>
                <w:color w:val="FFFFFF"/>
              </w:rPr>
              <w:t xml:space="preserve">Milestone</w:t>
            </w:r>
          </w:p>
        </w:tc>
      </w:tr>
      <w:tr>
        <w:tc>
          <w:tcPr>
            <w:tcW w:type="dxa" w:w="2600"/>
          </w:tcPr>
          <w:p>
            <w:r>
              <w:t xml:space="preserve">Stage 0 (current)</w:t>
            </w:r>
          </w:p>
        </w:tc>
        <w:tc>
          <w:tcPr>
            <w:tcW w:type="dxa" w:w="6400"/>
          </w:tcPr>
          <w:p>
            <w:r>
              <w:t xml:space="preserve">UNILAG closed-ecosystem software pilot — manifest + heuristic predictive layer</w:t>
            </w:r>
          </w:p>
        </w:tc>
      </w:tr>
      <w:tr>
        <w:tc>
          <w:tcPr>
            <w:tcW w:type="dxa" w:w="2600"/>
          </w:tcPr>
          <w:p>
            <w:r>
              <w:t xml:space="preserve">Stage 1</w:t>
            </w:r>
          </w:p>
        </w:tc>
        <w:tc>
          <w:tcPr>
            <w:tcW w:type="dxa" w:w="6400"/>
          </w:tcPr>
          <w:p>
            <w:r>
              <w:t xml:space="preserve">Field data collection at 2–3 BRT terminals; baseline model retraining on empirical headway/queue data</w:t>
            </w:r>
          </w:p>
        </w:tc>
      </w:tr>
      <w:tr>
        <w:tc>
          <w:tcPr>
            <w:tcW w:type="dxa" w:w="2600"/>
          </w:tcPr>
          <w:p>
            <w:r>
              <w:t xml:space="preserve">Stage 2</w:t>
            </w:r>
          </w:p>
        </w:tc>
        <w:tc>
          <w:tcPr>
            <w:tcW w:type="dxa" w:w="6400"/>
          </w:tcPr>
          <w:p>
            <w:r>
              <w:t xml:space="preserve">WEMA Hackaholics pitch — present phased hardware roadmap alongside validated software pilot</w:t>
            </w:r>
          </w:p>
        </w:tc>
      </w:tr>
      <w:tr>
        <w:tc>
          <w:tcPr>
            <w:tcW w:type="dxa" w:w="2600"/>
          </w:tcPr>
          <w:p>
            <w:r>
              <w:t xml:space="preserve">Stage 3</w:t>
            </w:r>
          </w:p>
        </w:tc>
        <w:tc>
          <w:tcPr>
            <w:tcW w:type="dxa" w:w="6400"/>
          </w:tcPr>
          <w:p>
            <w:r>
              <w:t xml:space="preserve">Pilot deployment of vehicle tracker + queue camera nodes at one real park, in partnership with a union or LAMATA</w:t>
            </w:r>
          </w:p>
        </w:tc>
      </w:tr>
      <w:tr>
        <w:tc>
          <w:tcPr>
            <w:tcW w:type="dxa" w:w="2600"/>
          </w:tcPr>
          <w:p>
            <w:r>
              <w:t xml:space="preserve">Stage 4</w:t>
            </w:r>
          </w:p>
        </w:tc>
        <w:tc>
          <w:tcPr>
            <w:tcW w:type="dxa" w:w="6400"/>
          </w:tcPr>
          <w:p>
            <w:r>
              <w:t xml:space="preserve">Multi-park rollout; data/analytics licensing revenue stream activated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2026-07-10T23:30:37.446Z</dcterms:created>
  <dcterms:modified xsi:type="dcterms:W3CDTF">2026-07-10T23:30:37.464Z</dcterms:modified>
</cp:coreProperties>
</file>

<file path=docProps/custom.xml><?xml version="1.0" encoding="utf-8"?>
<Properties xmlns="http://schemas.openxmlformats.org/officeDocument/2006/custom-properties" xmlns:vt="http://schemas.openxmlformats.org/officeDocument/2006/docPropsVTypes"/>
</file>