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A"/>
          <w:sz w:val="40"/>
          <w:szCs w:val="40"/>
        </w:rPr>
        <w:t xml:space="preserve">Invention Disclosure &amp; Draft Provisional Patent Specification</w:t>
      </w:r>
    </w:p>
    <w:p>
      <w:pPr>
        <w:spacing w:after="400"/>
      </w:pPr>
      <w:r>
        <w:rPr>
          <w:i/>
          <w:iCs/>
          <w:color w:val="0E7C7B"/>
          <w:sz w:val="26"/>
          <w:szCs w:val="26"/>
        </w:rPr>
        <w:t xml:space="preserve">A Distributed System for Automated Vehicle Motion Tracking and Privacy-Preserving Passenger Queue Estimation in Informal Transit Networks</w:t>
      </w:r>
    </w:p>
    <w:p>
      <w:pPr>
        <w:spacing w:after="100" w:line="280"/>
      </w:pPr>
      <w:r>
        <w:rPr>
          <w:b/>
          <w:bCs/>
        </w:rPr>
        <w:t xml:space="preserve">Applicant / Inventor: </w:t>
      </w:r>
      <w:r>
        <w:t xml:space="preserve">Emmanuel — Noukratos Labs</w:t>
      </w:r>
    </w:p>
    <w:p>
      <w:pPr>
        <w:spacing w:after="100" w:line="280"/>
      </w:pPr>
      <w:r>
        <w:rPr>
          <w:b/>
          <w:bCs/>
        </w:rPr>
        <w:t xml:space="preserve">Document status: </w:t>
      </w:r>
      <w:r>
        <w:t xml:space="preserve">Draft invention disclosure — for review by a registered patent agent prior to filing</w:t>
      </w:r>
    </w:p>
    <w:p>
      <w:pPr>
        <w:spacing w:after="100" w:line="280"/>
      </w:pPr>
      <w:r>
        <w:rPr>
          <w:b/>
          <w:bCs/>
        </w:rPr>
        <w:t xml:space="preserve">Priority claim: </w:t>
      </w:r>
      <w:r>
        <w:t xml:space="preserve">None yet filed. This document is intended to support a provisional filing with the Trademarks, Patents and Designs Registry (Nigeria) or an equivalent office.</w:t>
      </w:r>
    </w:p>
    <w:p>
      <w:pPr>
        <w:spacing w:after="100" w:line="280"/>
      </w:pPr>
      <w:r>
        <w:rPr>
          <w:b/>
          <w:bCs/>
        </w:rPr>
        <w:t xml:space="preserve">Date prepared: </w:t>
      </w:r>
      <w:r>
        <w:t xml:space="preserve">July 2026</w:t>
      </w:r>
    </w:p>
    <w:p>
      <w:pPr>
        <w:spacing w:after="160" w:line="300"/>
      </w:pPr>
      <w:r>
        <w:rPr>
          <w:i/>
          <w:iCs/>
          <w:color w:val="555555"/>
        </w:rPr>
        <w:t xml:space="preserve">IMPORTANT: This document is a structured technical disclosure prepared to assist a qualified patent agent or attorney in drafting and filing an actual patent application. It is not itself a filed patent and confers no legal protection until filed with, and where applicable examined by, a national or regional patent office. Claim language below is illustrative and must be reviewed and refined by a patent professional before filing.</w:t>
      </w:r>
    </w:p>
    <w:p>
      <w:r>
        <w:br w:type="page"/>
      </w:r>
    </w:p>
    <w:p>
      <w:pPr>
        <w:pStyle w:val="Heading1"/>
        <w:spacing w:after="160" w:before="320"/>
      </w:pPr>
      <w:r>
        <w:t xml:space="preserve">1. Field of the Invention</w:t>
      </w:r>
    </w:p>
    <w:p>
      <w:pPr>
        <w:spacing w:after="160" w:line="300"/>
      </w:pPr>
      <w:r>
        <w:t xml:space="preserve">This invention relates generally to transportation telematics and computer vision systems, and more specifically to a low-cost, distributed sensing architecture for automatically tracking commercial vehicle position along fixed informal transit routes, and for estimating passenger queue length at transit hubs without capturing or transmitting identifying imagery of individuals.</w:t>
      </w:r>
    </w:p>
    <w:p>
      <w:pPr>
        <w:pStyle w:val="Heading1"/>
        <w:spacing w:after="160" w:before="320"/>
      </w:pPr>
      <w:r>
        <w:t xml:space="preserve">2. Background of the Invention</w:t>
      </w:r>
    </w:p>
    <w:p>
      <w:pPr>
        <w:spacing w:after="160" w:line="300"/>
      </w:pPr>
      <w:r>
        <w:t xml:space="preserve">Informal public transit networks — including university-campus transit systems and large commercial motor parks — typically operate without centralized visibility into vehicle location, fleet distribution, or passenger demand. Existing approaches to digitizing such networks generally require either (a) manual, driver-initiated check-in via a mobile application, which suffers from low and inconsistent compliance because it offers the driver no direct incentive and imposes a repeated manual burden per route leg, or (b) conventional camera-based crowd-monitoring systems, which capture and often transmit or store facial imagery, raising data-protection and privacy concerns, and which require continuous connectivity and higher-cost infrastructure.</w:t>
      </w:r>
    </w:p>
    <w:p>
      <w:pPr>
        <w:spacing w:after="160" w:line="300"/>
      </w:pPr>
      <w:r>
        <w:t xml:space="preserve">There exists a need for a system that (i) automatically detects and reports vehicle position and park-level vehicle counts without requiring active, continuous driver input, and (ii) estimates passenger queue length at a transit hub without capturing, transmitting, or storing imagery from which an individual could be identified.</w:t>
      </w:r>
    </w:p>
    <w:p>
      <w:pPr>
        <w:pStyle w:val="Heading1"/>
        <w:spacing w:after="160" w:before="320"/>
      </w:pPr>
      <w:r>
        <w:t xml:space="preserve">3. Summary of the Invention</w:t>
      </w:r>
    </w:p>
    <w:p>
      <w:pPr>
        <w:spacing w:after="160" w:line="300"/>
      </w:pPr>
      <w:r>
        <w:t xml:space="preserve">The invention comprises two cooperating subsystems, which may be deployed together or independently:</w:t>
      </w:r>
    </w:p>
    <w:p>
      <w:pPr>
        <w:spacing w:after="140" w:line="300"/>
      </w:pPr>
      <w:r>
        <w:rPr>
          <w:b/>
          <w:bCs/>
        </w:rPr>
        <w:t xml:space="preserve">1. </w:t>
      </w:r>
      <w:r>
        <w:t xml:space="preserve">An automated vehicle motion and distance tracking node, mounted on or associated with a commercial transit vehicle operating a fixed route, comprising a low-cost positioning receiver and a microcontroller configured to determine, on-device, the vehicle's transition between predefined geofenced states (e.g., "at park", "en route", "arrived at destination") without requiring continuous transmission of raw position data, and to report these state transitions over a low-power wide-area network to a park-level gateway, from which an aggregate vehicle count for a given park or hub is derived.</w:t>
      </w:r>
    </w:p>
    <w:p>
      <w:pPr>
        <w:spacing w:after="140" w:line="300"/>
      </w:pPr>
      <w:r>
        <w:rPr>
          <w:b/>
          <w:bCs/>
        </w:rPr>
        <w:t xml:space="preserve">2. </w:t>
      </w:r>
      <w:r>
        <w:t xml:space="preserve">A privacy-preserving passenger queue estimation node, comprising an imaging sensor and an on-device inference module configured to detect and count human silhouettes or motion-derived blobs within a defined field of view at a transit hub, wherein the module is configured such that only a numerical count, and no image frame, cropped region, or facial data, is transmitted from the node to any downstream system.</w:t>
      </w:r>
    </w:p>
    <w:p>
      <w:pPr>
        <w:spacing w:after="160" w:line="300"/>
      </w:pPr>
      <w:r>
        <w:t xml:space="preserve">The two subsystems may share backhaul infrastructure (e.g., a common park-level gateway) and may feed a shared predictive dispatch engine, but each is independently novel and may be practiced separately.</w:t>
      </w:r>
    </w:p>
    <w:p>
      <w:pPr>
        <w:pStyle w:val="Heading1"/>
        <w:spacing w:after="160" w:before="320"/>
      </w:pPr>
      <w:r>
        <w:t xml:space="preserve">4. Detailed Description of Embodiments</w:t>
      </w:r>
    </w:p>
    <w:p>
      <w:pPr>
        <w:pStyle w:val="Heading2"/>
        <w:spacing w:after="120" w:before="240"/>
      </w:pPr>
      <w:r>
        <w:t xml:space="preserve">4.1 Vehicle Motion and Distance Tracking Node</w:t>
      </w:r>
    </w:p>
    <w:p>
      <w:pPr>
        <w:pStyle w:val="ListParagraph"/>
        <w:numPr>
          <w:ilvl w:val="0"/>
          <w:numId w:val="1"/>
        </w:numPr>
        <w:spacing w:after="80" w:line="280"/>
      </w:pPr>
      <w:r>
        <w:t xml:space="preserve">Hardware: a microcontroller unit (e.g., ESP32-class device) coupled to a low-cost satellite positioning receiver (e.g., NEO-6M-class GPS/GNSS module) and a low-power wide-area radio transceiver (e.g., LoRa).</w:t>
      </w:r>
    </w:p>
    <w:p>
      <w:pPr>
        <w:pStyle w:val="ListParagraph"/>
        <w:numPr>
          <w:ilvl w:val="0"/>
          <w:numId w:val="1"/>
        </w:numPr>
        <w:spacing w:after="80" w:line="280"/>
      </w:pPr>
      <w:r>
        <w:t xml:space="preserve">On-device geofence definitions corresponding to known park boundaries and route checkpoints are stored locally on the node.</w:t>
      </w:r>
    </w:p>
    <w:p>
      <w:pPr>
        <w:pStyle w:val="ListParagraph"/>
        <w:numPr>
          <w:ilvl w:val="0"/>
          <w:numId w:val="1"/>
        </w:numPr>
        <w:spacing w:after="80" w:line="280"/>
      </w:pPr>
      <w:r>
        <w:t xml:space="preserve">The microcontroller periodically samples position at a low duty cycle (illustratively every 30–60 seconds) sufficient to detect geofence boundary crossings without requiring continuous high-frequency tracking, thereby reducing power consumption and radio traffic relative to conventional continuous-GPS-streaming telematics.</w:t>
      </w:r>
    </w:p>
    <w:p>
      <w:pPr>
        <w:pStyle w:val="ListParagraph"/>
        <w:numPr>
          <w:ilvl w:val="0"/>
          <w:numId w:val="1"/>
        </w:numPr>
        <w:spacing w:after="80" w:line="280"/>
      </w:pPr>
      <w:r>
        <w:t xml:space="preserve">Upon detecting a boundary crossing, the node transmits only a discrete state-transition event (e.g., "departed Park A", "arrived Park B") rather than a raw coordinate stream, to a gateway device positioned at or near the park.</w:t>
      </w:r>
    </w:p>
    <w:p>
      <w:pPr>
        <w:pStyle w:val="ListParagraph"/>
        <w:numPr>
          <w:ilvl w:val="0"/>
          <w:numId w:val="1"/>
        </w:numPr>
        <w:spacing w:after="80" w:line="280"/>
      </w:pPr>
      <w:r>
        <w:t xml:space="preserve">The gateway aggregates state-transition events from multiple vehicle nodes to derive a real-time count of vehicles currently within a given park's geofence, without requiring any individual node to report continuously.</w:t>
      </w:r>
    </w:p>
    <w:p>
      <w:pPr>
        <w:pStyle w:val="ListParagraph"/>
        <w:numPr>
          <w:ilvl w:val="0"/>
          <w:numId w:val="1"/>
        </w:numPr>
        <w:spacing w:after="80" w:line="280"/>
      </w:pPr>
      <w:r>
        <w:t xml:space="preserve">In an alternative embodiment, dead-reckoning or distance-traveled estimation (e.g., via accelerometer integration or wheel-pulse sensing) may supplement or substitute for satellite positioning where signal availability is intermittent along a fixed route.</w:t>
      </w:r>
    </w:p>
    <w:p>
      <w:pPr>
        <w:pStyle w:val="Heading2"/>
        <w:spacing w:after="120" w:before="240"/>
      </w:pPr>
      <w:r>
        <w:t xml:space="preserve">4.2 Privacy-Preserving Passenger Queue Estimation Node</w:t>
      </w:r>
    </w:p>
    <w:p>
      <w:pPr>
        <w:pStyle w:val="ListParagraph"/>
        <w:numPr>
          <w:ilvl w:val="0"/>
          <w:numId w:val="1"/>
        </w:numPr>
        <w:spacing w:after="80" w:line="280"/>
      </w:pPr>
      <w:r>
        <w:t xml:space="preserve">Hardware: a camera module coupled to an embedded processor capable of running a lightweight on-device inference model (e.g., a compact object-detection or motion-blob-segmentation model).</w:t>
      </w:r>
    </w:p>
    <w:p>
      <w:pPr>
        <w:pStyle w:val="ListParagraph"/>
        <w:numPr>
          <w:ilvl w:val="0"/>
          <w:numId w:val="1"/>
        </w:numPr>
        <w:spacing w:after="80" w:line="280"/>
      </w:pPr>
      <w:r>
        <w:t xml:space="preserve">The inference model is executed entirely on-device; the system is architected such that no raw image frame, cropped bounding box, or facial region is ever transmitted off the device, stored persistently, or made accessible to any downstream system or application.</w:t>
      </w:r>
    </w:p>
    <w:p>
      <w:pPr>
        <w:pStyle w:val="ListParagraph"/>
        <w:numPr>
          <w:ilvl w:val="0"/>
          <w:numId w:val="1"/>
        </w:numPr>
        <w:spacing w:after="80" w:line="280"/>
      </w:pPr>
      <w:r>
        <w:t xml:space="preserve">The on-device model outputs only a scalar or low-dimensional summary (e.g., an estimated count of persons or motion-blobs within the field of view, optionally bucketed into coarse ranges) which is transmitted to the backend system.</w:t>
      </w:r>
    </w:p>
    <w:p>
      <w:pPr>
        <w:pStyle w:val="ListParagraph"/>
        <w:numPr>
          <w:ilvl w:val="0"/>
          <w:numId w:val="1"/>
        </w:numPr>
        <w:spacing w:after="80" w:line="280"/>
      </w:pPr>
      <w:r>
        <w:t xml:space="preserve">In one embodiment, detection relies on frame-differencing / motion-blob segmentation rather than a learned person-detector, further reducing the risk that any stage of on-device processing could reconstruct or output identifying imagery.</w:t>
      </w:r>
    </w:p>
    <w:p>
      <w:pPr>
        <w:pStyle w:val="ListParagraph"/>
        <w:numPr>
          <w:ilvl w:val="0"/>
          <w:numId w:val="1"/>
        </w:numPr>
        <w:spacing w:after="80" w:line="280"/>
      </w:pPr>
      <w:r>
        <w:t xml:space="preserve">Optionally, the imaging sensor itself may be a low-resolution or purpose-limited sensor (e.g., a thermal or low-resolution grayscale sensor) selected specifically because it is inherently insufficient for facial identification, providing a hardware-level (not merely software-level) privacy guarantee.</w:t>
      </w:r>
    </w:p>
    <w:p>
      <w:pPr>
        <w:pStyle w:val="Heading2"/>
        <w:spacing w:after="120" w:before="240"/>
      </w:pPr>
      <w:r>
        <w:t xml:space="preserve">4.3 Integration with a Predictive Dispatch Engine</w:t>
      </w:r>
    </w:p>
    <w:p>
      <w:pPr>
        <w:pStyle w:val="ListParagraph"/>
        <w:numPr>
          <w:ilvl w:val="0"/>
          <w:numId w:val="1"/>
        </w:numPr>
        <w:spacing w:after="80" w:line="280"/>
      </w:pPr>
      <w:r>
        <w:t xml:space="preserve">Vehicle-count data from 4.1 and queue-count data from 4.2, together with historical dispatch logs and contextual data (e.g., weather, time of day), are provided as inputs to a demand-forecasting and dispatch-recommendation module.</w:t>
      </w:r>
    </w:p>
    <w:p>
      <w:pPr>
        <w:pStyle w:val="ListParagraph"/>
        <w:numPr>
          <w:ilvl w:val="0"/>
          <w:numId w:val="1"/>
        </w:numPr>
        <w:spacing w:after="80" w:line="280"/>
      </w:pPr>
      <w:r>
        <w:t xml:space="preserve">The dispatch module may generate an alert to redirect an identified vehicle (via the mobile driver manifest application) toward a hub with a forecast supply deficit, using the automatically sensed vehicle and queue counts as ground truth rather than relying solely on manual driver self-reporting.</w:t>
      </w:r>
    </w:p>
    <w:p>
      <w:pPr>
        <w:pStyle w:val="Heading1"/>
        <w:spacing w:after="160" w:before="320"/>
      </w:pPr>
      <w:r>
        <w:t xml:space="preserve">5. Novel Aspects Believed Patentable</w:t>
      </w:r>
    </w:p>
    <w:p>
      <w:pPr>
        <w:pStyle w:val="ListParagraph"/>
        <w:numPr>
          <w:ilvl w:val="0"/>
          <w:numId w:val="1"/>
        </w:numPr>
        <w:spacing w:after="80" w:line="280"/>
      </w:pPr>
      <w:r>
        <w:t xml:space="preserve">The specific combination of low-duty-cycle, on-device geofence-transition detection (rather than continuous position streaming) for fixed-route informal-transit vehicles, optimized for low bandwidth and low power in low-connectivity environments.</w:t>
      </w:r>
    </w:p>
    <w:p>
      <w:pPr>
        <w:pStyle w:val="ListParagraph"/>
        <w:numPr>
          <w:ilvl w:val="0"/>
          <w:numId w:val="1"/>
        </w:numPr>
        <w:spacing w:after="80" w:line="280"/>
      </w:pPr>
      <w:r>
        <w:t xml:space="preserve">The architectural guarantee that passenger-queue sensing outputs only a derived numerical count and never transmits, stores, or exposes raw or cropped imagery — i.e., privacy enforced by data-flow architecture rather than by post-hoc redaction or policy.</w:t>
      </w:r>
    </w:p>
    <w:p>
      <w:pPr>
        <w:pStyle w:val="ListParagraph"/>
        <w:numPr>
          <w:ilvl w:val="0"/>
          <w:numId w:val="1"/>
        </w:numPr>
        <w:spacing w:after="80" w:line="280"/>
      </w:pPr>
      <w:r>
        <w:t xml:space="preserve">The optional hardware-level privacy embodiment using an imaging sensor selected for its inherent inability to resolve facial features, as an alternative or complement to software-level privacy enforcement.</w:t>
      </w:r>
    </w:p>
    <w:p>
      <w:pPr>
        <w:pStyle w:val="ListParagraph"/>
        <w:numPr>
          <w:ilvl w:val="0"/>
          <w:numId w:val="1"/>
        </w:numPr>
        <w:spacing w:after="80" w:line="280"/>
      </w:pPr>
      <w:r>
        <w:t xml:space="preserve">The combined system in which automated vehicle-state sensing removes the dependency on manual driver compliance that limits prior manifest-only approaches to informal transit digitization.</w:t>
      </w:r>
    </w:p>
    <w:p>
      <w:pPr>
        <w:pStyle w:val="Heading1"/>
        <w:spacing w:after="160" w:before="320"/>
      </w:pPr>
      <w:r>
        <w:t xml:space="preserve">6. Illustrative (Draft) Claims</w:t>
      </w:r>
    </w:p>
    <w:p>
      <w:pPr>
        <w:spacing w:after="160" w:line="300"/>
      </w:pPr>
      <w:r>
        <w:rPr>
          <w:i/>
          <w:iCs/>
          <w:color w:val="555555"/>
        </w:rPr>
        <w:t xml:space="preserve">The following claims are illustrative only and require refinement by a qualified patent agent to ensure proper scope, antecedent basis, and compliance with the requirements of the jurisdiction(s) of filing.</w:t>
      </w:r>
    </w:p>
    <w:p>
      <w:pPr>
        <w:spacing w:after="140" w:line="300"/>
      </w:pPr>
      <w:r>
        <w:rPr>
          <w:b/>
          <w:bCs/>
        </w:rPr>
        <w:t xml:space="preserve">1. </w:t>
      </w:r>
      <w:r>
        <w:t xml:space="preserve">A vehicle tracking node for a fixed-route transit vehicle, comprising: a positioning receiver; a wireless transceiver; and a processor configured to: store one or more predefined geofence boundaries corresponding to transit hubs along the fixed route; periodically sample a position from the positioning receiver at a sampling interval; determine, based on the sampled position, a transition of the vehicle across at least one of the predefined geofence boundaries; and transmit, via the wireless transceiver, a discrete state-transition event indicative of the determined transition, without transmitting a continuous stream of sampled positions.</w:t>
      </w:r>
    </w:p>
    <w:p>
      <w:pPr>
        <w:spacing w:after="140" w:line="300"/>
      </w:pPr>
      <w:r>
        <w:rPr>
          <w:b/>
          <w:bCs/>
        </w:rPr>
        <w:t xml:space="preserve">2. </w:t>
      </w:r>
      <w:r>
        <w:t xml:space="preserve">The vehicle tracking node of claim 1, further comprising a gateway device configured to receive state-transition events from a plurality of vehicle tracking nodes and to derive therefrom a count of vehicles currently located within a given geofence boundary.</w:t>
      </w:r>
    </w:p>
    <w:p>
      <w:pPr>
        <w:spacing w:after="140" w:line="300"/>
      </w:pPr>
      <w:r>
        <w:rPr>
          <w:b/>
          <w:bCs/>
        </w:rPr>
        <w:t xml:space="preserve">3. </w:t>
      </w:r>
      <w:r>
        <w:t xml:space="preserve">A passenger queue estimation system comprising: an imaging sensor positioned to capture a field of view of a transit hub queuing area; and an embedded processor configured to execute an on-device inference process on image data captured by the imaging sensor to generate a numerical estimate of the number of persons present in the field of view, wherein the embedded processor is configured such that no image frame, cropped image region, or facial-identifying data derived from the image data is transmitted from the system to any external device.</w:t>
      </w:r>
    </w:p>
    <w:p>
      <w:pPr>
        <w:spacing w:after="140" w:line="300"/>
      </w:pPr>
      <w:r>
        <w:rPr>
          <w:b/>
          <w:bCs/>
        </w:rPr>
        <w:t xml:space="preserve">4. </w:t>
      </w:r>
      <w:r>
        <w:t xml:space="preserve">The passenger queue estimation system of claim 3, wherein the on-device inference process comprises motion-blob segmentation rather than a learned facial or person-identification model.</w:t>
      </w:r>
    </w:p>
    <w:p>
      <w:pPr>
        <w:spacing w:after="140" w:line="300"/>
      </w:pPr>
      <w:r>
        <w:rPr>
          <w:b/>
          <w:bCs/>
        </w:rPr>
        <w:t xml:space="preserve">5. </w:t>
      </w:r>
      <w:r>
        <w:t xml:space="preserve">The passenger queue estimation system of claim 3, wherein the imaging sensor is selected to have a resolution or spectral response insufficient to resolve facial features, such that facial identification is precluded at the hardware level independent of the on-device inference process.</w:t>
      </w:r>
    </w:p>
    <w:p>
      <w:pPr>
        <w:spacing w:after="140" w:line="300"/>
      </w:pPr>
      <w:r>
        <w:rPr>
          <w:b/>
          <w:bCs/>
        </w:rPr>
        <w:t xml:space="preserve">6. </w:t>
      </w:r>
      <w:r>
        <w:t xml:space="preserve">A transit demand management system comprising the vehicle tracking node of claim 1, the passenger queue estimation system of claim 3, and a dispatch-recommendation module configured to receive the derived vehicle count and the numerical passenger estimate, and to generate a dispatch-redirection recommendation for one or more transit vehicles based thereon.</w:t>
      </w:r>
    </w:p>
    <w:p>
      <w:pPr>
        <w:pStyle w:val="Heading1"/>
        <w:spacing w:after="160" w:before="320"/>
      </w:pPr>
      <w:r>
        <w:t xml:space="preserve">7. Drawings (To Be Prepared)</w:t>
      </w:r>
    </w:p>
    <w:p>
      <w:pPr>
        <w:pStyle w:val="ListParagraph"/>
        <w:numPr>
          <w:ilvl w:val="0"/>
          <w:numId w:val="1"/>
        </w:numPr>
        <w:spacing w:after="80" w:line="280"/>
      </w:pPr>
      <w:r>
        <w:t xml:space="preserve">Figure 1: System architecture diagram — vehicle node, park gateway, queue estimation node, backend dispatch engine, driver/commuter applications.</w:t>
      </w:r>
    </w:p>
    <w:p>
      <w:pPr>
        <w:pStyle w:val="ListParagraph"/>
        <w:numPr>
          <w:ilvl w:val="0"/>
          <w:numId w:val="1"/>
        </w:numPr>
        <w:spacing w:after="80" w:line="280"/>
      </w:pPr>
      <w:r>
        <w:t xml:space="preserve">Figure 2: Flowchart of geofence-transition detection logic on the vehicle tracking node.</w:t>
      </w:r>
    </w:p>
    <w:p>
      <w:pPr>
        <w:pStyle w:val="ListParagraph"/>
        <w:numPr>
          <w:ilvl w:val="0"/>
          <w:numId w:val="1"/>
        </w:numPr>
        <w:spacing w:after="80" w:line="280"/>
      </w:pPr>
      <w:r>
        <w:t xml:space="preserve">Figure 3: Flowchart of on-device queue estimation and data-minimization boundary (showing where image data is discarded and only a count crosses the device boundary).</w:t>
      </w:r>
    </w:p>
    <w:p>
      <w:pPr>
        <w:pStyle w:val="ListParagraph"/>
        <w:numPr>
          <w:ilvl w:val="0"/>
          <w:numId w:val="1"/>
        </w:numPr>
        <w:spacing w:after="80" w:line="280"/>
      </w:pPr>
      <w:r>
        <w:t xml:space="preserve">Figure 4: Sequence diagram of a dispatch-redirection event triggered by combined vehicle-count and queue-count inputs.</w:t>
      </w:r>
    </w:p>
    <w:p>
      <w:pPr>
        <w:pStyle w:val="Heading1"/>
        <w:spacing w:after="160" w:before="320"/>
      </w:pPr>
      <w:r>
        <w:t xml:space="preserve">8. Recommended Next Steps</w:t>
      </w:r>
    </w:p>
    <w:p>
      <w:pPr>
        <w:pStyle w:val="ListParagraph"/>
        <w:numPr>
          <w:ilvl w:val="0"/>
          <w:numId w:val="1"/>
        </w:numPr>
        <w:spacing w:after="80" w:line="280"/>
      </w:pPr>
      <w:r>
        <w:t xml:space="preserve">Engage a registered patent agent (Nigeria: Trademarks, Patents and Designs Registry, Commercial Law Department, Federal Ministry of Industry, Trade and Investment) to review this disclosure and file a provisional or complete specification.</w:t>
      </w:r>
    </w:p>
    <w:p>
      <w:pPr>
        <w:pStyle w:val="ListParagraph"/>
        <w:numPr>
          <w:ilvl w:val="0"/>
          <w:numId w:val="1"/>
        </w:numPr>
        <w:spacing w:after="80" w:line="280"/>
      </w:pPr>
      <w:r>
        <w:t xml:space="preserve">Conduct a prior-art / freedom-to-operate search on geofence-based fleet telematics and privacy-preserving crowd-counting systems before filing, to refine claim scope.</w:t>
      </w:r>
    </w:p>
    <w:p>
      <w:pPr>
        <w:pStyle w:val="ListParagraph"/>
        <w:numPr>
          <w:ilvl w:val="0"/>
          <w:numId w:val="1"/>
        </w:numPr>
        <w:spacing w:after="80" w:line="280"/>
      </w:pPr>
      <w:r>
        <w:t xml:space="preserve">Maintain a dated, signed inventor's notebook or version-controlled repository of design iterations to support an accurate priority date and inventorship record.</w:t>
      </w:r>
    </w:p>
    <w:p>
      <w:pPr>
        <w:pStyle w:val="ListParagraph"/>
        <w:numPr>
          <w:ilvl w:val="0"/>
          <w:numId w:val="1"/>
        </w:numPr>
        <w:spacing w:after="80" w:line="280"/>
      </w:pPr>
      <w:r>
        <w:t xml:space="preserve">Avoid public disclosure (including hackathon demos and pitch decks) of the specific technical claims above until at least a provisional filing is made, or file the provisional first — most jurisdictions, including Nigeria, do not offer a grace period as reliable as the U.S. one-year rule, and Nigeria follows a first-to-file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2026-07-10T23:30:37.730Z</dcterms:created>
  <dcterms:modified xsi:type="dcterms:W3CDTF">2026-07-10T23:30:37.730Z</dcterms:modified>
</cp:coreProperties>
</file>

<file path=docProps/custom.xml><?xml version="1.0" encoding="utf-8"?>
<Properties xmlns="http://schemas.openxmlformats.org/officeDocument/2006/custom-properties" xmlns:vt="http://schemas.openxmlformats.org/officeDocument/2006/docPropsVTypes"/>
</file>