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Mechanism of Action of Group IIC Hormones</w:t>
      </w:r>
    </w:p>
    <w:p>
      <w:r>
        <w:t>Group IIC hormones are water-soluble hormones that act through cell membrane receptors and utilize inositol triphosphate (IP₃), diacylglycerol (DAG), and calcium ions (Ca²⁺) as second messengers. They cannot enter the cell directly, so they act via G-protein–coupled receptors (GPCRs).</w:t>
      </w:r>
    </w:p>
    <w:p>
      <w:pPr>
        <w:pStyle w:val="Heading2"/>
      </w:pPr>
      <w:r>
        <w:t>Examples of Group IIC Hormones</w:t>
      </w:r>
    </w:p>
    <w:p>
      <w:pPr>
        <w:pStyle w:val="ListBullet"/>
      </w:pPr>
      <w:r>
        <w:t>Vasopressin (ADH, via V₁ receptors) – causes vasoconstriction</w:t>
      </w:r>
    </w:p>
    <w:p>
      <w:pPr>
        <w:pStyle w:val="ListBullet"/>
      </w:pPr>
      <w:r>
        <w:t>Oxytocin – stimulates uterine contraction and milk ejection</w:t>
      </w:r>
    </w:p>
    <w:p>
      <w:pPr>
        <w:pStyle w:val="ListBullet"/>
      </w:pPr>
      <w:r>
        <w:t>Thyrotropin-releasing hormone (TRH) – stimulates TSH secretion</w:t>
      </w:r>
    </w:p>
    <w:p>
      <w:pPr>
        <w:pStyle w:val="ListBullet"/>
      </w:pPr>
      <w:r>
        <w:t>Gonadotropin-releasing hormone (GnRH) – stimulates FSH and LH secretion</w:t>
      </w:r>
    </w:p>
    <w:p>
      <w:pPr>
        <w:pStyle w:val="ListBullet"/>
      </w:pPr>
      <w:r>
        <w:t>Angiotensin II – increases blood pressure by vasoconstriction</w:t>
      </w:r>
    </w:p>
    <w:p>
      <w:pPr>
        <w:pStyle w:val="ListBullet"/>
      </w:pPr>
      <w:r>
        <w:t>Epinephrine/Norepinephrine (via α₁-receptors) – causes smooth muscle contraction</w:t>
      </w:r>
    </w:p>
    <w:p>
      <w:pPr>
        <w:pStyle w:val="Heading2"/>
      </w:pPr>
      <w:r>
        <w:t>Mechanism of Action (Step by Step)</w:t>
      </w:r>
    </w:p>
    <w:p>
      <w:r>
        <w:t>1. Hormone binds to its G-protein–coupled receptor on the cell membrane.</w:t>
      </w:r>
    </w:p>
    <w:p>
      <w:r>
        <w:t>2. The receptor activates a Gq-type G-protein by replacing GDP with GTP on its α-subunit.</w:t>
      </w:r>
    </w:p>
    <w:p>
      <w:r>
        <w:t>3. The activated Gq-protein stimulates the enzyme phospholipase C (PLC).</w:t>
      </w:r>
    </w:p>
    <w:p>
      <w:r>
        <w:t>4. PLC acts on the membrane phospholipid phosphatidylinositol 4,5-bisphosphate (PIP₂), splitting it into IP₃ and DAG.</w:t>
      </w:r>
    </w:p>
    <w:p>
      <w:r>
        <w:t>5. IP₃ diffuses through the cytoplasm and releases Ca²⁺ from the endoplasmic reticulum.</w:t>
      </w:r>
    </w:p>
    <w:p>
      <w:r>
        <w:t>6. DAG remains in the membrane and activates Protein Kinase C (PKC).</w:t>
      </w:r>
    </w:p>
    <w:p>
      <w:r>
        <w:t>7. The increased Ca²⁺ and activated PKC trigger phosphorylation of proteins, enzyme activation, secretion, or muscle contraction.</w:t>
      </w:r>
    </w:p>
    <w:p>
      <w:r>
        <w:t>8. The signal is terminated as IP₃ is dephosphorylated and Ca²⁺ is pumped back into the ER.</w:t>
      </w:r>
    </w:p>
    <w:p>
      <w:pPr>
        <w:pStyle w:val="Heading2"/>
      </w:pPr>
      <w:r>
        <w:t>Summary of the Mechanism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Receptor Type</w:t>
            </w:r>
          </w:p>
        </w:tc>
        <w:tc>
          <w:tcPr>
            <w:tcW w:type="dxa" w:w="4320"/>
          </w:tcPr>
          <w:p>
            <w:r>
              <w:t>G-protein–coupled (Gq) receptor</w:t>
            </w:r>
          </w:p>
        </w:tc>
      </w:tr>
      <w:tr>
        <w:tc>
          <w:tcPr>
            <w:tcW w:type="dxa" w:w="4320"/>
          </w:tcPr>
          <w:p>
            <w:r>
              <w:t>Effector Enzyme</w:t>
            </w:r>
          </w:p>
        </w:tc>
        <w:tc>
          <w:tcPr>
            <w:tcW w:type="dxa" w:w="4320"/>
          </w:tcPr>
          <w:p>
            <w:r>
              <w:t>Phospholipase C (PLC)</w:t>
            </w:r>
          </w:p>
        </w:tc>
      </w:tr>
      <w:tr>
        <w:tc>
          <w:tcPr>
            <w:tcW w:type="dxa" w:w="4320"/>
          </w:tcPr>
          <w:p>
            <w:r>
              <w:t>Second Messengers</w:t>
            </w:r>
          </w:p>
        </w:tc>
        <w:tc>
          <w:tcPr>
            <w:tcW w:type="dxa" w:w="4320"/>
          </w:tcPr>
          <w:p>
            <w:r>
              <w:t>IP₃, DAG, Ca²⁺</w:t>
            </w:r>
          </w:p>
        </w:tc>
      </w:tr>
      <w:tr>
        <w:tc>
          <w:tcPr>
            <w:tcW w:type="dxa" w:w="4320"/>
          </w:tcPr>
          <w:p>
            <w:r>
              <w:t>Key Kinases</w:t>
            </w:r>
          </w:p>
        </w:tc>
        <w:tc>
          <w:tcPr>
            <w:tcW w:type="dxa" w:w="4320"/>
          </w:tcPr>
          <w:p>
            <w:r>
              <w:t>Protein Kinase C, Calmodulin-dependent kinase</w:t>
            </w:r>
          </w:p>
        </w:tc>
      </w:tr>
      <w:tr>
        <w:tc>
          <w:tcPr>
            <w:tcW w:type="dxa" w:w="4320"/>
          </w:tcPr>
          <w:p>
            <w:r>
              <w:t>Speed of Action</w:t>
            </w:r>
          </w:p>
        </w:tc>
        <w:tc>
          <w:tcPr>
            <w:tcW w:type="dxa" w:w="4320"/>
          </w:tcPr>
          <w:p>
            <w:r>
              <w:t>Rapid (seconds–minutes)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Short-lived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ADH (V₁ receptor) → Vasoconstriction via Ca²⁺ release</w:t>
            </w:r>
          </w:p>
        </w:tc>
      </w:tr>
    </w:tbl>
    <w:p>
      <w:pPr>
        <w:pStyle w:val="Heading2"/>
      </w:pPr>
      <w:r>
        <w:t>Pathway Summary</w:t>
      </w:r>
    </w:p>
    <w:p>
      <w:r>
        <w:t>Hormone → Receptor → Gq-protein → Phospholipase C → PIP₂ → IP₃ + DAG</w:t>
        <w:br/>
        <w:t xml:space="preserve">        ↓                   ↓</w:t>
        <w:br/>
        <w:t xml:space="preserve">     Ca²⁺ release       Activate PKC</w:t>
        <w:br/>
        <w:t xml:space="preserve">           ↓                 ↓</w:t>
        <w:br/>
        <w:t xml:space="preserve">   Protein phosphorylation → Cellular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