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3.png" ContentType="image/png"/>
  <Override PartName="/word/media/image2.jpeg" ContentType="image/jpeg"/>
  <Override PartName="/word/media/image8.png" ContentType="image/png"/>
  <Override PartName="/word/media/image4.png" ContentType="image/png"/>
  <Override PartName="/word/media/image5.png" ContentType="image/png"/>
  <Override PartName="/word/media/image6.png" ContentType="image/png"/>
  <Override PartName="/word/media/image7.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Arial" w:hAnsi="Arial" w:cs="Arial"/>
          <w:b/>
          <w:sz w:val="36"/>
        </w:rPr>
      </w:pPr>
      <w:r>
        <w:drawing>
          <wp:anchor behindDoc="0" distT="0" distB="0" distL="114300" distR="114300" simplePos="0" locked="0" layoutInCell="0" allowOverlap="0" relativeHeight="11">
            <wp:simplePos x="0" y="0"/>
            <wp:positionH relativeFrom="page">
              <wp:align>right</wp:align>
            </wp:positionH>
            <wp:positionV relativeFrom="page">
              <wp:posOffset>31750</wp:posOffset>
            </wp:positionV>
            <wp:extent cx="1666875" cy="1201420"/>
            <wp:effectExtent l="0" t="0" r="0" b="0"/>
            <wp:wrapTopAndBottom/>
            <wp:docPr id="1" name="Image 5" descr="Université de Tunis El Manar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5" descr="Université de Tunis El Manar - YouTube"/>
                    <pic:cNvPicPr>
                      <a:picLocks noChangeAspect="1" noChangeArrowheads="1"/>
                    </pic:cNvPicPr>
                  </pic:nvPicPr>
                  <pic:blipFill>
                    <a:blip r:embed="rId2"/>
                    <a:stretch>
                      <a:fillRect/>
                    </a:stretch>
                  </pic:blipFill>
                  <pic:spPr bwMode="auto">
                    <a:xfrm>
                      <a:off x="0" y="0"/>
                      <a:ext cx="1666875" cy="1201420"/>
                    </a:xfrm>
                    <a:prstGeom prst="rect">
                      <a:avLst/>
                    </a:prstGeom>
                    <a:noFill/>
                  </pic:spPr>
                </pic:pic>
              </a:graphicData>
            </a:graphic>
          </wp:anchor>
        </w:drawing>
        <w:drawing>
          <wp:anchor behindDoc="0" distT="0" distB="0" distL="114300" distR="114300" simplePos="0" locked="0" layoutInCell="0" allowOverlap="0" relativeHeight="13">
            <wp:simplePos x="0" y="0"/>
            <wp:positionH relativeFrom="page">
              <wp:align>left</wp:align>
            </wp:positionH>
            <wp:positionV relativeFrom="page">
              <wp:align>top</wp:align>
            </wp:positionV>
            <wp:extent cx="1983105" cy="1339850"/>
            <wp:effectExtent l="0" t="0" r="0" b="0"/>
            <wp:wrapTopAndBottom/>
            <wp:docPr id="2" name="Image 6" descr="Etablissement d'enseignement supérieur privé | | Faculté des Scien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6" descr="Etablissement d'enseignement supérieur privé | | Faculté des Sciences ..."/>
                    <pic:cNvPicPr>
                      <a:picLocks noChangeAspect="1" noChangeArrowheads="1"/>
                    </pic:cNvPicPr>
                  </pic:nvPicPr>
                  <pic:blipFill>
                    <a:blip r:embed="rId3"/>
                    <a:stretch>
                      <a:fillRect/>
                    </a:stretch>
                  </pic:blipFill>
                  <pic:spPr bwMode="auto">
                    <a:xfrm>
                      <a:off x="0" y="0"/>
                      <a:ext cx="1983105" cy="1339850"/>
                    </a:xfrm>
                    <a:prstGeom prst="rect">
                      <a:avLst/>
                    </a:prstGeom>
                    <a:noFill/>
                  </pic:spPr>
                </pic:pic>
              </a:graphicData>
            </a:graphic>
          </wp:anchor>
        </w:drawing>
      </w:r>
      <w:r>
        <w:rPr>
          <w:rFonts w:cs="Arial" w:ascii="Arial" w:hAnsi="Arial"/>
          <w:b/>
          <w:sz w:val="32"/>
        </w:rPr>
        <w:t xml:space="preserve">Département de Physique </w:t>
      </w:r>
    </w:p>
    <w:p>
      <w:pPr>
        <w:pStyle w:val="Normal"/>
        <w:tabs>
          <w:tab w:val="clear" w:pos="708"/>
          <w:tab w:val="left" w:pos="8874" w:leader="none"/>
        </w:tabs>
        <w:spacing w:lineRule="auto" w:line="360"/>
        <w:rPr>
          <w:rFonts w:ascii="Arial" w:hAnsi="Arial" w:cs="Arial"/>
          <w:b/>
          <w:sz w:val="36"/>
        </w:rPr>
      </w:pPr>
      <w:r>
        <w:rPr>
          <w:rFonts w:cs="Arial" w:ascii="Arial" w:hAnsi="Arial"/>
          <w:b/>
          <w:sz w:val="36"/>
        </w:rPr>
        <w:tab/>
      </w:r>
    </w:p>
    <w:p>
      <w:pPr>
        <w:pStyle w:val="Normal"/>
        <w:spacing w:lineRule="auto" w:line="360"/>
        <w:jc w:val="center"/>
        <w:rPr>
          <w:rFonts w:ascii="Arial" w:hAnsi="Arial" w:cs="Arial"/>
          <w:sz w:val="22"/>
        </w:rPr>
      </w:pPr>
      <w:r>
        <w:rPr>
          <w:rFonts w:cs="Arial" w:ascii="Arial" w:hAnsi="Arial"/>
          <w:b/>
          <w:sz w:val="36"/>
        </w:rPr>
        <w:t>Rapport de projet de AP</w:t>
      </w:r>
    </w:p>
    <w:p>
      <w:pPr>
        <w:pStyle w:val="Normal"/>
        <w:spacing w:lineRule="auto" w:line="360"/>
        <w:rPr>
          <w:rFonts w:ascii="Arial" w:hAnsi="Arial" w:cs="Arial"/>
          <w:b/>
        </w:rPr>
      </w:pPr>
      <w:r>
        <w:rPr>
          <w:rFonts w:cs="Arial" w:ascii="Arial" w:hAnsi="Arial"/>
          <w:b/>
        </w:rPr>
      </w:r>
    </w:p>
    <w:p>
      <w:pPr>
        <w:pStyle w:val="Normal"/>
        <w:spacing w:lineRule="auto" w:line="360"/>
        <w:jc w:val="center"/>
        <w:rPr>
          <w:rFonts w:ascii="Arial" w:hAnsi="Arial" w:cs="Arial"/>
          <w:b/>
        </w:rPr>
      </w:pPr>
      <w:r>
        <w:rPr>
          <w:rFonts w:cs="Arial" w:ascii="Arial" w:hAnsi="Arial"/>
          <w:b/>
        </w:rPr>
        <w:t xml:space="preserve">Licence en Physique </w:t>
      </w:r>
    </w:p>
    <w:p>
      <w:pPr>
        <w:pStyle w:val="Normal"/>
        <w:spacing w:lineRule="auto" w:line="360"/>
        <w:jc w:val="center"/>
        <w:rPr>
          <w:rFonts w:ascii="Arial" w:hAnsi="Arial" w:cs="Arial"/>
          <w:b/>
          <w:sz w:val="56"/>
        </w:rPr>
      </w:pPr>
      <w:r>
        <w:rPr>
          <w:rFonts w:cs="Arial" w:ascii="Arial" w:hAnsi="Arial"/>
          <w:b/>
          <w:sz w:val="56"/>
        </w:rPr>
      </w:r>
    </w:p>
    <w:p>
      <w:pPr>
        <w:pStyle w:val="Normal"/>
        <w:spacing w:lineRule="auto" w:line="360"/>
        <w:jc w:val="center"/>
        <w:rPr>
          <w:rFonts w:ascii="Times New Roman" w:hAnsi="Times New Roman" w:cs="Times New Roman"/>
          <w:sz w:val="40"/>
          <w:szCs w:val="44"/>
        </w:rPr>
      </w:pPr>
      <w:r>
        <w:rPr>
          <w:rFonts w:cs="Times New Roman" w:ascii="Times New Roman" w:hAnsi="Times New Roman"/>
          <w:sz w:val="40"/>
          <w:szCs w:val="44"/>
        </w:rPr>
        <w:t>Étude de l'électrification de contact et des TENG : de la théorie physique à la conception d'un prototype de capteur auto-alimenté.</w:t>
      </w:r>
    </w:p>
    <w:p>
      <w:pPr>
        <w:pStyle w:val="Normal"/>
        <w:spacing w:lineRule="auto" w:line="360"/>
        <w:jc w:val="center"/>
        <w:rPr>
          <w:rFonts w:ascii="Arial" w:hAnsi="Arial" w:cs="Arial"/>
          <w:sz w:val="22"/>
        </w:rPr>
      </w:pPr>
      <w:r>
        <w:rPr>
          <w:rFonts w:cs="Arial" w:ascii="Arial" w:hAnsi="Arial"/>
          <w:sz w:val="22"/>
        </w:rPr>
      </w:r>
    </w:p>
    <w:p>
      <w:pPr>
        <w:pStyle w:val="Normal"/>
        <w:spacing w:lineRule="auto" w:line="360"/>
        <w:jc w:val="center"/>
        <w:rPr>
          <w:rFonts w:ascii="Arial" w:hAnsi="Arial" w:cs="Arial"/>
          <w:sz w:val="22"/>
        </w:rPr>
      </w:pPr>
      <w:r>
        <w:rPr>
          <w:rFonts w:cs="Arial" w:ascii="Arial" w:hAnsi="Arial"/>
          <w:sz w:val="22"/>
        </w:rPr>
      </w:r>
    </w:p>
    <w:p>
      <w:pPr>
        <w:pStyle w:val="Normal"/>
        <w:spacing w:lineRule="auto" w:line="360"/>
        <w:jc w:val="center"/>
        <w:rPr>
          <w:rFonts w:ascii="Arial" w:hAnsi="Arial" w:cs="Arial"/>
          <w:sz w:val="22"/>
        </w:rPr>
      </w:pPr>
      <w:r>
        <w:rPr>
          <w:rFonts w:cs="Arial" w:ascii="Arial" w:hAnsi="Arial"/>
          <w:sz w:val="22"/>
        </w:rPr>
      </w:r>
    </w:p>
    <w:p>
      <w:pPr>
        <w:pStyle w:val="Normal"/>
        <w:spacing w:lineRule="auto" w:line="360"/>
        <w:jc w:val="center"/>
        <w:rPr>
          <w:rFonts w:ascii="Arial" w:hAnsi="Arial" w:cs="Arial"/>
          <w:szCs w:val="28"/>
        </w:rPr>
      </w:pPr>
      <w:r>
        <w:rPr>
          <w:rFonts w:cs="Arial" w:ascii="Arial" w:hAnsi="Arial"/>
          <w:szCs w:val="28"/>
        </w:rPr>
        <w:t>Réalisé par :</w:t>
      </w:r>
    </w:p>
    <w:p>
      <w:pPr>
        <w:pStyle w:val="Normal"/>
        <w:spacing w:lineRule="auto" w:line="360"/>
        <w:jc w:val="center"/>
        <w:rPr>
          <w:rFonts w:ascii="Arial" w:hAnsi="Arial" w:cs="Arial"/>
          <w:sz w:val="44"/>
          <w:szCs w:val="48"/>
        </w:rPr>
      </w:pPr>
      <w:r>
        <w:rPr>
          <w:rFonts w:cs="Arial" w:ascii="Arial" w:hAnsi="Arial"/>
          <w:sz w:val="44"/>
          <w:szCs w:val="48"/>
        </w:rPr>
        <w:t>Emna Abidi</w:t>
      </w:r>
    </w:p>
    <w:p>
      <w:pPr>
        <w:pStyle w:val="Normal"/>
        <w:spacing w:lineRule="auto" w:line="360"/>
        <w:jc w:val="center"/>
        <w:rPr>
          <w:rFonts w:ascii="Arial" w:hAnsi="Arial" w:cs="Arial"/>
          <w:sz w:val="22"/>
        </w:rPr>
      </w:pPr>
      <w:r>
        <w:rPr>
          <w:rFonts w:cs="Arial" w:ascii="Arial" w:hAnsi="Arial"/>
          <w:sz w:val="22"/>
        </w:rPr>
      </w:r>
    </w:p>
    <w:p>
      <w:pPr>
        <w:pStyle w:val="Normal"/>
        <w:spacing w:lineRule="auto" w:line="360"/>
        <w:jc w:val="center"/>
        <w:rPr>
          <w:rFonts w:ascii="Arial" w:hAnsi="Arial" w:cs="Arial"/>
          <w:sz w:val="22"/>
        </w:rPr>
      </w:pPr>
      <w:r>
        <w:rPr>
          <w:rFonts w:cs="Arial" w:ascii="Arial" w:hAnsi="Arial"/>
          <w:sz w:val="28"/>
          <w:szCs w:val="32"/>
        </w:rPr>
        <w:t xml:space="preserve">Encadrants </w:t>
      </w:r>
      <w:r>
        <w:rPr>
          <w:rFonts w:cs="Arial" w:ascii="Arial" w:hAnsi="Arial"/>
          <w:sz w:val="22"/>
        </w:rPr>
        <w:t>:</w:t>
      </w:r>
    </w:p>
    <w:p>
      <w:pPr>
        <w:pStyle w:val="Normal"/>
        <w:spacing w:lineRule="auto" w:line="360"/>
        <w:jc w:val="center"/>
        <w:rPr>
          <w:rFonts w:ascii="Arial" w:hAnsi="Arial" w:cs="Arial"/>
          <w:sz w:val="36"/>
          <w:szCs w:val="40"/>
        </w:rPr>
      </w:pPr>
      <w:r>
        <w:rPr>
          <w:rFonts w:cs="Arial" w:ascii="Arial" w:hAnsi="Arial"/>
          <w:sz w:val="36"/>
          <w:szCs w:val="40"/>
        </w:rPr>
        <w:t>M. Kamel Hamemi &amp; M. Fathi Jomni</w:t>
      </w:r>
    </w:p>
    <w:p>
      <w:pPr>
        <w:pStyle w:val="Normal"/>
        <w:spacing w:lineRule="auto" w:line="360"/>
        <w:jc w:val="center"/>
        <w:rPr>
          <w:rFonts w:ascii="Arial" w:hAnsi="Arial" w:cs="Arial"/>
          <w:sz w:val="28"/>
          <w:szCs w:val="32"/>
        </w:rPr>
      </w:pPr>
      <w:r>
        <w:rPr>
          <w:rFonts w:cs="Arial" w:ascii="Arial" w:hAnsi="Arial"/>
          <w:sz w:val="28"/>
          <w:szCs w:val="32"/>
        </w:rPr>
        <w:t xml:space="preserve">Faculté des sciences de Tunis </w:t>
      </w:r>
    </w:p>
    <w:p>
      <w:pPr>
        <w:pStyle w:val="Normal"/>
        <w:spacing w:lineRule="auto" w:line="360"/>
        <w:jc w:val="center"/>
        <w:rPr>
          <w:rFonts w:ascii="Arial" w:hAnsi="Arial" w:cs="Arial"/>
          <w:sz w:val="22"/>
        </w:rPr>
      </w:pPr>
      <w:r>
        <w:rPr>
          <w:rFonts w:cs="Arial" w:ascii="Arial" w:hAnsi="Arial"/>
          <w:sz w:val="22"/>
        </w:rPr>
        <w:t>Année universitaire : 2026/2025</w:t>
      </w:r>
    </w:p>
    <w:p>
      <w:pPr>
        <w:pStyle w:val="Normal"/>
        <w:spacing w:lineRule="auto" w:line="360"/>
        <w:jc w:val="center"/>
        <w:rPr>
          <w:rFonts w:ascii="Arial" w:hAnsi="Arial" w:cs="Arial"/>
          <w:sz w:val="22"/>
        </w:rPr>
      </w:pPr>
      <w:r>
        <w:rPr>
          <w:rFonts w:cs="Times New Roman" w:ascii="Times New Roman" w:hAnsi="Times New Roman"/>
          <w:b/>
          <w:bCs/>
          <w:sz w:val="48"/>
          <w:szCs w:val="48"/>
        </w:rPr>
        <w:t>Remerciements</w:t>
      </w:r>
    </w:p>
    <w:p>
      <w:pPr>
        <w:pStyle w:val="Normal"/>
        <w:spacing w:lineRule="auto" w:line="360"/>
        <w:rPr>
          <w:rFonts w:ascii="Times New Roman" w:hAnsi="Times New Roman" w:cs="Times New Roman"/>
          <w:sz w:val="32"/>
          <w:szCs w:val="32"/>
        </w:rPr>
      </w:pPr>
      <w:r>
        <w:rPr>
          <w:rFonts w:cs="Times New Roman" w:ascii="Times New Roman" w:hAnsi="Times New Roman"/>
          <w:sz w:val="36"/>
          <w:szCs w:val="36"/>
        </w:rPr>
        <w:t xml:space="preserve"> </w:t>
      </w:r>
      <w:r>
        <w:rPr>
          <w:rFonts w:cs="Times New Roman" w:ascii="Times New Roman" w:hAnsi="Times New Roman"/>
          <w:sz w:val="32"/>
          <w:szCs w:val="32"/>
        </w:rPr>
        <w:t xml:space="preserve">Je tiens, tout d’abord, à exprimer ma profonde gratitude et mes sincères remerciements à mes encadrants, Monsieur </w:t>
      </w:r>
      <w:r>
        <w:rPr>
          <w:rFonts w:cs="Times New Roman" w:ascii="Times New Roman" w:hAnsi="Times New Roman"/>
          <w:b/>
          <w:bCs/>
          <w:sz w:val="32"/>
          <w:szCs w:val="32"/>
        </w:rPr>
        <w:t>Kamel Hamemi</w:t>
      </w:r>
      <w:r>
        <w:rPr>
          <w:rFonts w:cs="Times New Roman" w:ascii="Times New Roman" w:hAnsi="Times New Roman"/>
          <w:sz w:val="32"/>
          <w:szCs w:val="32"/>
        </w:rPr>
        <w:t xml:space="preserve"> et Monsieur </w:t>
      </w:r>
      <w:r>
        <w:rPr>
          <w:rFonts w:cs="Times New Roman" w:ascii="Times New Roman" w:hAnsi="Times New Roman"/>
          <w:b/>
          <w:bCs/>
          <w:sz w:val="32"/>
          <w:szCs w:val="32"/>
        </w:rPr>
        <w:t>Fathi Jomni</w:t>
      </w:r>
      <w:r>
        <w:rPr>
          <w:rFonts w:cs="Times New Roman" w:ascii="Times New Roman" w:hAnsi="Times New Roman"/>
          <w:sz w:val="32"/>
          <w:szCs w:val="32"/>
        </w:rPr>
        <w:t>, pour avoir accepté de diriger ce travail.</w:t>
      </w:r>
    </w:p>
    <w:p>
      <w:pPr>
        <w:pStyle w:val="Normal"/>
        <w:spacing w:lineRule="auto" w:line="360"/>
        <w:rPr>
          <w:rFonts w:ascii="Times New Roman" w:hAnsi="Times New Roman" w:cs="Times New Roman"/>
          <w:sz w:val="32"/>
          <w:szCs w:val="32"/>
        </w:rPr>
      </w:pPr>
      <w:r>
        <w:rPr>
          <w:rFonts w:cs="Times New Roman" w:ascii="Times New Roman" w:hAnsi="Times New Roman"/>
          <w:sz w:val="32"/>
          <w:szCs w:val="32"/>
        </w:rPr>
        <w:t xml:space="preserve">Je les remercie tout particulièrement pour la confiance qu’ils m’ont témoignée, ainsi que pour leur disponibilité constante malgré leurs nombreuses responsabilités. </w:t>
      </w:r>
    </w:p>
    <w:p>
      <w:pPr>
        <w:pStyle w:val="Normal"/>
        <w:spacing w:lineRule="auto" w:line="360"/>
        <w:rPr>
          <w:rFonts w:ascii="Times New Roman" w:hAnsi="Times New Roman" w:cs="Times New Roman"/>
          <w:sz w:val="32"/>
          <w:szCs w:val="32"/>
        </w:rPr>
      </w:pPr>
      <w:r>
        <w:rPr>
          <w:rFonts w:cs="Times New Roman" w:ascii="Times New Roman" w:hAnsi="Times New Roman"/>
          <w:sz w:val="32"/>
          <w:szCs w:val="32"/>
        </w:rPr>
        <w:t>Leurs précieux conseils, leur rigueur scientifique et leur soutien technique ont été déterminants dans la réussite de ce projet, notamment pour l'articulation entre la théorie physique des TENG et la modélisation électronique.</w:t>
      </w:r>
    </w:p>
    <w:p>
      <w:pPr>
        <w:pStyle w:val="Normal"/>
        <w:spacing w:lineRule="auto" w:line="360"/>
        <w:rPr>
          <w:rFonts w:ascii="Times New Roman" w:hAnsi="Times New Roman" w:cs="Times New Roman"/>
          <w:sz w:val="32"/>
          <w:szCs w:val="32"/>
        </w:rPr>
      </w:pPr>
      <w:r>
        <w:rPr>
          <w:rFonts w:cs="Times New Roman" w:ascii="Times New Roman" w:hAnsi="Times New Roman"/>
          <w:sz w:val="32"/>
          <w:szCs w:val="32"/>
        </w:rPr>
        <w:t xml:space="preserve">Leur expertise m’a permis non seulement de mener à bien cette étude, mais aussi d’approfondir mes connaissances en physique du solide et en systèmes énergétiques innovants. </w:t>
      </w:r>
    </w:p>
    <w:p>
      <w:pPr>
        <w:pStyle w:val="Normal"/>
        <w:spacing w:lineRule="auto" w:line="360"/>
        <w:rPr>
          <w:rFonts w:ascii="Times New Roman" w:hAnsi="Times New Roman" w:cs="Times New Roman"/>
          <w:sz w:val="32"/>
          <w:szCs w:val="32"/>
        </w:rPr>
      </w:pPr>
      <w:r>
        <w:rPr>
          <w:rFonts w:cs="Times New Roman" w:ascii="Times New Roman" w:hAnsi="Times New Roman"/>
          <w:sz w:val="32"/>
          <w:szCs w:val="32"/>
        </w:rPr>
        <w:t>Que ce rapport soit le témoignage de ma haute considération et de mon profond respect pour leurs qualités humaines et pédagogiques.</w:t>
      </w:r>
    </w:p>
    <w:p>
      <w:pPr>
        <w:pStyle w:val="Normal"/>
        <w:spacing w:lineRule="auto" w:line="360"/>
        <w:rPr>
          <w:b/>
          <w:bCs/>
        </w:rPr>
      </w:pPr>
      <w:r>
        <w:rPr>
          <w:b/>
          <w:bCs/>
        </w:rPr>
      </w:r>
    </w:p>
    <w:p>
      <w:pPr>
        <w:pStyle w:val="Normal"/>
        <w:spacing w:lineRule="auto" w:line="360"/>
        <w:rPr>
          <w:b/>
          <w:bCs/>
        </w:rPr>
      </w:pPr>
      <w:r>
        <w:rPr>
          <w:b/>
          <w:bCs/>
        </w:rPr>
      </w:r>
    </w:p>
    <w:p>
      <w:pPr>
        <w:pStyle w:val="Normal"/>
        <w:spacing w:lineRule="auto" w:line="360"/>
        <w:rPr>
          <w:rFonts w:ascii="Times New Roman" w:hAnsi="Times New Roman" w:cs="Times New Roman"/>
          <w:sz w:val="32"/>
          <w:szCs w:val="32"/>
        </w:rPr>
      </w:pPr>
      <w:r>
        <w:rPr>
          <w:rFonts w:cs="Times New Roman" w:ascii="Times New Roman" w:hAnsi="Times New Roman"/>
          <w:sz w:val="32"/>
          <w:szCs w:val="32"/>
        </w:rPr>
      </w:r>
    </w:p>
    <w:p>
      <w:pPr>
        <w:pStyle w:val="Normal"/>
        <w:spacing w:lineRule="auto" w:line="360"/>
        <w:rPr>
          <w:rFonts w:ascii="Times New Roman" w:hAnsi="Times New Roman" w:cs="Times New Roman"/>
          <w:sz w:val="32"/>
          <w:szCs w:val="32"/>
        </w:rPr>
      </w:pPr>
      <w:r>
        <w:rPr>
          <w:rFonts w:cs="Times New Roman" w:ascii="Times New Roman" w:hAnsi="Times New Roman"/>
          <w:sz w:val="32"/>
          <w:szCs w:val="32"/>
        </w:rPr>
      </w:r>
    </w:p>
    <w:p>
      <w:pPr>
        <w:pStyle w:val="Normal"/>
        <w:spacing w:lineRule="auto" w:line="360"/>
        <w:rPr>
          <w:rFonts w:ascii="Times New Roman" w:hAnsi="Times New Roman" w:cs="Times New Roman"/>
          <w:sz w:val="32"/>
          <w:szCs w:val="32"/>
        </w:rPr>
      </w:pPr>
      <w:r>
        <w:rPr>
          <w:rFonts w:cs="Times New Roman" w:ascii="Times New Roman" w:hAnsi="Times New Roman"/>
          <w:sz w:val="32"/>
          <w:szCs w:val="32"/>
        </w:rPr>
      </w:r>
    </w:p>
    <w:p>
      <w:pPr>
        <w:pStyle w:val="Normal"/>
        <w:spacing w:lineRule="auto" w:line="360"/>
        <w:rPr>
          <w:rFonts w:ascii="Times New Roman" w:hAnsi="Times New Roman" w:cs="Times New Roman"/>
          <w:b/>
          <w:bCs/>
          <w:sz w:val="30"/>
          <w:szCs w:val="30"/>
        </w:rPr>
      </w:pPr>
      <w:r>
        <w:rPr>
          <w:rFonts w:cs="Times New Roman" w:ascii="Times New Roman" w:hAnsi="Times New Roman"/>
          <w:b/>
          <w:bCs/>
          <w:sz w:val="30"/>
          <w:szCs w:val="30"/>
        </w:rPr>
      </w:r>
    </w:p>
    <w:p>
      <w:pPr>
        <w:pStyle w:val="Normal"/>
        <w:spacing w:lineRule="auto" w:line="360"/>
        <w:rPr>
          <w:rFonts w:ascii="Times New Roman" w:hAnsi="Times New Roman" w:cs="Times New Roman"/>
          <w:b/>
          <w:bCs/>
          <w:sz w:val="30"/>
          <w:szCs w:val="30"/>
        </w:rPr>
      </w:pPr>
      <w:r>
        <w:rPr>
          <w:rFonts w:cs="Times New Roman" w:ascii="Times New Roman" w:hAnsi="Times New Roman"/>
          <w:b/>
          <w:bCs/>
          <w:sz w:val="30"/>
          <w:szCs w:val="30"/>
        </w:rPr>
        <w:t>ABSTRACT :</w:t>
      </w:r>
    </w:p>
    <w:p>
      <w:pPr>
        <w:pStyle w:val="Normal"/>
        <w:spacing w:lineRule="auto" w:line="360"/>
        <w:rPr>
          <w:rFonts w:ascii="Times New Roman" w:hAnsi="Times New Roman" w:cs="Times New Roman"/>
          <w:sz w:val="32"/>
          <w:szCs w:val="32"/>
        </w:rPr>
      </w:pPr>
      <w:r>
        <w:rPr>
          <w:rFonts w:cs="Times New Roman" w:ascii="Times New Roman" w:hAnsi="Times New Roman"/>
          <w:sz w:val="32"/>
          <w:szCs w:val="32"/>
        </w:rPr>
        <w:t xml:space="preserve">   </w:t>
      </w:r>
      <w:r>
        <w:rPr>
          <w:rFonts w:cs="Times New Roman" w:ascii="Times New Roman" w:hAnsi="Times New Roman"/>
          <w:sz w:val="32"/>
          <w:szCs w:val="32"/>
        </w:rPr>
        <w:t xml:space="preserve">Ce rapport présente une analyse exhaustive de la technologie des nanogénérateurs triboélectriques (TENG), en s’appuyant sur les avancées théoriques les plus récentes. Dans un premier temps, nous démontrons que l'électrification de contact (CE) est un phénomène dominé par le transfert d'électrons, activé par le chevauchement des nuages électroniques à l'échelle nanoscopique (Wang et al., 2019). </w:t>
      </w:r>
    </w:p>
    <w:p>
      <w:pPr>
        <w:pStyle w:val="Normal"/>
        <w:spacing w:lineRule="auto" w:line="360"/>
        <w:rPr>
          <w:rFonts w:ascii="Times New Roman" w:hAnsi="Times New Roman" w:cs="Times New Roman"/>
          <w:sz w:val="32"/>
          <w:szCs w:val="32"/>
        </w:rPr>
      </w:pPr>
      <w:r>
        <w:rPr>
          <w:rFonts w:cs="Times New Roman" w:ascii="Times New Roman" w:hAnsi="Times New Roman"/>
          <w:sz w:val="32"/>
          <w:szCs w:val="32"/>
        </w:rPr>
        <w:t xml:space="preserve">Ce mécanisme est ensuite formalisé par l'extension des équations de Maxwell-Wang, qui identifie le courant de déplacement comme le vecteur essentiel de la conversion d'énergie mécanique en puissance électrique (Zhou et al., 2020). </w:t>
      </w:r>
    </w:p>
    <w:p>
      <w:pPr>
        <w:pStyle w:val="Normal"/>
        <w:spacing w:lineRule="auto" w:line="360"/>
        <w:rPr>
          <w:rFonts w:ascii="Times New Roman" w:hAnsi="Times New Roman" w:cs="Times New Roman"/>
          <w:sz w:val="32"/>
          <w:szCs w:val="32"/>
        </w:rPr>
      </w:pPr>
      <w:r>
        <w:rPr>
          <w:rFonts w:cs="Times New Roman" w:ascii="Times New Roman" w:hAnsi="Times New Roman"/>
          <w:sz w:val="32"/>
          <w:szCs w:val="32"/>
        </w:rPr>
        <w:t xml:space="preserve">Enfin, nous explorons la diversification des interfaces (solide, liquide, gaz) et les stratégies de modification de surface visant à optimiser la densité de charge (Hu et al., 2024). </w:t>
      </w:r>
    </w:p>
    <w:p>
      <w:pPr>
        <w:pStyle w:val="Normal"/>
        <w:spacing w:lineRule="auto" w:line="360"/>
        <w:rPr>
          <w:rFonts w:ascii="Times New Roman" w:hAnsi="Times New Roman" w:cs="Times New Roman"/>
          <w:sz w:val="32"/>
          <w:szCs w:val="32"/>
        </w:rPr>
      </w:pPr>
      <w:r>
        <w:rPr>
          <w:rFonts w:cs="Times New Roman" w:ascii="Times New Roman" w:hAnsi="Times New Roman"/>
          <w:sz w:val="32"/>
          <w:szCs w:val="32"/>
        </w:rPr>
        <w:t>Ce travail offre une vision unifiée liant la physique du solide aux applications émergentes dans le domaine des capteurs intelligents et de la récolte d'énergie environnementale.</w:t>
      </w:r>
    </w:p>
    <w:p>
      <w:pPr>
        <w:pStyle w:val="Normal"/>
        <w:spacing w:lineRule="auto" w:line="360"/>
        <w:rPr>
          <w:rFonts w:ascii="Times New Roman" w:hAnsi="Times New Roman" w:cs="Times New Roman"/>
          <w:sz w:val="32"/>
          <w:szCs w:val="32"/>
        </w:rPr>
      </w:pPr>
      <w:r>
        <w:rPr>
          <w:rFonts w:cs="Times New Roman" w:ascii="Times New Roman" w:hAnsi="Times New Roman"/>
          <w:sz w:val="32"/>
          <w:szCs w:val="32"/>
        </w:rPr>
        <w:t xml:space="preserve">La démarche adoptée combine une </w:t>
      </w:r>
      <w:r>
        <w:rPr>
          <w:rFonts w:cs="Times New Roman" w:ascii="Times New Roman" w:hAnsi="Times New Roman"/>
          <w:b/>
          <w:bCs/>
          <w:sz w:val="32"/>
          <w:szCs w:val="32"/>
        </w:rPr>
        <w:t>étude théorique</w:t>
      </w:r>
      <w:r>
        <w:rPr>
          <w:rFonts w:cs="Times New Roman" w:ascii="Times New Roman" w:hAnsi="Times New Roman"/>
          <w:sz w:val="32"/>
          <w:szCs w:val="32"/>
        </w:rPr>
        <w:t xml:space="preserve">, une </w:t>
      </w:r>
      <w:r>
        <w:rPr>
          <w:rFonts w:cs="Times New Roman" w:ascii="Times New Roman" w:hAnsi="Times New Roman"/>
          <w:b/>
          <w:bCs/>
          <w:sz w:val="32"/>
          <w:szCs w:val="32"/>
        </w:rPr>
        <w:t>validation par simulation numérique</w:t>
      </w:r>
      <w:r>
        <w:rPr>
          <w:rFonts w:cs="Times New Roman" w:ascii="Times New Roman" w:hAnsi="Times New Roman"/>
          <w:sz w:val="32"/>
          <w:szCs w:val="32"/>
        </w:rPr>
        <w:t xml:space="preserve"> et une </w:t>
      </w:r>
      <w:r>
        <w:rPr>
          <w:rFonts w:cs="Times New Roman" w:ascii="Times New Roman" w:hAnsi="Times New Roman"/>
          <w:b/>
          <w:bCs/>
          <w:sz w:val="32"/>
          <w:szCs w:val="32"/>
        </w:rPr>
        <w:t>implémentation physique</w:t>
      </w:r>
      <w:r>
        <w:rPr>
          <w:rFonts w:cs="Times New Roman" w:ascii="Times New Roman" w:hAnsi="Times New Roman"/>
          <w:sz w:val="32"/>
          <w:szCs w:val="32"/>
        </w:rPr>
        <w:t xml:space="preserve"> afin de vérifier les performances réelles du couple triboélectrique choisi.</w:t>
      </w:r>
    </w:p>
    <w:p>
      <w:pPr>
        <w:pStyle w:val="Normal"/>
        <w:spacing w:lineRule="auto" w:line="360"/>
        <w:rPr>
          <w:b/>
          <w:bCs/>
        </w:rPr>
      </w:pPr>
      <w:r>
        <w:rPr>
          <w:b/>
          <w:bCs/>
        </w:rPr>
      </w:r>
      <w:r>
        <w:br w:type="page"/>
      </w:r>
    </w:p>
    <w:p>
      <w:pPr>
        <w:pStyle w:val="Normal"/>
        <w:spacing w:lineRule="auto" w:line="360" w:before="0" w:after="160"/>
        <w:rPr>
          <w:rFonts w:ascii="Times New Roman" w:hAnsi="Times New Roman" w:cs="Times New Roman"/>
          <w:b/>
          <w:bCs/>
        </w:rPr>
      </w:pPr>
      <w:r>
        <w:rPr>
          <w:rFonts w:cs="Times New Roman" w:ascii="Times New Roman" w:hAnsi="Times New Roman"/>
          <w:b/>
          <w:bCs/>
        </w:rPr>
        <w:t>Plan de Rapport : Physique et Ingénierie des TENG</w:t>
      </w:r>
    </w:p>
    <w:p>
      <w:pPr>
        <w:pStyle w:val="Normal"/>
        <w:spacing w:lineRule="auto" w:line="360"/>
        <w:rPr>
          <w:rFonts w:ascii="Times New Roman" w:hAnsi="Times New Roman" w:cs="Times New Roman"/>
          <w:b/>
          <w:bCs/>
        </w:rPr>
      </w:pPr>
      <w:r>
        <w:rPr>
          <w:rFonts w:cs="Times New Roman" w:ascii="Times New Roman" w:hAnsi="Times New Roman"/>
          <w:b/>
          <w:bCs/>
        </w:rPr>
        <w:t>Introduction : Le Changement de Paradigme</w:t>
      </w:r>
    </w:p>
    <w:p>
      <w:pPr>
        <w:pStyle w:val="Normal"/>
        <w:numPr>
          <w:ilvl w:val="0"/>
          <w:numId w:val="5"/>
        </w:numPr>
        <w:spacing w:lineRule="auto" w:line="360"/>
        <w:rPr>
          <w:rFonts w:ascii="Times New Roman" w:hAnsi="Times New Roman" w:cs="Times New Roman"/>
        </w:rPr>
      </w:pPr>
      <w:r>
        <w:rPr>
          <w:rFonts w:cs="Times New Roman" w:ascii="Times New Roman" w:hAnsi="Times New Roman"/>
          <w:b/>
          <w:bCs/>
        </w:rPr>
        <w:t>Contenu :</w:t>
      </w:r>
      <w:r>
        <w:rPr>
          <w:rFonts w:cs="Times New Roman" w:ascii="Times New Roman" w:hAnsi="Times New Roman"/>
        </w:rPr>
        <w:t xml:space="preserve"> Historique bref (Thalès de Milet) et transition vers la définition moderne : le TENG comme application du courant de déplacement de Maxwell.</w:t>
      </w:r>
    </w:p>
    <w:p>
      <w:pPr>
        <w:pStyle w:val="Normal"/>
        <w:spacing w:lineRule="auto" w:line="360"/>
        <w:rPr>
          <w:rFonts w:ascii="Times New Roman" w:hAnsi="Times New Roman" w:cs="Times New Roman"/>
        </w:rPr>
      </w:pPr>
      <w:r>
        <w:rPr/>
        <mc:AlternateContent>
          <mc:Choice Requires="wps">
            <w:drawing>
              <wp:inline distT="0" distB="0" distL="0" distR="0">
                <wp:extent cx="576072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360"/>
        <w:rPr>
          <w:rFonts w:ascii="Times New Roman" w:hAnsi="Times New Roman" w:cs="Times New Roman"/>
          <w:b/>
          <w:bCs/>
        </w:rPr>
      </w:pPr>
      <w:r>
        <w:rPr>
          <w:rFonts w:cs="Times New Roman" w:ascii="Times New Roman" w:hAnsi="Times New Roman"/>
          <w:b/>
          <w:bCs/>
        </w:rPr>
        <w:t>Chapitre I : Physique Fondamentale de la CE (Contact Electrification)</w:t>
      </w:r>
    </w:p>
    <w:p>
      <w:pPr>
        <w:pStyle w:val="Normal"/>
        <w:spacing w:lineRule="auto" w:line="360"/>
        <w:rPr>
          <w:rFonts w:ascii="Times New Roman" w:hAnsi="Times New Roman" w:cs="Times New Roman"/>
          <w:b/>
          <w:bCs/>
        </w:rPr>
      </w:pPr>
      <w:r>
        <w:rPr>
          <w:rFonts w:cs="Times New Roman" w:ascii="Times New Roman" w:hAnsi="Times New Roman"/>
          <w:b/>
          <w:bCs/>
        </w:rPr>
        <w:t>1.1 Le modèle du Puits de Potentiel et Énergie de Fermi</w:t>
      </w:r>
    </w:p>
    <w:p>
      <w:pPr>
        <w:pStyle w:val="Normal"/>
        <w:numPr>
          <w:ilvl w:val="0"/>
          <w:numId w:val="6"/>
        </w:numPr>
        <w:spacing w:lineRule="auto" w:line="360"/>
        <w:rPr>
          <w:rFonts w:ascii="Times New Roman" w:hAnsi="Times New Roman" w:cs="Times New Roman"/>
        </w:rPr>
      </w:pPr>
      <w:r>
        <w:rPr>
          <w:rFonts w:cs="Times New Roman" w:ascii="Times New Roman" w:hAnsi="Times New Roman"/>
          <w:b/>
          <w:bCs/>
        </w:rPr>
        <w:t>Contenu :</w:t>
      </w:r>
      <w:r>
        <w:rPr>
          <w:rFonts w:cs="Times New Roman" w:ascii="Times New Roman" w:hAnsi="Times New Roman"/>
        </w:rPr>
        <w:t xml:space="preserve"> Explication du transfert de charge basé sur le potentiel chimique (métaux) et les états de surface (isolants).</w:t>
      </w:r>
    </w:p>
    <w:p>
      <w:pPr>
        <w:pStyle w:val="Normal"/>
        <w:spacing w:lineRule="auto" w:line="360"/>
        <w:rPr>
          <w:rFonts w:ascii="Times New Roman" w:hAnsi="Times New Roman" w:cs="Times New Roman"/>
          <w:b/>
          <w:bCs/>
        </w:rPr>
      </w:pPr>
      <w:r>
        <w:rPr>
          <w:rFonts w:cs="Times New Roman" w:ascii="Times New Roman" w:hAnsi="Times New Roman"/>
          <w:b/>
          <w:bCs/>
        </w:rPr>
        <w:t>1.2 Le mécanisme de l'Effet Tunnel</w:t>
      </w:r>
    </w:p>
    <w:p>
      <w:pPr>
        <w:pStyle w:val="Normal"/>
        <w:numPr>
          <w:ilvl w:val="0"/>
          <w:numId w:val="7"/>
        </w:numPr>
        <w:spacing w:lineRule="auto" w:line="360"/>
        <w:rPr>
          <w:rFonts w:ascii="Times New Roman" w:hAnsi="Times New Roman" w:cs="Times New Roman"/>
        </w:rPr>
      </w:pPr>
      <w:r>
        <w:rPr>
          <w:rFonts w:cs="Times New Roman" w:ascii="Times New Roman" w:hAnsi="Times New Roman"/>
          <w:b/>
          <w:bCs/>
        </w:rPr>
        <w:t>Contenu :</w:t>
      </w:r>
      <w:r>
        <w:rPr>
          <w:rFonts w:cs="Times New Roman" w:ascii="Times New Roman" w:hAnsi="Times New Roman"/>
        </w:rPr>
        <w:t xml:space="preserve"> Le rôle du chevauchement des nuages électroniques à 0,2 nm. Pourquoi la force mécanique augmente la densité de charge (augmentation de la surface de contact réelle).</w:t>
      </w:r>
    </w:p>
    <w:p>
      <w:pPr>
        <w:pStyle w:val="Normal"/>
        <w:spacing w:lineRule="auto" w:line="360"/>
        <w:rPr>
          <w:rFonts w:ascii="Times New Roman" w:hAnsi="Times New Roman" w:cs="Times New Roman"/>
        </w:rPr>
      </w:pPr>
      <w:r>
        <w:rPr/>
        <mc:AlternateContent>
          <mc:Choice Requires="wps">
            <w:drawing>
              <wp:inline distT="0" distB="0" distL="0" distR="0">
                <wp:extent cx="576072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360"/>
        <w:rPr>
          <w:rFonts w:ascii="Times New Roman" w:hAnsi="Times New Roman" w:cs="Times New Roman"/>
          <w:b/>
          <w:bCs/>
        </w:rPr>
      </w:pPr>
      <w:r>
        <w:rPr>
          <w:rFonts w:cs="Times New Roman" w:ascii="Times New Roman" w:hAnsi="Times New Roman"/>
          <w:b/>
          <w:bCs/>
        </w:rPr>
        <w:t>Chapitre II : Électrodynamique et Équations de Maxwell-Wang</w:t>
      </w:r>
    </w:p>
    <w:p>
      <w:pPr>
        <w:pStyle w:val="Normal"/>
        <w:spacing w:lineRule="auto" w:line="360"/>
        <w:rPr>
          <w:rFonts w:ascii="Times New Roman" w:hAnsi="Times New Roman" w:cs="Times New Roman"/>
          <w:b/>
          <w:bCs/>
        </w:rPr>
      </w:pPr>
      <w:r>
        <w:rPr>
          <w:rFonts w:cs="Times New Roman" w:ascii="Times New Roman" w:hAnsi="Times New Roman"/>
          <w:b/>
          <w:bCs/>
        </w:rPr>
        <w:t>2.1 Le Courant de Déplacement de Maxwell</w:t>
      </w:r>
    </w:p>
    <w:p>
      <w:pPr>
        <w:pStyle w:val="Normal"/>
        <w:numPr>
          <w:ilvl w:val="0"/>
          <w:numId w:val="8"/>
        </w:numPr>
        <w:spacing w:lineRule="auto" w:line="360"/>
        <w:rPr>
          <w:rFonts w:ascii="Times New Roman" w:hAnsi="Times New Roman" w:cs="Times New Roman"/>
        </w:rPr>
      </w:pPr>
      <w:r>
        <w:rPr>
          <w:rFonts w:cs="Times New Roman" w:ascii="Times New Roman" w:hAnsi="Times New Roman"/>
          <w:b/>
          <w:bCs/>
        </w:rPr>
        <w:t>Contenu :</w:t>
      </w:r>
      <w:r>
        <w:rPr>
          <w:rFonts w:cs="Times New Roman" w:ascii="Times New Roman" w:hAnsi="Times New Roman"/>
        </w:rPr>
        <w:t xml:space="preserve"> Dérivation mathématique montrant l'ajout du terme de polarisation de surface </w:t>
      </w:r>
      <w:r>
        <w:rPr/>
      </w:r>
      <m:oMath xmlns:m="http://schemas.openxmlformats.org/officeDocument/2006/math">
        <m:sSub>
          <m:e>
            <m:r>
              <w:rPr>
                <w:rFonts w:ascii="Cambria Math" w:hAnsi="Cambria Math"/>
              </w:rPr>
              <m:t xml:space="preserve">P</m:t>
            </m:r>
          </m:e>
          <m:sub>
            <m:r>
              <w:rPr>
                <w:rFonts w:ascii="Cambria Math" w:hAnsi="Cambria Math"/>
              </w:rPr>
              <m:t xml:space="preserve">s</m:t>
            </m:r>
          </m:sub>
        </m:sSub>
      </m:oMath>
      <w:r>
        <w:rPr>
          <w:rFonts w:cs="Times New Roman" w:ascii="Times New Roman" w:hAnsi="Times New Roman"/>
        </w:rPr>
        <w:t>.</w:t>
      </w:r>
    </w:p>
    <w:p>
      <w:pPr>
        <w:pStyle w:val="Normal"/>
        <w:spacing w:lineRule="auto" w:line="360"/>
        <w:ind w:left="720"/>
        <w:rPr>
          <w:rFonts w:ascii="Times New Roman" w:hAnsi="Times New Roman" w:cs="Times New Roman"/>
        </w:rPr>
      </w:pPr>
      <w:r>
        <w:rPr>
          <w:rFonts w:cs="Times New Roman" w:ascii="Times New Roman" w:hAnsi="Times New Roman"/>
          <w:b/>
          <w:bCs/>
        </w:rPr>
        <w:t xml:space="preserve">Équation clé :        </w:t>
      </w:r>
      <w:r>
        <w:rPr/>
      </w:r>
      <m:oMath xmlns:m="http://schemas.openxmlformats.org/officeDocument/2006/math">
        <m:sSub>
          <m:e>
            <m:r>
              <w:rPr>
                <w:rFonts w:ascii="Cambria Math" w:hAnsi="Cambria Math"/>
              </w:rPr>
              <m:t xml:space="preserve">J</m:t>
            </m:r>
          </m:e>
          <m:sub>
            <m:r>
              <w:rPr>
                <w:rFonts w:ascii="Cambria Math" w:hAnsi="Cambria Math"/>
              </w:rPr>
              <m:t xml:space="preserve">D</m:t>
            </m:r>
          </m:sub>
        </m:sSub>
        <m:r>
          <w:rPr>
            <w:rFonts w:ascii="Cambria Math" w:hAnsi="Cambria Math"/>
          </w:rPr>
          <m:t xml:space="preserve">=</m:t>
        </m:r>
        <m:r>
          <w:rPr>
            <w:rFonts w:ascii="Cambria Math" w:hAnsi="Cambria Math"/>
          </w:rPr>
          <m:t xml:space="preserve">ε</m:t>
        </m:r>
        <m:f>
          <m:num>
            <m:r>
              <w:rPr>
                <w:rFonts w:ascii="Cambria Math" w:hAnsi="Cambria Math"/>
              </w:rPr>
              <m:t xml:space="preserve">∂</m:t>
            </m:r>
            <m:r>
              <w:rPr>
                <w:rFonts w:ascii="Cambria Math" w:hAnsi="Cambria Math"/>
              </w:rPr>
              <m:t xml:space="preserve">E</m:t>
            </m:r>
          </m:num>
          <m:den>
            <m:r>
              <w:rPr>
                <w:rFonts w:ascii="Cambria Math" w:hAnsi="Cambria Math"/>
              </w:rPr>
              <m:t xml:space="preserve">∂</m:t>
            </m:r>
            <m:r>
              <w:rPr>
                <w:rFonts w:ascii="Cambria Math" w:hAnsi="Cambria Math"/>
              </w:rPr>
              <m:t xml:space="preserve">t</m:t>
            </m:r>
          </m:den>
        </m:f>
        <m:r>
          <w:rPr>
            <w:rFonts w:ascii="Cambria Math" w:hAnsi="Cambria Math"/>
          </w:rPr>
          <m:t xml:space="preserve">+</m:t>
        </m:r>
        <m:f>
          <m:num>
            <m:r>
              <w:rPr>
                <w:rFonts w:ascii="Cambria Math" w:hAnsi="Cambria Math"/>
              </w:rPr>
              <m:t xml:space="preserve">∂</m:t>
            </m:r>
            <m:sSub>
              <m:e>
                <m:r>
                  <w:rPr>
                    <w:rFonts w:ascii="Cambria Math" w:hAnsi="Cambria Math"/>
                  </w:rPr>
                  <m:t xml:space="preserve">P</m:t>
                </m:r>
              </m:e>
              <m:sub>
                <m:r>
                  <w:rPr>
                    <w:rFonts w:ascii="Cambria Math" w:hAnsi="Cambria Math"/>
                  </w:rPr>
                  <m:t xml:space="preserve">s</m:t>
                </m:r>
              </m:sub>
            </m:sSub>
          </m:num>
          <m:den>
            <m:r>
              <w:rPr>
                <w:rFonts w:ascii="Cambria Math" w:hAnsi="Cambria Math"/>
              </w:rPr>
              <m:t xml:space="preserve">∂</m:t>
            </m:r>
            <m:r>
              <w:rPr>
                <w:rFonts w:ascii="Cambria Math" w:hAnsi="Cambria Math"/>
              </w:rPr>
              <m:t xml:space="preserve">t</m:t>
            </m:r>
          </m:den>
        </m:f>
      </m:oMath>
    </w:p>
    <w:p>
      <w:pPr>
        <w:pStyle w:val="Normal"/>
        <w:spacing w:lineRule="auto" w:line="360"/>
        <w:ind w:left="72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b/>
          <w:bCs/>
        </w:rPr>
      </w:pPr>
      <w:r>
        <w:rPr>
          <w:rFonts w:cs="Times New Roman" w:ascii="Times New Roman" w:hAnsi="Times New Roman"/>
          <w:b/>
          <w:bCs/>
        </w:rPr>
        <w:t>2.2 Les 4 Modes de Fonctionnement</w:t>
      </w:r>
    </w:p>
    <w:p>
      <w:pPr>
        <w:pStyle w:val="Normal"/>
        <w:numPr>
          <w:ilvl w:val="0"/>
          <w:numId w:val="9"/>
        </w:numPr>
        <w:spacing w:lineRule="auto" w:line="360"/>
        <w:rPr>
          <w:rFonts w:ascii="Times New Roman" w:hAnsi="Times New Roman" w:cs="Times New Roman"/>
        </w:rPr>
      </w:pPr>
      <w:r>
        <w:rPr>
          <w:rFonts w:cs="Times New Roman" w:ascii="Times New Roman" w:hAnsi="Times New Roman"/>
          <w:b/>
          <w:bCs/>
        </w:rPr>
        <w:t>Contenu :</w:t>
      </w:r>
      <w:r>
        <w:rPr>
          <w:rFonts w:cs="Times New Roman" w:ascii="Times New Roman" w:hAnsi="Times New Roman"/>
        </w:rPr>
        <w:t xml:space="preserve"> Analyse des configurations : Vertical Contact-Separation, Lateral Sliding, Single-Electrode, et Freestanding Triboelectric Layer.</w:t>
      </w:r>
    </w:p>
    <w:p>
      <w:pPr>
        <w:pStyle w:val="Normal"/>
        <w:spacing w:lineRule="auto" w:line="360"/>
        <w:rPr>
          <w:rFonts w:ascii="Times New Roman" w:hAnsi="Times New Roman" w:cs="Times New Roman"/>
        </w:rPr>
      </w:pPr>
      <w:r>
        <w:rPr/>
        <mc:AlternateContent>
          <mc:Choice Requires="wps">
            <w:drawing>
              <wp:inline distT="0" distB="0" distL="0" distR="0">
                <wp:extent cx="576072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360"/>
        <w:rPr>
          <w:rFonts w:ascii="Times New Roman" w:hAnsi="Times New Roman" w:cs="Times New Roman"/>
          <w:b/>
          <w:bCs/>
        </w:rPr>
      </w:pPr>
      <w:r>
        <w:rPr>
          <w:rFonts w:cs="Times New Roman" w:ascii="Times New Roman" w:hAnsi="Times New Roman"/>
          <w:b/>
          <w:bCs/>
        </w:rPr>
        <w:t>Chapitre III : Diversification et Optimisation (Recherche Actuelle)</w:t>
      </w:r>
    </w:p>
    <w:p>
      <w:pPr>
        <w:pStyle w:val="Normal"/>
        <w:spacing w:lineRule="auto" w:line="360"/>
        <w:rPr>
          <w:rFonts w:ascii="Times New Roman" w:hAnsi="Times New Roman" w:cs="Times New Roman"/>
          <w:b/>
          <w:bCs/>
        </w:rPr>
      </w:pPr>
      <w:r>
        <w:rPr>
          <w:rFonts w:cs="Times New Roman" w:ascii="Times New Roman" w:hAnsi="Times New Roman"/>
          <w:b/>
          <w:bCs/>
        </w:rPr>
        <w:t>3.1 Électrification aux interfaces Liquides et Gaz</w:t>
      </w:r>
    </w:p>
    <w:p>
      <w:pPr>
        <w:pStyle w:val="Normal"/>
        <w:numPr>
          <w:ilvl w:val="0"/>
          <w:numId w:val="10"/>
        </w:numPr>
        <w:spacing w:lineRule="auto" w:line="360"/>
        <w:rPr>
          <w:rFonts w:ascii="Times New Roman" w:hAnsi="Times New Roman" w:cs="Times New Roman"/>
        </w:rPr>
      </w:pPr>
      <w:r>
        <w:rPr>
          <w:rFonts w:cs="Times New Roman" w:ascii="Times New Roman" w:hAnsi="Times New Roman"/>
          <w:b/>
          <w:bCs/>
        </w:rPr>
        <w:t>Contenu :</w:t>
      </w:r>
      <w:r>
        <w:rPr>
          <w:rFonts w:cs="Times New Roman" w:ascii="Times New Roman" w:hAnsi="Times New Roman"/>
        </w:rPr>
        <w:t xml:space="preserve"> Coexistence du transfert d'électrons et d'ions. Comment l'eau interagit avec les surfaces polymères.</w:t>
      </w:r>
    </w:p>
    <w:p>
      <w:pPr>
        <w:pStyle w:val="Normal"/>
        <w:spacing w:lineRule="auto" w:line="360"/>
        <w:rPr>
          <w:rFonts w:ascii="Times New Roman" w:hAnsi="Times New Roman" w:cs="Times New Roman"/>
          <w:b/>
          <w:bCs/>
        </w:rPr>
      </w:pPr>
      <w:r>
        <w:rPr>
          <w:rFonts w:cs="Times New Roman" w:ascii="Times New Roman" w:hAnsi="Times New Roman"/>
          <w:b/>
          <w:bCs/>
        </w:rPr>
        <w:t>3.2 Stratégies d'Optimisation des Surfaces</w:t>
      </w:r>
    </w:p>
    <w:p>
      <w:pPr>
        <w:pStyle w:val="Normal"/>
        <w:numPr>
          <w:ilvl w:val="0"/>
          <w:numId w:val="11"/>
        </w:numPr>
        <w:spacing w:lineRule="auto" w:line="360"/>
        <w:rPr>
          <w:rFonts w:ascii="Times New Roman" w:hAnsi="Times New Roman" w:cs="Times New Roman"/>
        </w:rPr>
      </w:pPr>
      <w:r>
        <w:rPr>
          <w:rFonts w:cs="Times New Roman" w:ascii="Times New Roman" w:hAnsi="Times New Roman"/>
          <w:b/>
          <w:bCs/>
        </w:rPr>
        <w:t>Contenu :</w:t>
      </w:r>
      <w:r>
        <w:rPr>
          <w:rFonts w:cs="Times New Roman" w:ascii="Times New Roman" w:hAnsi="Times New Roman"/>
        </w:rPr>
        <w:t xml:space="preserve"> Nanostructuration (pyramides, nanofils) et modification chimique (fluoration).</w:t>
      </w:r>
    </w:p>
    <w:p>
      <w:pPr>
        <w:pStyle w:val="Normal"/>
        <w:spacing w:lineRule="auto" w:line="360"/>
        <w:rPr>
          <w:rFonts w:ascii="Times New Roman" w:hAnsi="Times New Roman" w:cs="Times New Roman"/>
        </w:rPr>
      </w:pPr>
      <w:r>
        <w:rPr/>
        <mc:AlternateContent>
          <mc:Choice Requires="wps">
            <w:drawing>
              <wp:inline distT="0" distB="0" distL="0" distR="0">
                <wp:extent cx="576072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360"/>
        <w:rPr>
          <w:rFonts w:ascii="Times New Roman" w:hAnsi="Times New Roman" w:cs="Times New Roman"/>
          <w:b/>
          <w:bCs/>
        </w:rPr>
      </w:pPr>
      <w:r>
        <w:rPr>
          <w:rFonts w:cs="Times New Roman" w:ascii="Times New Roman" w:hAnsi="Times New Roman"/>
          <w:b/>
          <w:bCs/>
        </w:rPr>
        <w:t>Chapitre IV : Applications et Défis</w:t>
      </w:r>
    </w:p>
    <w:p>
      <w:pPr>
        <w:pStyle w:val="Normal"/>
        <w:numPr>
          <w:ilvl w:val="0"/>
          <w:numId w:val="12"/>
        </w:numPr>
        <w:spacing w:lineRule="auto" w:line="360"/>
        <w:rPr>
          <w:rFonts w:ascii="Times New Roman" w:hAnsi="Times New Roman" w:cs="Times New Roman"/>
        </w:rPr>
      </w:pPr>
      <w:r>
        <w:rPr>
          <w:rFonts w:cs="Times New Roman" w:ascii="Times New Roman" w:hAnsi="Times New Roman"/>
          <w:b/>
          <w:bCs/>
        </w:rPr>
        <w:t>Contenu :</w:t>
      </w:r>
      <w:r>
        <w:rPr>
          <w:rFonts w:cs="Times New Roman" w:ascii="Times New Roman" w:hAnsi="Times New Roman"/>
        </w:rPr>
        <w:t xml:space="preserve"> Récolte de l'énergie des vagues (Blue Energy), capteurs biomédicaux et la limite de Paschen (claquage de l'air).</w:t>
      </w:r>
    </w:p>
    <w:p>
      <w:pPr>
        <w:pStyle w:val="Normal"/>
        <w:spacing w:lineRule="auto" w:line="360"/>
        <w:rPr>
          <w:rFonts w:ascii="Times New Roman" w:hAnsi="Times New Roman" w:cs="Times New Roman"/>
          <w:b/>
          <w:bCs/>
        </w:rPr>
      </w:pPr>
      <w:r>
        <w:rPr>
          <w:rFonts w:cs="Times New Roman" w:ascii="Times New Roman" w:hAnsi="Times New Roman"/>
          <w:b/>
          <w:bCs/>
        </w:rPr>
        <w:t>Chapitre V : Conception et Architecture du Prototype</w:t>
      </w:r>
    </w:p>
    <w:p>
      <w:pPr>
        <w:pStyle w:val="ListParagraph"/>
        <w:numPr>
          <w:ilvl w:val="1"/>
          <w:numId w:val="14"/>
        </w:numPr>
        <w:spacing w:lineRule="auto" w:line="360"/>
        <w:rPr>
          <w:rFonts w:ascii="Times New Roman" w:hAnsi="Times New Roman" w:cs="Times New Roman"/>
          <w:b/>
          <w:bCs/>
        </w:rPr>
      </w:pPr>
      <w:r>
        <w:rPr>
          <w:rFonts w:cs="Times New Roman" w:ascii="Times New Roman" w:hAnsi="Times New Roman"/>
          <w:b/>
          <w:bCs/>
        </w:rPr>
        <w:t>Sélection des Matériaux et Série Triboélectrique :</w:t>
      </w:r>
      <w:r>
        <w:rPr>
          <w:rFonts w:cs="Times New Roman" w:ascii="Times New Roman" w:hAnsi="Times New Roman"/>
        </w:rPr>
        <w:t xml:space="preserve"> Justification du choix du couple Aluminium (électrode/donneur) et PTFE/Téflon (diélectrique/receveur) basé sur leur écart de travail de sortie.</w:t>
      </w:r>
    </w:p>
    <w:p>
      <w:pPr>
        <w:pStyle w:val="ListParagraph"/>
        <w:numPr>
          <w:ilvl w:val="1"/>
          <w:numId w:val="14"/>
        </w:numPr>
        <w:spacing w:lineRule="auto" w:line="360"/>
        <w:rPr>
          <w:rFonts w:ascii="Times New Roman" w:hAnsi="Times New Roman" w:cs="Times New Roman"/>
          <w:b/>
          <w:bCs/>
        </w:rPr>
      </w:pPr>
      <w:r>
        <w:rPr>
          <w:rFonts w:cs="Times New Roman" w:ascii="Times New Roman" w:hAnsi="Times New Roman"/>
          <w:b/>
          <w:bCs/>
        </w:rPr>
        <w:t xml:space="preserve">Protocole de mesure de la densité de charges de surface (sigma) </w:t>
      </w:r>
    </w:p>
    <w:p>
      <w:pPr>
        <w:pStyle w:val="ListParagraph"/>
        <w:numPr>
          <w:ilvl w:val="1"/>
          <w:numId w:val="14"/>
        </w:numPr>
        <w:spacing w:lineRule="auto" w:line="360"/>
        <w:rPr>
          <w:rFonts w:ascii="Times New Roman" w:hAnsi="Times New Roman" w:cs="Times New Roman"/>
          <w:b/>
          <w:bCs/>
        </w:rPr>
      </w:pPr>
      <w:r>
        <w:rPr>
          <w:rFonts w:cs="Times New Roman" w:ascii="Times New Roman" w:hAnsi="Times New Roman"/>
          <w:b/>
          <w:bCs/>
        </w:rPr>
        <w:t xml:space="preserve">Design Mécanique (Mode Contact-Séparation) : </w:t>
      </w:r>
      <w:r>
        <w:rPr>
          <w:rFonts w:cs="Times New Roman" w:ascii="Times New Roman" w:hAnsi="Times New Roman"/>
        </w:rPr>
        <w:t>Description de l'assemblage multicouche et dimensionnement de l'espaceur (</w:t>
      </w:r>
      <w:r>
        <w:rPr>
          <w:rFonts w:cs="Times New Roman" w:ascii="Times New Roman" w:hAnsi="Times New Roman"/>
          <w:i/>
          <w:iCs/>
        </w:rPr>
        <w:t>spacer</w:t>
      </w:r>
      <w:r>
        <w:rPr>
          <w:rFonts w:cs="Times New Roman" w:ascii="Times New Roman" w:hAnsi="Times New Roman"/>
        </w:rPr>
        <w:t>) pour optimiser la variation du flux électrique</w:t>
      </w:r>
    </w:p>
    <w:p>
      <w:pPr>
        <w:pStyle w:val="Normal"/>
        <w:spacing w:lineRule="auto" w:line="360"/>
        <w:rPr>
          <w:rFonts w:ascii="Times New Roman" w:hAnsi="Times New Roman" w:cs="Times New Roman"/>
          <w:b/>
          <w:bCs/>
        </w:rPr>
      </w:pPr>
      <w:r>
        <w:rPr>
          <w:rFonts w:cs="Times New Roman" w:ascii="Times New Roman" w:hAnsi="Times New Roman"/>
          <w:b/>
          <w:bCs/>
        </w:rPr>
        <w:t>Chapitre VI : Électronique de Conditionnement et Gestion de l'Énergie</w:t>
      </w:r>
    </w:p>
    <w:p>
      <w:pPr>
        <w:pStyle w:val="Normal"/>
        <w:spacing w:lineRule="auto" w:line="360"/>
        <w:rPr>
          <w:rFonts w:ascii="Times New Roman" w:hAnsi="Times New Roman" w:cs="Times New Roman"/>
        </w:rPr>
      </w:pPr>
      <w:r>
        <w:rPr>
          <w:rFonts w:cs="Times New Roman" w:ascii="Times New Roman" w:hAnsi="Times New Roman"/>
          <w:b/>
          <w:bCs/>
        </w:rPr>
        <w:t xml:space="preserve">6.1 Redressement du Signal (Interface AC-DC) : </w:t>
      </w:r>
      <w:r>
        <w:rPr>
          <w:rFonts w:cs="Times New Roman" w:ascii="Times New Roman" w:hAnsi="Times New Roman"/>
        </w:rPr>
        <w:t>Implémentation d'un pont de diodes pour convertir les pics de tension alternatifs en courant continu utilisable.</w:t>
      </w:r>
    </w:p>
    <w:p>
      <w:pPr>
        <w:pStyle w:val="Normal"/>
        <w:spacing w:lineRule="auto" w:line="360"/>
        <w:rPr>
          <w:rFonts w:ascii="Times New Roman" w:hAnsi="Times New Roman" w:cs="Times New Roman"/>
        </w:rPr>
      </w:pPr>
      <w:r>
        <w:rPr>
          <w:rFonts w:cs="Times New Roman" w:ascii="Times New Roman" w:hAnsi="Times New Roman"/>
          <w:b/>
          <w:bCs/>
        </w:rPr>
        <w:t>6.2 Stockage et Régulation :</w:t>
      </w:r>
      <w:r>
        <w:rPr>
          <w:rFonts w:cs="Times New Roman" w:ascii="Times New Roman" w:hAnsi="Times New Roman"/>
        </w:rPr>
        <w:t xml:space="preserve"> Utilisation d'un condensateur de filtrage pour stabiliser l'énergie et d'une diode Zener pour la protection du circuit IoT contre les surtensions.</w:t>
      </w:r>
    </w:p>
    <w:p>
      <w:pPr>
        <w:pStyle w:val="Normal"/>
        <w:spacing w:lineRule="auto" w:line="360"/>
        <w:rPr>
          <w:rFonts w:ascii="Times New Roman" w:hAnsi="Times New Roman" w:cs="Times New Roman"/>
          <w:b/>
          <w:bCs/>
        </w:rPr>
      </w:pPr>
      <w:r>
        <w:rPr>
          <w:rFonts w:cs="Times New Roman" w:ascii="Times New Roman" w:hAnsi="Times New Roman"/>
          <w:b/>
          <w:bCs/>
        </w:rPr>
        <w:t>6.3 Modélisation du circuit de gestion de puissance</w:t>
      </w:r>
    </w:p>
    <w:p>
      <w:pPr>
        <w:pStyle w:val="Normal"/>
        <w:spacing w:lineRule="auto" w:line="360"/>
        <w:rPr>
          <w:rFonts w:ascii="Times New Roman" w:hAnsi="Times New Roman" w:cs="Times New Roman"/>
          <w:b/>
          <w:bCs/>
        </w:rPr>
      </w:pPr>
      <w:r>
        <w:rPr>
          <w:rFonts w:cs="Times New Roman" w:ascii="Times New Roman" w:hAnsi="Times New Roman"/>
          <w:b/>
          <w:bCs/>
        </w:rPr>
        <w:t>Chapitre VII :  Intégration IoT et Protocole de Communication</w:t>
      </w:r>
    </w:p>
    <w:p>
      <w:pPr>
        <w:pStyle w:val="Normal"/>
        <w:spacing w:lineRule="auto" w:line="360"/>
        <w:rPr>
          <w:rFonts w:ascii="Times New Roman" w:hAnsi="Times New Roman" w:cs="Times New Roman"/>
        </w:rPr>
      </w:pPr>
      <w:r>
        <w:rPr>
          <w:rFonts w:cs="Times New Roman" w:ascii="Times New Roman" w:hAnsi="Times New Roman"/>
          <w:b/>
          <w:bCs/>
        </w:rPr>
        <w:t xml:space="preserve">7.1 Acquisition de Données et Traitement </w:t>
      </w:r>
      <w:r>
        <w:rPr>
          <w:rFonts w:cs="Times New Roman" w:ascii="Times New Roman" w:hAnsi="Times New Roman"/>
        </w:rPr>
        <w:t>: Programmation d'un microcontrôleur (ESP32) pour détecter les impulsions de tension et filtrer le bruit mécanique.</w:t>
      </w:r>
    </w:p>
    <w:p>
      <w:pPr>
        <w:pStyle w:val="Normal"/>
        <w:spacing w:lineRule="auto" w:line="360"/>
        <w:rPr>
          <w:rFonts w:ascii="Times New Roman" w:hAnsi="Times New Roman" w:cs="Times New Roman"/>
        </w:rPr>
      </w:pPr>
      <w:r>
        <w:rPr>
          <w:rFonts w:cs="Times New Roman" w:ascii="Times New Roman" w:hAnsi="Times New Roman"/>
          <w:b/>
          <w:bCs/>
        </w:rPr>
        <w:t>7.2</w:t>
      </w:r>
      <w:r>
        <w:rPr>
          <w:rFonts w:cs="Times New Roman" w:ascii="Times New Roman" w:hAnsi="Times New Roman"/>
        </w:rPr>
        <w:t xml:space="preserve"> </w:t>
      </w:r>
      <w:r>
        <w:rPr>
          <w:rFonts w:cs="Times New Roman" w:ascii="Times New Roman" w:hAnsi="Times New Roman"/>
          <w:b/>
          <w:bCs/>
        </w:rPr>
        <w:t>Système de Transmission Sans Fil :</w:t>
      </w:r>
      <w:r>
        <w:rPr>
          <w:rFonts w:cs="Times New Roman" w:ascii="Times New Roman" w:hAnsi="Times New Roman"/>
        </w:rPr>
        <w:t xml:space="preserve"> Mise en œuvre d'un protocole (BLE ou Wi-Fi) pour l'envoi d'alertes en temps réel à partir de l'énergie récoltée ou d'un mode basse consommation.</w:t>
      </w:r>
    </w:p>
    <w:p>
      <w:pPr>
        <w:pStyle w:val="Normal"/>
        <w:spacing w:lineRule="auto" w:line="360"/>
        <w:rPr>
          <w:rFonts w:ascii="Times New Roman" w:hAnsi="Times New Roman" w:cs="Times New Roman"/>
          <w:b/>
          <w:bCs/>
        </w:rPr>
      </w:pPr>
      <w:r>
        <w:rPr>
          <w:rFonts w:cs="Times New Roman" w:ascii="Times New Roman" w:hAnsi="Times New Roman"/>
          <w:b/>
          <w:bCs/>
        </w:rPr>
        <w:t>Chapitre VIII : Caractérisation Expérimentale et Résultats</w:t>
      </w:r>
    </w:p>
    <w:p>
      <w:pPr>
        <w:pStyle w:val="Normal"/>
        <w:spacing w:lineRule="auto" w:line="360"/>
        <w:rPr>
          <w:rFonts w:ascii="Times New Roman" w:hAnsi="Times New Roman" w:cs="Times New Roman"/>
        </w:rPr>
      </w:pPr>
      <w:r>
        <w:rPr>
          <w:rFonts w:cs="Times New Roman" w:ascii="Times New Roman" w:hAnsi="Times New Roman"/>
          <w:b/>
          <w:bCs/>
        </w:rPr>
        <w:t xml:space="preserve">8.1 Mesures Électriques : </w:t>
      </w:r>
      <w:r>
        <w:rPr>
          <w:rFonts w:cs="Times New Roman" w:ascii="Times New Roman" w:hAnsi="Times New Roman"/>
        </w:rPr>
        <w:t>Analyse des performances via la tension en circuit ouvert Voc et le courant de court-circuit Isc observée à l'oscilloscope.</w:t>
      </w:r>
    </w:p>
    <w:p>
      <w:pPr>
        <w:pStyle w:val="Normal"/>
        <w:spacing w:lineRule="auto" w:line="360"/>
        <w:rPr>
          <w:rFonts w:ascii="Times New Roman" w:hAnsi="Times New Roman" w:cs="Times New Roman"/>
        </w:rPr>
      </w:pPr>
      <w:r>
        <w:rPr>
          <w:rFonts w:cs="Times New Roman" w:ascii="Times New Roman" w:hAnsi="Times New Roman"/>
          <w:b/>
          <w:bCs/>
        </w:rPr>
        <w:t>8.2</w:t>
      </w:r>
      <w:r>
        <w:rPr>
          <w:rFonts w:cs="Times New Roman" w:ascii="Times New Roman" w:hAnsi="Times New Roman"/>
        </w:rPr>
        <w:t xml:space="preserve"> </w:t>
      </w:r>
      <w:r>
        <w:rPr>
          <w:rFonts w:cs="Times New Roman" w:ascii="Times New Roman" w:hAnsi="Times New Roman"/>
          <w:b/>
          <w:bCs/>
        </w:rPr>
        <w:t>Évaluation de la Sensibilité :</w:t>
      </w:r>
      <w:r>
        <w:rPr>
          <w:rFonts w:cs="Times New Roman" w:ascii="Times New Roman" w:hAnsi="Times New Roman"/>
        </w:rPr>
        <w:t xml:space="preserve"> Étude de la linéarité du signal de sortie en fonction de la force d'impact et de la fréquence des pas sur le tapis.</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r>
        <w:br w:type="page"/>
      </w:r>
    </w:p>
    <w:p>
      <w:pPr>
        <w:pStyle w:val="Normal"/>
        <w:spacing w:lineRule="auto" w:line="360" w:before="0" w:after="160"/>
        <w:rPr>
          <w:rFonts w:ascii="Times New Roman" w:hAnsi="Times New Roman" w:cs="Times New Roman"/>
          <w:b/>
          <w:bCs/>
        </w:rPr>
      </w:pPr>
      <w:r>
        <w:rPr>
          <w:rFonts w:cs="Times New Roman" w:ascii="Times New Roman" w:hAnsi="Times New Roman"/>
          <w:b/>
          <w:bCs/>
        </w:rPr>
        <w:t>Partie 1 : L'Origine Physique de l'Électrification de Contact</w:t>
      </w:r>
    </w:p>
    <w:p>
      <w:pPr>
        <w:pStyle w:val="Normal"/>
        <w:spacing w:lineRule="auto" w:line="360"/>
        <w:ind w:left="720"/>
        <w:rPr>
          <w:rFonts w:ascii="Times New Roman" w:hAnsi="Times New Roman" w:cs="Times New Roman"/>
        </w:rPr>
      </w:pPr>
      <w:r>
        <w:rPr>
          <w:rFonts w:cs="Times New Roman" w:ascii="Times New Roman" w:hAnsi="Times New Roman"/>
        </w:rPr>
        <w:t xml:space="preserve">Bien que l'électrification de contact (CE) soit documentée depuis 2600 ans, sa compréhension scientifique demeure peu concluante, floue et non unifiée. </w:t>
      </w:r>
    </w:p>
    <w:p>
      <w:pPr>
        <w:pStyle w:val="Normal"/>
        <w:spacing w:lineRule="auto" w:line="360"/>
        <w:ind w:left="720"/>
        <w:rPr>
          <w:rFonts w:ascii="Times New Roman" w:hAnsi="Times New Roman" w:cs="Times New Roman"/>
        </w:rPr>
      </w:pPr>
      <w:r>
        <w:drawing>
          <wp:anchor behindDoc="0" distT="0" distB="0" distL="114300" distR="114300" simplePos="0" locked="0" layoutInCell="0" allowOverlap="1" relativeHeight="8">
            <wp:simplePos x="0" y="0"/>
            <wp:positionH relativeFrom="margin">
              <wp:posOffset>528955</wp:posOffset>
            </wp:positionH>
            <wp:positionV relativeFrom="paragraph">
              <wp:posOffset>2381885</wp:posOffset>
            </wp:positionV>
            <wp:extent cx="5219700" cy="3486150"/>
            <wp:effectExtent l="0" t="0" r="0" b="0"/>
            <wp:wrapTopAndBottom/>
            <wp:docPr id="11" name="Image 1" descr="Une image contenant Dessin d’enfant, clipart, dessin, dessin humoris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 descr="Une image contenant Dessin d’enfant, clipart, dessin, dessin humoristique&#10;&#10;Le contenu généré par l’IA peut être incorrect."/>
                    <pic:cNvPicPr>
                      <a:picLocks noChangeAspect="1" noChangeArrowheads="1"/>
                    </pic:cNvPicPr>
                  </pic:nvPicPr>
                  <pic:blipFill>
                    <a:blip r:embed="rId4"/>
                    <a:stretch>
                      <a:fillRect/>
                    </a:stretch>
                  </pic:blipFill>
                  <pic:spPr bwMode="auto">
                    <a:xfrm>
                      <a:off x="0" y="0"/>
                      <a:ext cx="5219700" cy="3486150"/>
                    </a:xfrm>
                    <a:prstGeom prst="rect">
                      <a:avLst/>
                    </a:prstGeom>
                    <a:noFill/>
                  </pic:spPr>
                </pic:pic>
              </a:graphicData>
            </a:graphic>
          </wp:anchor>
        </w:drawing>
      </w:r>
      <w:r>
        <w:rPr>
          <w:rFonts w:cs="Times New Roman" w:ascii="Times New Roman" w:hAnsi="Times New Roman"/>
        </w:rPr>
        <w:t xml:space="preserve">Notre conclusion est que </w:t>
      </w:r>
      <w:r>
        <w:rPr>
          <w:rFonts w:cs="Times New Roman" w:ascii="Times New Roman" w:hAnsi="Times New Roman"/>
          <w:b/>
          <w:bCs/>
        </w:rPr>
        <w:t>le transfert d'électrons est le mécanisme dominant</w:t>
      </w:r>
      <w:r>
        <w:rPr>
          <w:rFonts w:cs="Times New Roman" w:ascii="Times New Roman" w:hAnsi="Times New Roman"/>
        </w:rPr>
        <w:t xml:space="preserve"> pour l'électrification de contact entre paires de solides. Le transfert d'électrons se produit uniquement lorsque la distance interatomique entre les deux matériaux est plus courte que la longueur de liaison normale (généralement </w:t>
      </w:r>
      <w:r>
        <w:rPr>
          <w:rFonts w:cs="Times New Roman" w:ascii="Times New Roman" w:hAnsi="Times New Roman"/>
          <w:b/>
          <w:bCs/>
        </w:rPr>
        <w:t>~0,2 nm</w:t>
      </w:r>
      <w:r>
        <w:rPr>
          <w:rFonts w:cs="Times New Roman" w:ascii="Times New Roman" w:hAnsi="Times New Roman"/>
        </w:rPr>
        <w:t xml:space="preserve">) dans la région des forces répulsives. Un fort </w:t>
      </w:r>
      <w:r>
        <w:rPr>
          <w:rFonts w:cs="Times New Roman" w:ascii="Times New Roman" w:hAnsi="Times New Roman"/>
          <w:b/>
          <w:bCs/>
        </w:rPr>
        <w:t>chevauchement des nuages électroniques (ou chevauchement des fonctions d'onde)</w:t>
      </w:r>
      <w:r>
        <w:rPr>
          <w:rFonts w:cs="Times New Roman" w:ascii="Times New Roman" w:hAnsi="Times New Roman"/>
        </w:rPr>
        <w:t xml:space="preserve"> entre les deux atomes/molécules dans la région répulsive conduit à une transition électronique entre eux, en raison de la </w:t>
      </w:r>
      <w:r>
        <w:rPr>
          <w:rFonts w:cs="Times New Roman" w:ascii="Times New Roman" w:hAnsi="Times New Roman"/>
          <w:b/>
          <w:bCs/>
        </w:rPr>
        <w:t>réduction de la barrière de potentiel</w:t>
      </w:r>
      <w:r>
        <w:rPr>
          <w:rFonts w:cs="Times New Roman" w:ascii="Times New Roman" w:hAnsi="Times New Roman"/>
        </w:rPr>
        <w:t xml:space="preserve"> interatomique.     Les charges électrostatiques sur les surfaces peuvent être libérées par </w:t>
      </w:r>
      <w:r>
        <w:rPr>
          <w:rFonts w:cs="Times New Roman" w:ascii="Times New Roman" w:hAnsi="Times New Roman"/>
          <w:b/>
          <w:bCs/>
        </w:rPr>
        <w:t>émission thermoïonique d'électrons</w:t>
      </w:r>
      <w:r>
        <w:rPr>
          <w:rFonts w:cs="Times New Roman" w:ascii="Times New Roman" w:hAnsi="Times New Roman"/>
        </w:rPr>
        <w:t xml:space="preserve">... </w:t>
      </w:r>
    </w:p>
    <w:p>
      <w:pPr>
        <w:pStyle w:val="Normal"/>
        <w:spacing w:lineRule="auto" w:line="36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360"/>
        <w:jc w:val="center"/>
        <w:rPr>
          <w:rFonts w:ascii="Times New Roman" w:hAnsi="Times New Roman" w:cs="Times New Roman"/>
          <w:sz w:val="22"/>
          <w:szCs w:val="22"/>
        </w:rPr>
      </w:pPr>
      <w:r>
        <w:rPr>
          <w:rFonts w:cs="Times New Roman" w:ascii="Times New Roman" w:hAnsi="Times New Roman"/>
          <w:sz w:val="22"/>
          <w:szCs w:val="22"/>
        </w:rPr>
        <w:t xml:space="preserve">Figure 1 : Représentation du transfert d'électrons à l'interface solide-solide. La différence de fonction de travail  </w:t>
      </w:r>
      <w:r>
        <w:rPr/>
      </w:r>
      <m:oMath xmlns:m="http://schemas.openxmlformats.org/officeDocument/2006/math">
        <m:r>
          <w:rPr>
            <w:rFonts w:ascii="Cambria Math" w:hAnsi="Cambria Math"/>
          </w:rPr>
          <m:t xml:space="preserve">Δϕ</m:t>
        </m:r>
      </m:oMath>
      <w:r>
        <w:rPr>
          <w:rFonts w:eastAsia="" w:cs="Times New Roman" w:ascii="Times New Roman" w:hAnsi="Times New Roman" w:eastAsiaTheme="minorEastAsia"/>
          <w:b/>
          <w:bCs/>
          <w:sz w:val="32"/>
          <w:szCs w:val="32"/>
        </w:rPr>
        <w:t xml:space="preserve"> </w:t>
      </w:r>
      <w:r>
        <w:rPr>
          <w:rFonts w:cs="Times New Roman" w:ascii="Times New Roman" w:hAnsi="Times New Roman"/>
          <w:sz w:val="22"/>
          <w:szCs w:val="22"/>
        </w:rPr>
        <w:t>induit un flux électronique par effet tunnel lors du chevauchement des nuages électroniques (Adapté de Wang et al., 2019)</w:t>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t>Partie 2 : Théorie Électrodynamique et Courant de Déplacement</w:t>
      </w:r>
    </w:p>
    <w:p>
      <w:pPr>
        <w:pStyle w:val="Normal"/>
        <w:spacing w:lineRule="auto" w:line="360"/>
        <w:ind w:left="720"/>
        <w:rPr>
          <w:rFonts w:ascii="Times New Roman" w:hAnsi="Times New Roman" w:cs="Times New Roman"/>
        </w:rPr>
      </w:pPr>
      <w:r>
        <w:rPr>
          <w:rFonts w:cs="Times New Roman" w:ascii="Times New Roman" w:hAnsi="Times New Roman"/>
        </w:rPr>
        <w:t xml:space="preserve">Pour les milieux isotropes, le déplacement électrique D est défini par : </w:t>
      </w:r>
    </w:p>
    <w:p>
      <w:pPr>
        <w:pStyle w:val="Normal"/>
        <w:spacing w:lineRule="auto" w:line="360"/>
        <w:ind w:left="720"/>
        <w:jc w:val="center"/>
        <w:rPr>
          <w:rFonts w:ascii="Times New Roman" w:hAnsi="Times New Roman" w:eastAsia="" w:cs="Times New Roman" w:eastAsiaTheme="minorEastAsia"/>
          <w:b/>
          <w:bCs/>
          <w:sz w:val="32"/>
          <w:szCs w:val="32"/>
        </w:rPr>
      </w:pPr>
      <w:r>
        <w:rPr/>
      </w:r>
      <m:oMathPara xmlns:m="http://schemas.openxmlformats.org/officeDocument/2006/math">
        <m:oMathParaPr>
          <m:jc m:val="center"/>
        </m:oMathParaPr>
        <m:oMath>
          <m:r>
            <w:rPr>
              <w:rFonts w:ascii="Cambria Math" w:hAnsi="Cambria Math"/>
            </w:rPr>
            <m:t xml:space="preserve">D</m:t>
          </m:r>
          <m:r>
            <w:rPr>
              <w:rFonts w:ascii="Cambria Math" w:hAnsi="Cambria Math"/>
            </w:rPr>
            <m:t xml:space="preserve">=</m:t>
          </m:r>
          <m:r>
            <w:rPr>
              <w:rFonts w:ascii="Cambria Math" w:hAnsi="Cambria Math"/>
            </w:rPr>
            <m:t xml:space="preserve">ЄE</m:t>
          </m:r>
          <m:r>
            <w:rPr>
              <w:rFonts w:ascii="Cambria Math" w:hAnsi="Cambria Math"/>
            </w:rPr>
            <m:t xml:space="preserve">+</m:t>
          </m:r>
          <m:r>
            <w:rPr>
              <w:rFonts w:ascii="Cambria Math" w:hAnsi="Cambria Math"/>
            </w:rPr>
            <m:t xml:space="preserve">P</m:t>
          </m:r>
        </m:oMath>
      </m:oMathPara>
    </w:p>
    <w:p>
      <w:pPr>
        <w:pStyle w:val="Normal"/>
        <w:spacing w:lineRule="auto" w:line="360"/>
        <w:ind w:left="720"/>
        <w:rPr>
          <w:rFonts w:ascii="Times New Roman" w:hAnsi="Times New Roman" w:eastAsia="" w:cs="Times New Roman" w:eastAsiaTheme="minorEastAsia"/>
        </w:rPr>
      </w:pPr>
      <w:r>
        <w:rPr>
          <w:rFonts w:eastAsia="" w:cs="Times New Roman" w:eastAsiaTheme="minorEastAsia" w:ascii="Times New Roman" w:hAnsi="Times New Roman"/>
        </w:rPr>
      </w:r>
    </w:p>
    <w:p>
      <w:pPr>
        <w:pStyle w:val="Normal"/>
        <w:spacing w:lineRule="auto" w:line="360"/>
        <w:ind w:left="720"/>
        <w:rPr>
          <w:rFonts w:ascii="Times New Roman" w:hAnsi="Times New Roman" w:cs="Times New Roman"/>
        </w:rPr>
      </w:pPr>
      <w:r>
        <w:rPr>
          <w:rFonts w:cs="Times New Roman" w:ascii="Times New Roman" w:hAnsi="Times New Roman"/>
        </w:rPr>
        <w:t xml:space="preserve">Où E est le champ électrique et P est la polarisation. Dans un TENG, le champ de polarisation est composé de deux parties : la polarisation induite par le champ électrique </w:t>
      </w:r>
      <w:r>
        <w:rPr>
          <w:rFonts w:cs="Times New Roman" w:ascii="Times New Roman" w:hAnsi="Times New Roman"/>
        </w:rPr>
      </w:r>
      <m:oMath xmlns:m="http://schemas.openxmlformats.org/officeDocument/2006/math">
        <m:r>
          <w:rPr>
            <w:rFonts w:ascii="Cambria Math" w:hAnsi="Cambria Math"/>
          </w:rPr>
          <m:t xml:space="preserve">(</m:t>
        </m:r>
        <m:sSub>
          <m:e>
            <m:r>
              <w:rPr>
                <w:rFonts w:ascii="Cambria Math" w:hAnsi="Cambria Math"/>
              </w:rPr>
              <m:t xml:space="preserve">ε</m:t>
            </m:r>
          </m:e>
          <m:sub>
            <m:r>
              <w:rPr>
                <w:rFonts w:ascii="Cambria Math" w:hAnsi="Cambria Math"/>
              </w:rPr>
              <m:t xml:space="preserve">0</m:t>
            </m:r>
          </m:sub>
        </m:sSub>
        <m:sSub>
          <m:e>
            <m:r>
              <w:rPr>
                <w:rFonts w:ascii="Cambria Math" w:hAnsi="Cambria Math"/>
              </w:rPr>
              <m:t xml:space="preserve">x</m:t>
            </m:r>
          </m:e>
          <m:sub>
            <m:r>
              <w:rPr>
                <w:rFonts w:ascii="Cambria Math" w:hAnsi="Cambria Math"/>
              </w:rPr>
              <m:t xml:space="preserve">e</m:t>
            </m:r>
          </m:sub>
        </m:sSub>
        <m:r>
          <w:rPr>
            <w:rFonts w:ascii="Cambria Math" w:hAnsi="Cambria Math"/>
          </w:rPr>
          <m:t xml:space="preserve">E</m:t>
        </m:r>
        <m:r>
          <w:rPr>
            <w:rFonts w:ascii="Cambria Math" w:hAnsi="Cambria Math"/>
          </w:rPr>
          <m:t xml:space="preserve">)</m:t>
        </m:r>
      </m:oMath>
      <w:r>
        <w:rPr>
          <w:rFonts w:cs="Times New Roman" w:ascii="Times New Roman" w:hAnsi="Times New Roman"/>
        </w:rPr>
        <w:t xml:space="preserve"> et la pol   et la polarisation créée par les charges de surface triboélectriques Ps résultant du mouvement mécanique. Ainsi : </w:t>
      </w:r>
    </w:p>
    <w:p>
      <w:pPr>
        <w:pStyle w:val="Normal"/>
        <w:spacing w:lineRule="auto" w:line="360"/>
        <w:ind w:left="720"/>
        <w:jc w:val="center"/>
        <w:rPr>
          <w:rFonts w:ascii="Times New Roman" w:hAnsi="Times New Roman" w:eastAsia="" w:cs="Times New Roman" w:eastAsiaTheme="minorEastAsia"/>
          <w:sz w:val="32"/>
          <w:szCs w:val="32"/>
        </w:rPr>
      </w:pPr>
      <w:r>
        <w:rPr>
          <w:rFonts w:cs="Times New Roman" w:ascii="Times New Roman" w:hAnsi="Times New Roman"/>
        </w:rPr>
        <w:t xml:space="preserve">                                            </w:t>
      </w:r>
      <w:r>
        <w:rPr>
          <w:rFonts w:cs="Times New Roman" w:ascii="Times New Roman" w:hAnsi="Times New Roman"/>
          <w:b/>
          <w:bCs/>
          <w:i/>
          <w:sz w:val="28"/>
          <w:szCs w:val="28"/>
        </w:rPr>
        <w:br/>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ЄE</m:t>
        </m:r>
        <m:r>
          <w:rPr>
            <w:rFonts w:ascii="Cambria Math" w:hAnsi="Cambria Math"/>
          </w:rPr>
          <m:t xml:space="preserve">+</m:t>
        </m:r>
        <m:r>
          <w:rPr>
            <w:rFonts w:ascii="Cambria Math" w:hAnsi="Cambria Math"/>
          </w:rPr>
          <m:t xml:space="preserve">P</m:t>
        </m:r>
        <m:r>
          <w:rPr>
            <w:rFonts w:ascii="Cambria Math" w:hAnsi="Cambria Math"/>
          </w:rPr>
          <m:t xml:space="preserve">s</m:t>
        </m:r>
      </m:oMath>
    </w:p>
    <w:p>
      <w:pPr>
        <w:pStyle w:val="Normal"/>
        <w:spacing w:lineRule="auto" w:line="360"/>
        <w:ind w:left="720"/>
        <w:rPr>
          <w:rFonts w:ascii="Times New Roman" w:hAnsi="Times New Roman" w:cs="Times New Roman"/>
          <w:b/>
          <w:bCs/>
        </w:rPr>
      </w:pPr>
      <w:r>
        <w:rPr>
          <w:rFonts w:cs="Times New Roman" w:ascii="Times New Roman" w:hAnsi="Times New Roman"/>
        </w:rPr>
        <w:t xml:space="preserve">                  </w:t>
      </w:r>
    </w:p>
    <w:p>
      <w:pPr>
        <w:pStyle w:val="Normal"/>
        <w:spacing w:lineRule="auto" w:line="360"/>
        <w:ind w:left="720"/>
        <w:rPr>
          <w:rFonts w:ascii="Times New Roman" w:hAnsi="Times New Roman" w:cs="Times New Roman"/>
        </w:rPr>
      </w:pPr>
      <w:r>
        <w:rPr>
          <w:rFonts w:cs="Times New Roman" w:ascii="Times New Roman" w:hAnsi="Times New Roman"/>
        </w:rPr>
        <w:t xml:space="preserve">Le courant de déplacement de Maxwell est défini comme la dérivée temporelle de D :                 </w:t>
      </w:r>
    </w:p>
    <w:p>
      <w:pPr>
        <w:pStyle w:val="Normal"/>
        <w:spacing w:lineRule="auto" w:line="360"/>
        <w:ind w:left="720"/>
        <w:jc w:val="center"/>
        <w:rPr>
          <w:rFonts w:ascii="Times New Roman" w:hAnsi="Times New Roman" w:cs="Times New Roman"/>
        </w:rPr>
      </w:pPr>
      <w:r>
        <w:rPr/>
      </w:r>
      <m:oMathPara xmlns:m="http://schemas.openxmlformats.org/officeDocument/2006/math">
        <m:oMathParaPr>
          <m:jc m:val="center"/>
        </m:oMathParaPr>
        <m:oMath>
          <m:sSub>
            <m:e>
              <m:r>
                <w:rPr>
                  <w:rFonts w:ascii="Cambria Math" w:hAnsi="Cambria Math"/>
                </w:rPr>
                <m:t xml:space="preserve">J</m:t>
              </m:r>
            </m:e>
            <m:sub>
              <m:r>
                <w:rPr>
                  <w:rFonts w:ascii="Cambria Math" w:hAnsi="Cambria Math"/>
                </w:rPr>
                <m:t xml:space="preserve">D</m:t>
              </m:r>
            </m:sub>
          </m:sSub>
          <m:r>
            <w:rPr>
              <w:rFonts w:ascii="Cambria Math" w:hAnsi="Cambria Math"/>
            </w:rPr>
            <m:t xml:space="preserve">=</m:t>
          </m:r>
          <m:f>
            <m:num>
              <m:r>
                <w:rPr>
                  <w:rFonts w:ascii="Cambria Math" w:hAnsi="Cambria Math"/>
                </w:rPr>
                <m:t xml:space="preserve">∂</m:t>
              </m:r>
              <m:r>
                <w:rPr>
                  <w:rFonts w:ascii="Cambria Math" w:hAnsi="Cambria Math"/>
                </w:rPr>
                <m:t xml:space="preserve">D</m:t>
              </m:r>
            </m:num>
            <m:den>
              <m:r>
                <w:rPr>
                  <w:rFonts w:ascii="Cambria Math" w:hAnsi="Cambria Math"/>
                </w:rPr>
                <m:t xml:space="preserve">∂</m:t>
              </m:r>
              <m:r>
                <w:rPr>
                  <w:rFonts w:ascii="Cambria Math" w:hAnsi="Cambria Math"/>
                </w:rPr>
                <m:t xml:space="preserve">t</m:t>
              </m:r>
            </m:den>
          </m:f>
          <m:r>
            <w:rPr>
              <w:rFonts w:ascii="Cambria Math" w:hAnsi="Cambria Math"/>
            </w:rPr>
            <m:t xml:space="preserve">=</m:t>
          </m:r>
          <m:r>
            <w:rPr>
              <w:rFonts w:ascii="Cambria Math" w:hAnsi="Cambria Math"/>
            </w:rPr>
            <m:t xml:space="preserve">ε</m:t>
          </m:r>
          <m:f>
            <m:num>
              <m:r>
                <w:rPr>
                  <w:rFonts w:ascii="Cambria Math" w:hAnsi="Cambria Math"/>
                </w:rPr>
                <m:t xml:space="preserve">∂</m:t>
              </m:r>
              <m:r>
                <w:rPr>
                  <w:rFonts w:ascii="Cambria Math" w:hAnsi="Cambria Math"/>
                </w:rPr>
                <m:t xml:space="preserve">E</m:t>
              </m:r>
            </m:num>
            <m:den>
              <m:r>
                <w:rPr>
                  <w:rFonts w:ascii="Cambria Math" w:hAnsi="Cambria Math"/>
                </w:rPr>
                <m:t xml:space="preserve">∂</m:t>
              </m:r>
              <m:r>
                <w:rPr>
                  <w:rFonts w:ascii="Cambria Math" w:hAnsi="Cambria Math"/>
                </w:rPr>
                <m:t xml:space="preserve">t</m:t>
              </m:r>
            </m:den>
          </m:f>
          <m:r>
            <w:rPr>
              <w:rFonts w:ascii="Cambria Math" w:hAnsi="Cambria Math"/>
            </w:rPr>
            <m:t xml:space="preserve">+</m:t>
          </m:r>
          <m:f>
            <m:num>
              <m:r>
                <w:rPr>
                  <w:rFonts w:ascii="Cambria Math" w:hAnsi="Cambria Math"/>
                </w:rPr>
                <m:t xml:space="preserve">∂</m:t>
              </m:r>
              <m:sSub>
                <m:e>
                  <m:r>
                    <w:rPr>
                      <w:rFonts w:ascii="Cambria Math" w:hAnsi="Cambria Math"/>
                    </w:rPr>
                    <m:t xml:space="preserve">P</m:t>
                  </m:r>
                </m:e>
                <m:sub>
                  <m:r>
                    <w:rPr>
                      <w:rFonts w:ascii="Cambria Math" w:hAnsi="Cambria Math"/>
                    </w:rPr>
                    <m:t xml:space="preserve">s</m:t>
                  </m:r>
                </m:sub>
              </m:sSub>
            </m:num>
            <m:den>
              <m:r>
                <w:rPr>
                  <w:rFonts w:ascii="Cambria Math" w:hAnsi="Cambria Math"/>
                </w:rPr>
                <m:t xml:space="preserve">∂</m:t>
              </m:r>
              <m:r>
                <w:rPr>
                  <w:rFonts w:ascii="Cambria Math" w:hAnsi="Cambria Math"/>
                </w:rPr>
                <m:t xml:space="preserve">t</m:t>
              </m:r>
            </m:den>
          </m:f>
        </m:oMath>
      </m:oMathPara>
    </w:p>
    <w:p>
      <w:pPr>
        <w:pStyle w:val="Normal"/>
        <w:spacing w:lineRule="auto" w:line="360"/>
        <w:ind w:left="720"/>
        <w:rPr>
          <w:rFonts w:ascii="Times New Roman" w:hAnsi="Times New Roman" w:cs="Times New Roman"/>
        </w:rPr>
      </w:pPr>
      <w:r>
        <w:rPr>
          <w:rFonts w:cs="Times New Roman" w:ascii="Times New Roman" w:hAnsi="Times New Roman"/>
        </w:rPr>
        <w:t xml:space="preserve">Le premier terme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m:t>
        </m:r>
        <m:r>
          <w:rPr>
            <w:rFonts w:ascii="Cambria Math" w:hAnsi="Cambria Math"/>
          </w:rPr>
          <m:t xml:space="preserve">t</m:t>
        </m:r>
      </m:oMath>
      <w:r>
        <w:rPr>
          <w:rFonts w:cs="Times New Roman" w:ascii="Times New Roman" w:hAnsi="Times New Roman"/>
          <w:sz w:val="28"/>
          <w:szCs w:val="28"/>
        </w:rPr>
        <w:t xml:space="preserve"> , </w:t>
      </w:r>
      <w:r>
        <w:rPr>
          <w:rFonts w:cs="Times New Roman" w:ascii="Times New Roman" w:hAnsi="Times New Roman"/>
        </w:rPr>
        <w:t xml:space="preserve">correspond au courant de déplacement classiquement connu, qui donne naissance aux ondes électromagnétiques. Le second terme   </w:t>
      </w:r>
      <w:r>
        <w:rPr/>
      </w:r>
      <m:oMath xmlns:m="http://schemas.openxmlformats.org/officeDocument/2006/math">
        <m:r>
          <w:rPr>
            <w:rFonts w:ascii="Cambria Math" w:hAnsi="Cambria Math"/>
          </w:rPr>
          <m:t xml:space="preserve">∂</m:t>
        </m:r>
        <m:sSub>
          <m:e>
            <m:r>
              <w:rPr>
                <w:rFonts w:ascii="Cambria Math" w:hAnsi="Cambria Math"/>
              </w:rPr>
              <m:t xml:space="preserve">P</m:t>
            </m:r>
          </m:e>
          <m:sub>
            <m:r>
              <w:rPr>
                <w:rFonts w:ascii="Cambria Math" w:hAnsi="Cambria Math"/>
              </w:rPr>
              <m:t xml:space="preserve">s</m:t>
            </m:r>
          </m:sub>
        </m:sSub>
        <m:r>
          <w:rPr>
            <w:rFonts w:ascii="Cambria Math" w:hAnsi="Cambria Math"/>
          </w:rPr>
          <m:t xml:space="preserve">∕</m:t>
        </m:r>
        <m:r>
          <w:rPr>
            <w:rFonts w:ascii="Cambria Math" w:hAnsi="Cambria Math"/>
          </w:rPr>
          <m:t xml:space="preserve">∂</m:t>
        </m:r>
        <m:r>
          <w:rPr>
            <w:rFonts w:ascii="Cambria Math" w:hAnsi="Cambria Math"/>
          </w:rPr>
          <m:t xml:space="preserve">t</m:t>
        </m:r>
      </m:oMath>
      <w:r>
        <w:rPr>
          <w:rFonts w:cs="Times New Roman" w:ascii="Times New Roman" w:hAnsi="Times New Roman"/>
          <w:b/>
          <w:bCs/>
        </w:rPr>
        <w:t xml:space="preserve"> </w:t>
      </w:r>
      <w:r>
        <w:rPr>
          <w:rFonts w:cs="Times New Roman" w:ascii="Times New Roman" w:hAnsi="Times New Roman"/>
        </w:rPr>
        <w:t xml:space="preserve"> , est le courant de déplacement induit par le mouvement de la charge de surface (courant de déplacement de Wang). Ce terme est la source fondamentale du courant généré par un TENG. Contrairement au courant de conduction qui provient du flux directionnel des charges, le courant de déplacement dans un TENG est piloté par la variation temporelle du champ de polarisation créé par le mouvement mécanique des charges de surface. </w:t>
      </w:r>
    </w:p>
    <w:p>
      <w:pPr>
        <w:pStyle w:val="Normal"/>
        <w:spacing w:lineRule="auto" w:line="360"/>
        <w:ind w:left="720"/>
        <w:jc w:val="center"/>
        <w:rPr>
          <w:rFonts w:ascii="Times New Roman" w:hAnsi="Times New Roman" w:cs="Times New Roman"/>
          <w:sz w:val="22"/>
          <w:szCs w:val="22"/>
        </w:rPr>
      </w:pPr>
      <w:r>
        <w:rPr>
          <w:rFonts w:cs="Times New Roman" w:ascii="Times New Roman" w:hAnsi="Times New Roman"/>
          <w:sz w:val="22"/>
          <w:szCs w:val="22"/>
        </w:rPr>
        <w:drawing>
          <wp:anchor behindDoc="0" distT="0" distB="0" distL="0" distR="114300" simplePos="0" locked="0" layoutInCell="0" allowOverlap="1" relativeHeight="7">
            <wp:simplePos x="0" y="0"/>
            <wp:positionH relativeFrom="margin">
              <wp:align>left</wp:align>
            </wp:positionH>
            <wp:positionV relativeFrom="paragraph">
              <wp:posOffset>635</wp:posOffset>
            </wp:positionV>
            <wp:extent cx="5699760" cy="2419350"/>
            <wp:effectExtent l="0" t="0" r="0" b="0"/>
            <wp:wrapTopAndBottom/>
            <wp:docPr id="12" name="Image3" descr="Une image contenant diagramme, ligne, Polic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Une image contenant diagramme, ligne, Police, texte&#10;&#10;Le contenu généré par l’IA peut être incorrect."/>
                    <pic:cNvPicPr>
                      <a:picLocks noChangeAspect="1" noChangeArrowheads="1"/>
                    </pic:cNvPicPr>
                  </pic:nvPicPr>
                  <pic:blipFill>
                    <a:blip r:embed="rId5"/>
                    <a:stretch>
                      <a:fillRect/>
                    </a:stretch>
                  </pic:blipFill>
                  <pic:spPr bwMode="auto">
                    <a:xfrm>
                      <a:off x="0" y="0"/>
                      <a:ext cx="5699760" cy="2419350"/>
                    </a:xfrm>
                    <a:prstGeom prst="rect">
                      <a:avLst/>
                    </a:prstGeom>
                    <a:noFill/>
                  </pic:spPr>
                </pic:pic>
              </a:graphicData>
            </a:graphic>
          </wp:anchor>
        </w:drawing>
      </w:r>
    </w:p>
    <w:p>
      <w:pPr>
        <w:pStyle w:val="Normal"/>
        <w:spacing w:lineRule="auto" w:line="360"/>
        <w:jc w:val="center"/>
        <w:rPr>
          <w:rFonts w:ascii="Times New Roman" w:hAnsi="Times New Roman" w:cs="Times New Roman"/>
          <w:sz w:val="22"/>
          <w:szCs w:val="22"/>
        </w:rPr>
      </w:pPr>
      <w:r>
        <w:rPr>
          <w:rFonts w:cs="Times New Roman" w:ascii="Times New Roman" w:hAnsi="Times New Roman"/>
          <w:sz w:val="22"/>
          <w:szCs w:val="22"/>
        </w:rPr>
        <w:t>Figure 2 : Représentation du modèle de chevauchement des nuages électroniques. À une distance de contact d &lt; 0,2 nm, la barrière de potentiel s'abaisse, permettant le transfert d'électrons par effet tunnel entre les fonctions d'onde des deux atomes (Adapté de Wang et al., 2019)</w:t>
      </w:r>
    </w:p>
    <w:p>
      <w:pPr>
        <w:pStyle w:val="Normal"/>
        <w:spacing w:lineRule="auto" w:line="360"/>
        <w:rPr>
          <w:rFonts w:ascii="Times New Roman" w:hAnsi="Times New Roman" w:cs="Times New Roman"/>
          <w:b/>
          <w:bCs/>
        </w:rPr>
      </w:pPr>
      <w:r>
        <w:rPr>
          <w:rFonts w:cs="Times New Roman" w:ascii="Times New Roman" w:hAnsi="Times New Roman"/>
          <w:b/>
          <w:bCs/>
        </w:rPr>
        <w:t>Partie 3 : Modes Opératoires et Architectures des Dispositifs</w:t>
      </w:r>
    </w:p>
    <w:p>
      <w:pPr>
        <w:pStyle w:val="Normal"/>
        <w:spacing w:lineRule="auto" w:line="360"/>
        <w:ind w:left="720"/>
        <w:rPr>
          <w:rFonts w:ascii="Times New Roman" w:hAnsi="Times New Roman" w:cs="Times New Roman"/>
          <w:b/>
          <w:bCs/>
        </w:rPr>
      </w:pPr>
      <w:r>
        <w:rPr>
          <w:rFonts w:cs="Times New Roman" w:ascii="Times New Roman" w:hAnsi="Times New Roman"/>
          <w:b/>
          <w:bCs/>
        </w:rPr>
        <w:t>2.2 Les quatre modes fondamentaux des TENG</w:t>
      </w:r>
    </w:p>
    <w:p>
      <w:pPr>
        <w:pStyle w:val="Normal"/>
        <w:spacing w:lineRule="auto" w:line="360"/>
        <w:ind w:left="720"/>
        <w:rPr>
          <w:rFonts w:ascii="Times New Roman" w:hAnsi="Times New Roman" w:cs="Times New Roman"/>
        </w:rPr>
      </w:pPr>
      <w:r>
        <w:rPr>
          <w:rFonts w:cs="Times New Roman" w:ascii="Times New Roman" w:hAnsi="Times New Roman"/>
        </w:rPr>
        <w:t>Sur la base des principes de l'électrification de contact et de l'induction électrostatique, quatre modes de fonctionnement fondamentaux ont été développés pour les TENG :</w:t>
      </w:r>
    </w:p>
    <w:p>
      <w:pPr>
        <w:pStyle w:val="Normal"/>
        <w:numPr>
          <w:ilvl w:val="0"/>
          <w:numId w:val="1"/>
        </w:numPr>
        <w:spacing w:lineRule="auto" w:line="360"/>
        <w:rPr>
          <w:rFonts w:ascii="Times New Roman" w:hAnsi="Times New Roman" w:cs="Times New Roman"/>
        </w:rPr>
      </w:pPr>
      <w:r>
        <w:rPr>
          <w:rFonts w:cs="Times New Roman" w:ascii="Times New Roman" w:hAnsi="Times New Roman"/>
          <w:b/>
          <w:bCs/>
        </w:rPr>
        <w:t>Mode de contact-séparation vertical :</w:t>
      </w:r>
      <w:r>
        <w:rPr>
          <w:rFonts w:cs="Times New Roman" w:ascii="Times New Roman" w:hAnsi="Times New Roman"/>
        </w:rPr>
        <w:t xml:space="preserve"> Dans cette configuration, deux couches de matériaux triboélectriques différents sont placées face à face. Le mouvement mécanique externe modifie la distance entre les deux surfaces. Lorsqu'elles entrent en contact, des charges de signes opposés apparaissent sur les surfaces (CE). Lors de la séparation, une différence de potentiel est induite entre les électrodes situées au dos des matériaux, poussant les électrons à circuler dans le circuit externe.</w:t>
      </w:r>
    </w:p>
    <w:p>
      <w:pPr>
        <w:pStyle w:val="Normal"/>
        <w:numPr>
          <w:ilvl w:val="0"/>
          <w:numId w:val="1"/>
        </w:numPr>
        <w:spacing w:lineRule="auto" w:line="360"/>
        <w:rPr>
          <w:rFonts w:ascii="Times New Roman" w:hAnsi="Times New Roman" w:cs="Times New Roman"/>
        </w:rPr>
      </w:pPr>
      <w:r>
        <w:rPr>
          <w:rFonts w:cs="Times New Roman" w:ascii="Times New Roman" w:hAnsi="Times New Roman"/>
          <w:b/>
          <w:bCs/>
        </w:rPr>
        <w:t>Mode de glissement latéral :</w:t>
      </w:r>
      <w:r>
        <w:rPr>
          <w:rFonts w:cs="Times New Roman" w:ascii="Times New Roman" w:hAnsi="Times New Roman"/>
        </w:rPr>
        <w:t xml:space="preserve"> Les deux surfaces restent en contact étroit, mais glissent l'une par rapport à l'autre parallèlement à l'interface. Le changement de la zone de contact effective crée un déséquilibre de charge et génère un flux d'électrons pour équilibrer le potentiel. Ce mode est particulièrement efficace pour les mouvements de rotation.</w:t>
      </w:r>
    </w:p>
    <w:p>
      <w:pPr>
        <w:pStyle w:val="Normal"/>
        <w:numPr>
          <w:ilvl w:val="0"/>
          <w:numId w:val="1"/>
        </w:numPr>
        <w:spacing w:lineRule="auto" w:line="360"/>
        <w:rPr>
          <w:rFonts w:ascii="Times New Roman" w:hAnsi="Times New Roman" w:cs="Times New Roman"/>
        </w:rPr>
      </w:pPr>
      <w:r>
        <w:rPr>
          <w:rFonts w:cs="Times New Roman" w:ascii="Times New Roman" w:hAnsi="Times New Roman"/>
          <w:b/>
          <w:bCs/>
        </w:rPr>
        <w:t>Mode à électrode unique :</w:t>
      </w:r>
      <w:r>
        <w:rPr>
          <w:rFonts w:cs="Times New Roman" w:ascii="Times New Roman" w:hAnsi="Times New Roman"/>
        </w:rPr>
        <w:t xml:space="preserve"> Ce mode utilise une seule électrode reliée à la terre. Il est conçu pour récupérer l'énergie d'un objet mobile (comme un doigt humain ou une goutte de pluie) sans qu'il soit nécessaire de connecter cet objet par un fil au circuit. Le mouvement de l'objet chargé par rapport à l'électrode fixe induit un courant vers la terre.</w:t>
      </w:r>
    </w:p>
    <w:p>
      <w:pPr>
        <w:pStyle w:val="Normal"/>
        <w:numPr>
          <w:ilvl w:val="0"/>
          <w:numId w:val="1"/>
        </w:numPr>
        <w:spacing w:lineRule="auto" w:line="360"/>
        <w:rPr>
          <w:rFonts w:ascii="Times New Roman" w:hAnsi="Times New Roman" w:cs="Times New Roman"/>
        </w:rPr>
      </w:pPr>
      <w:r>
        <w:rPr>
          <w:rFonts w:cs="Times New Roman" w:ascii="Times New Roman" w:hAnsi="Times New Roman"/>
          <w:b/>
          <w:bCs/>
        </w:rPr>
        <w:t>Mode triboélectrique indépendant (Freestanding triboelectric-layer) :</w:t>
      </w:r>
      <w:r>
        <w:rPr>
          <w:rFonts w:cs="Times New Roman" w:ascii="Times New Roman" w:hAnsi="Times New Roman"/>
        </w:rPr>
        <w:t xml:space="preserve"> Il se compose d'une couche diélectrique mobile et de deux électrodes fixes symétriques. Lorsque la couche chargée se déplace entre les deux électrodes, les électrons circulent d'une électrode à l'autre pour équilibrer les potentiels locaux. Ce mode ne nécessite aucun contact direct avec les électrodes, ce qui réduit considérablement l'usure et la friction.</w:t>
      </w:r>
    </w:p>
    <w:p>
      <w:pPr>
        <w:pStyle w:val="Normal"/>
        <w:spacing w:lineRule="auto" w:line="360"/>
        <w:ind w:left="720"/>
        <w:rPr>
          <w:rFonts w:ascii="Times New Roman" w:hAnsi="Times New Roman" w:cs="Times New Roman"/>
          <w:b/>
          <w:bCs/>
        </w:rPr>
      </w:pPr>
      <w:r>
        <w:rPr>
          <w:rFonts w:cs="Times New Roman" w:ascii="Times New Roman" w:hAnsi="Times New Roman"/>
          <w:b/>
          <w:bCs/>
        </w:rPr>
        <w:t>2.3 Modélisation par circuits équivalents</w:t>
      </w:r>
    </w:p>
    <w:p>
      <w:pPr>
        <w:pStyle w:val="Normal"/>
        <w:spacing w:lineRule="auto" w:line="360"/>
        <w:ind w:left="720"/>
        <w:rPr>
          <w:rFonts w:ascii="Times New Roman" w:hAnsi="Times New Roman" w:cs="Times New Roman"/>
        </w:rPr>
      </w:pPr>
      <w:r>
        <w:rPr>
          <w:rFonts w:cs="Times New Roman" w:ascii="Times New Roman" w:hAnsi="Times New Roman"/>
        </w:rPr>
        <w:t>Pour chaque mode, le TENG peut être modélisé comme un système capacitif variable. Le circuit équivalent consiste en une source de tension en série avec une capacité :</w:t>
      </w:r>
    </w:p>
    <w:p>
      <w:pPr>
        <w:pStyle w:val="Normal"/>
        <w:numPr>
          <w:ilvl w:val="0"/>
          <w:numId w:val="2"/>
        </w:numPr>
        <w:spacing w:lineRule="auto" w:line="360"/>
        <w:rPr>
          <w:rFonts w:ascii="Times New Roman" w:hAnsi="Times New Roman" w:cs="Times New Roman"/>
        </w:rPr>
      </w:pPr>
      <w:r>
        <w:rPr>
          <w:rFonts w:cs="Times New Roman" w:ascii="Times New Roman" w:hAnsi="Times New Roman"/>
          <w:b/>
          <w:bCs/>
        </w:rPr>
        <w:t>Source de tension (</w:t>
      </w:r>
      <w:r>
        <w:rPr>
          <w:rFonts w:cs="Times New Roman" w:ascii="Times New Roman" w:hAnsi="Times New Roman"/>
          <w:b/>
          <w:bCs/>
          <w:sz w:val="28"/>
          <w:szCs w:val="28"/>
        </w:rPr>
        <w:t>V</w:t>
      </w:r>
      <w:r>
        <w:rPr>
          <w:rFonts w:cs="Times New Roman" w:ascii="Times New Roman" w:hAnsi="Times New Roman"/>
          <w:b/>
          <w:bCs/>
        </w:rPr>
        <w:t xml:space="preserve"> </w:t>
      </w:r>
      <w:r>
        <w:rPr>
          <w:rFonts w:cs="Times New Roman" w:ascii="Times New Roman" w:hAnsi="Times New Roman"/>
        </w:rPr>
        <w:t>oc</w:t>
      </w:r>
      <w:r>
        <w:rPr>
          <w:rFonts w:cs="Times New Roman" w:ascii="Times New Roman" w:hAnsi="Times New Roman"/>
          <w:b/>
          <w:bCs/>
        </w:rPr>
        <w:t>) :</w:t>
      </w:r>
      <w:r>
        <w:rPr>
          <w:rFonts w:cs="Times New Roman" w:ascii="Times New Roman" w:hAnsi="Times New Roman"/>
        </w:rPr>
        <w:t xml:space="preserve"> Elle représente la tension en circuit ouvert, qui est proportionnelle à la densité de charge triboélectrique (σ) et à la distance de séparation.</w:t>
      </w:r>
    </w:p>
    <w:p>
      <w:pPr>
        <w:pStyle w:val="Normal"/>
        <w:numPr>
          <w:ilvl w:val="0"/>
          <w:numId w:val="2"/>
        </w:numPr>
        <w:spacing w:lineRule="auto" w:line="360"/>
        <w:rPr>
          <w:rFonts w:ascii="Times New Roman" w:hAnsi="Times New Roman" w:cs="Times New Roman"/>
        </w:rPr>
      </w:pPr>
      <w:r>
        <w:rPr>
          <w:rFonts w:cs="Times New Roman" w:ascii="Times New Roman" w:hAnsi="Times New Roman"/>
          <w:b/>
          <w:bCs/>
        </w:rPr>
        <w:t>Capacité (</w:t>
      </w:r>
      <w:r>
        <w:rPr>
          <w:rFonts w:cs="Times New Roman" w:ascii="Times New Roman" w:hAnsi="Times New Roman"/>
          <w:b/>
          <w:bCs/>
          <w:sz w:val="28"/>
          <w:szCs w:val="28"/>
        </w:rPr>
        <w:t>C</w:t>
      </w:r>
      <w:r>
        <w:rPr>
          <w:rFonts w:cs="Times New Roman" w:ascii="Times New Roman" w:hAnsi="Times New Roman"/>
          <w:sz w:val="20"/>
          <w:szCs w:val="20"/>
        </w:rPr>
        <w:t>TENG</w:t>
      </w:r>
      <w:r>
        <w:rPr>
          <w:rFonts w:cs="Times New Roman" w:ascii="Times New Roman" w:hAnsi="Times New Roman"/>
          <w:b/>
          <w:bCs/>
        </w:rPr>
        <w:t>) :</w:t>
      </w:r>
      <w:r>
        <w:rPr>
          <w:rFonts w:cs="Times New Roman" w:ascii="Times New Roman" w:hAnsi="Times New Roman"/>
        </w:rPr>
        <w:t xml:space="preserve"> Elle représente la capacité interne du dispositif, qui change dynamiquement avec le mouvement mécanique (x).</w:t>
      </w:r>
    </w:p>
    <w:p>
      <w:pPr>
        <w:pStyle w:val="Normal"/>
        <w:spacing w:lineRule="auto" w:line="360"/>
        <w:ind w:left="720"/>
        <w:rPr>
          <w:rFonts w:ascii="Times New Roman" w:hAnsi="Times New Roman" w:cs="Times New Roman"/>
        </w:rPr>
      </w:pPr>
      <w:r>
        <w:rPr>
          <w:rFonts w:cs="Times New Roman" w:ascii="Times New Roman" w:hAnsi="Times New Roman"/>
        </w:rPr>
        <w:t xml:space="preserve">L'équation caractéristique régissant le transport de charge est : </w:t>
      </w:r>
    </w:p>
    <w:p>
      <w:pPr>
        <w:pStyle w:val="Normal"/>
        <w:spacing w:lineRule="auto" w:line="360"/>
        <w:ind w:left="720"/>
        <w:jc w:val="center"/>
        <w:rPr>
          <w:rFonts w:ascii="Times New Roman" w:hAnsi="Times New Roman" w:cs="Times New Roman"/>
          <w:sz w:val="28"/>
          <w:szCs w:val="28"/>
        </w:rPr>
      </w:pPr>
      <w:r>
        <w:rPr/>
      </w:r>
      <m:oMathPara xmlns:m="http://schemas.openxmlformats.org/officeDocument/2006/math">
        <m:oMathParaPr>
          <m:jc m:val="center"/>
        </m:oMathParaPr>
        <m:oMath>
          <m:r>
            <w:rPr>
              <w:rFonts w:ascii="Cambria Math" w:hAnsi="Cambria Math"/>
            </w:rPr>
            <m:t xml:space="preserve">v</m:t>
          </m:r>
          <m:r>
            <w:rPr>
              <w:rFonts w:ascii="Cambria Math" w:hAnsi="Cambria Math"/>
            </w:rPr>
            <m:t xml:space="preserve">=</m:t>
          </m:r>
          <m:f>
            <m:num>
              <m:r>
                <w:rPr>
                  <w:rFonts w:ascii="Cambria Math" w:hAnsi="Cambria Math"/>
                </w:rPr>
                <m:t xml:space="preserve">−</m:t>
              </m:r>
              <m:r>
                <w:rPr>
                  <w:rFonts w:ascii="Cambria Math" w:hAnsi="Cambria Math"/>
                </w:rPr>
                <m:t xml:space="preserve">1</m:t>
              </m:r>
            </m:num>
            <m:den>
              <m:r>
                <w:rPr>
                  <w:rFonts w:ascii="Cambria Math" w:hAnsi="Cambria Math"/>
                </w:rPr>
                <m:t xml:space="preserve">C</m:t>
              </m:r>
              <m:d>
                <m:dPr>
                  <m:begChr m:val="("/>
                  <m:endChr m:val=")"/>
                </m:dPr>
                <m:e>
                  <m:r>
                    <w:rPr>
                      <w:rFonts w:ascii="Cambria Math" w:hAnsi="Cambria Math"/>
                    </w:rPr>
                    <m:t xml:space="preserve">x</m:t>
                  </m:r>
                </m:e>
              </m:d>
            </m:den>
          </m:f>
          <m:r>
            <w:rPr>
              <w:rFonts w:ascii="Cambria Math" w:hAnsi="Cambria Math"/>
            </w:rPr>
            <m:t xml:space="preserve">Q</m:t>
          </m:r>
          <m:r>
            <w:rPr>
              <w:rFonts w:ascii="Cambria Math" w:hAnsi="Cambria Math"/>
            </w:rPr>
            <m:t xml:space="preserve">+</m:t>
          </m:r>
          <m:sSub>
            <m:e>
              <m:r>
                <w:rPr>
                  <w:rFonts w:ascii="Cambria Math" w:hAnsi="Cambria Math"/>
                </w:rPr>
                <m:t xml:space="preserve">v</m:t>
              </m:r>
            </m:e>
            <m:sub>
              <m:r>
                <w:rPr>
                  <w:rFonts w:ascii="Cambria Math" w:hAnsi="Cambria Math"/>
                </w:rPr>
                <m:t xml:space="preserve">0</m:t>
              </m:r>
              <m:r>
                <w:rPr>
                  <w:rFonts w:ascii="Cambria Math" w:hAnsi="Cambria Math"/>
                </w:rPr>
                <m:t xml:space="preserve">C</m:t>
              </m:r>
            </m:sub>
          </m:sSub>
          <m:d>
            <m:dPr>
              <m:begChr m:val="("/>
              <m:endChr m:val=")"/>
            </m:dPr>
            <m:e>
              <m:r>
                <w:rPr>
                  <w:rFonts w:ascii="Cambria Math" w:hAnsi="Cambria Math"/>
                </w:rPr>
                <m:t xml:space="preserve">x</m:t>
              </m:r>
            </m:e>
          </m:d>
        </m:oMath>
      </m:oMathPara>
    </w:p>
    <w:p>
      <w:pPr>
        <w:pStyle w:val="Normal"/>
        <w:spacing w:lineRule="auto" w:line="360"/>
        <w:ind w:left="720"/>
        <w:rPr>
          <w:rFonts w:ascii="Times New Roman" w:hAnsi="Times New Roman" w:cs="Times New Roman"/>
        </w:rPr>
      </w:pPr>
      <w:r>
        <w:drawing>
          <wp:anchor behindDoc="0" distT="0" distB="0" distL="114300" distR="114300" simplePos="0" locked="0" layoutInCell="0" allowOverlap="1" relativeHeight="9">
            <wp:simplePos x="0" y="0"/>
            <wp:positionH relativeFrom="margin">
              <wp:posOffset>433705</wp:posOffset>
            </wp:positionH>
            <wp:positionV relativeFrom="paragraph">
              <wp:posOffset>691515</wp:posOffset>
            </wp:positionV>
            <wp:extent cx="5248275" cy="2868295"/>
            <wp:effectExtent l="0" t="0" r="0" b="0"/>
            <wp:wrapTopAndBottom/>
            <wp:docPr id="13" name="Image4"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Une image contenant texte, capture d’écran, diagramme, Police&#10;&#10;Le contenu généré par l’IA peut être incorrect."/>
                    <pic:cNvPicPr>
                      <a:picLocks noChangeAspect="1" noChangeArrowheads="1"/>
                    </pic:cNvPicPr>
                  </pic:nvPicPr>
                  <pic:blipFill>
                    <a:blip r:embed="rId6"/>
                    <a:stretch>
                      <a:fillRect/>
                    </a:stretch>
                  </pic:blipFill>
                  <pic:spPr bwMode="auto">
                    <a:xfrm>
                      <a:off x="0" y="0"/>
                      <a:ext cx="5248275" cy="2868295"/>
                    </a:xfrm>
                    <a:prstGeom prst="rect">
                      <a:avLst/>
                    </a:prstGeom>
                    <a:noFill/>
                  </pic:spPr>
                </pic:pic>
              </a:graphicData>
            </a:graphic>
          </wp:anchor>
        </w:drawing>
      </w:r>
      <w:r>
        <w:rPr>
          <w:rFonts w:cs="Times New Roman" w:ascii="Times New Roman" w:hAnsi="Times New Roman"/>
        </w:rPr>
        <w:t xml:space="preserve">Cette équation </w:t>
      </w:r>
      <w:r>
        <w:rPr>
          <w:rFonts w:cs="Times New Roman" w:ascii="Times New Roman" w:hAnsi="Times New Roman"/>
          <w:b/>
          <w:bCs/>
          <w:sz w:val="28"/>
          <w:szCs w:val="28"/>
        </w:rPr>
        <w:t>V</w:t>
      </w:r>
      <w:r>
        <w:rPr>
          <w:rFonts w:cs="Times New Roman" w:ascii="Times New Roman" w:hAnsi="Times New Roman"/>
        </w:rPr>
        <w:t>-</w:t>
      </w:r>
      <w:r>
        <w:rPr>
          <w:rFonts w:cs="Times New Roman" w:ascii="Times New Roman" w:hAnsi="Times New Roman"/>
          <w:b/>
          <w:bCs/>
          <w:sz w:val="28"/>
          <w:szCs w:val="28"/>
        </w:rPr>
        <w:t>Q</w:t>
      </w:r>
      <w:r>
        <w:rPr>
          <w:rFonts w:cs="Times New Roman" w:ascii="Times New Roman" w:hAnsi="Times New Roman"/>
        </w:rPr>
        <w:t xml:space="preserve">-x constitue la base théorique pour l'analyse des performances et l'optimisation des circuits de gestion d'énergie pour les systèmes IoT. </w:t>
      </w:r>
    </w:p>
    <w:p>
      <w:pPr>
        <w:pStyle w:val="Normal"/>
        <w:spacing w:lineRule="auto" w:line="360"/>
        <w:ind w:left="720"/>
        <w:jc w:val="center"/>
        <w:rPr>
          <w:rFonts w:ascii="Times New Roman" w:hAnsi="Times New Roman" w:cs="Times New Roman"/>
        </w:rPr>
      </w:pPr>
      <w:r>
        <w:rPr>
          <w:rFonts w:cs="Times New Roman" w:ascii="Times New Roman" w:hAnsi="Times New Roman"/>
        </w:rPr>
        <w:t>Figure 3: Les quatre modes fondamentaux du TENG : (a) mode de contact-séparation vertical, (b) mode de glissement latéral, (c) mode à électrode unique, et (d) mode à couche triboélectrique indépendante (ou libre).</w:t>
      </w:r>
    </w:p>
    <w:p>
      <w:pPr>
        <w:pStyle w:val="Normal"/>
        <w:spacing w:lineRule="auto" w:line="360"/>
        <w:ind w:left="720"/>
        <w:rPr>
          <w:rFonts w:ascii="Times New Roman" w:hAnsi="Times New Roman" w:cs="Times New Roman"/>
          <w:b/>
          <w:bCs/>
        </w:rPr>
      </w:pPr>
      <w:r>
        <w:rPr>
          <w:rFonts w:cs="Times New Roman" w:ascii="Times New Roman" w:hAnsi="Times New Roman"/>
          <w:b/>
          <w:bCs/>
        </w:rPr>
        <w:t>Partie 4 : Diversification des Interfaces (Liquides et Gaz)</w:t>
      </w:r>
    </w:p>
    <w:p>
      <w:pPr>
        <w:pStyle w:val="Normal"/>
        <w:spacing w:lineRule="auto" w:line="360"/>
        <w:ind w:left="720"/>
        <w:rPr>
          <w:rFonts w:ascii="Times New Roman" w:hAnsi="Times New Roman" w:cs="Times New Roman"/>
        </w:rPr>
      </w:pPr>
      <w:r>
        <w:rPr>
          <w:rFonts w:cs="Times New Roman" w:ascii="Times New Roman" w:hAnsi="Times New Roman"/>
        </w:rPr>
        <w:t>Contrairement aux interfaces solide-solide où le transfert d'électrons prédomine, l'électrification de contact (CE) aux interfaces impliquant des phases fluides présente une complexité accrue.</w:t>
      </w:r>
    </w:p>
    <w:p>
      <w:pPr>
        <w:pStyle w:val="Normal"/>
        <w:spacing w:lineRule="auto" w:line="360"/>
        <w:ind w:left="720"/>
        <w:rPr>
          <w:rFonts w:ascii="Times New Roman" w:hAnsi="Times New Roman" w:cs="Times New Roman"/>
        </w:rPr>
      </w:pPr>
      <w:r>
        <w:rPr>
          <w:rFonts w:cs="Times New Roman" w:ascii="Times New Roman" w:hAnsi="Times New Roman"/>
          <w:b/>
          <w:bCs/>
        </w:rPr>
        <w:t>Interfaces liquide-solide et liquide-liquide :</w:t>
      </w:r>
      <w:r>
        <w:rPr>
          <w:rFonts w:cs="Times New Roman" w:ascii="Times New Roman" w:hAnsi="Times New Roman"/>
        </w:rPr>
        <w:t xml:space="preserve"> Lorsqu'un liquide entre en contact avec un solide ou un autre liquide, le mécanisme de transfert de charge implique souvent la </w:t>
      </w:r>
      <w:r>
        <w:rPr>
          <w:rFonts w:cs="Times New Roman" w:ascii="Times New Roman" w:hAnsi="Times New Roman"/>
          <w:b/>
          <w:bCs/>
        </w:rPr>
        <w:t>coexistence du transfert d'électrons et du transfert d'ions</w:t>
      </w:r>
      <w:r>
        <w:rPr>
          <w:rFonts w:cs="Times New Roman" w:ascii="Times New Roman" w:hAnsi="Times New Roman"/>
        </w:rPr>
        <w:t xml:space="preserve">. Dans les milieux aqueux, les ions présents dans la solution (tels que H+ et OH-) ainsi que les molécules d'eau adsorbées jouent un rôle crucial. Le transfert d'ions est généralement dicté par l'adsorption spécifique ou la formation d'une double couche électrique (EDL). Cependant, des études récentes suggèrent que le transfert d'électrons peut également se produire simultanément, initiant ou complétant le processus de charge à l'interface. </w:t>
      </w:r>
    </w:p>
    <w:p>
      <w:pPr>
        <w:pStyle w:val="Normal"/>
        <w:spacing w:lineRule="auto" w:line="360"/>
        <w:ind w:left="720"/>
        <w:rPr>
          <w:rFonts w:ascii="Times New Roman" w:hAnsi="Times New Roman" w:cs="Times New Roman"/>
        </w:rPr>
      </w:pPr>
      <w:r>
        <w:rPr>
          <w:rFonts w:cs="Times New Roman" w:ascii="Times New Roman" w:hAnsi="Times New Roman"/>
          <w:b/>
          <w:bCs/>
        </w:rPr>
        <w:t>Interfaces gaz-solide :</w:t>
      </w:r>
      <w:r>
        <w:rPr>
          <w:rFonts w:cs="Times New Roman" w:ascii="Times New Roman" w:hAnsi="Times New Roman"/>
        </w:rPr>
        <w:t xml:space="preserve"> La CE à l'interface gaz-solide est souvent observée lors de l'interaction entre un flux de gaz chargé (ou contenant des particules/gouttelettes) et une surface solide. Ici, le mécanisme peut impliquer le transfert d'électrons entre les molécules de gaz et le solide, ou le dépôt d'ions gazeux produits par ionisation de l'air. </w:t>
      </w:r>
    </w:p>
    <w:p>
      <w:pPr>
        <w:pStyle w:val="Normal"/>
        <w:spacing w:lineRule="auto" w:line="360"/>
        <w:ind w:left="720"/>
        <w:rPr>
          <w:rFonts w:ascii="Times New Roman" w:hAnsi="Times New Roman" w:cs="Times New Roman"/>
        </w:rPr>
      </w:pPr>
      <w:r>
        <w:rPr>
          <w:rFonts w:cs="Times New Roman" w:ascii="Times New Roman" w:hAnsi="Times New Roman"/>
          <w:b/>
          <w:bCs/>
        </w:rPr>
        <w:t>Cas des milieux aqueux :</w:t>
      </w:r>
      <w:r>
        <w:rPr>
          <w:rFonts w:cs="Times New Roman" w:ascii="Times New Roman" w:hAnsi="Times New Roman"/>
        </w:rPr>
        <w:t xml:space="preserve"> Dans l'eau, la distinction entre transfert d'électrons et d'ions est subtile. Le modèle hybride proposé indique que le transfert d'électrons se produit lors du contact initial, suivi par une redistribution ionique pour équilibrer le potentiel électrochimique. Cette interaction complexe entre espèces électroniques et ioniques est la clé de la performance des TENG basés sur les liquides. </w:t>
      </w:r>
    </w:p>
    <w:p>
      <w:pPr>
        <w:pStyle w:val="Normal"/>
        <w:spacing w:lineRule="auto" w:line="360"/>
        <w:ind w:left="720"/>
        <w:rPr>
          <w:rFonts w:ascii="Times New Roman" w:hAnsi="Times New Roman" w:cs="Times New Roman"/>
          <w:b/>
          <w:bCs/>
        </w:rPr>
      </w:pPr>
      <w:r>
        <w:rPr>
          <w:rFonts w:cs="Times New Roman" w:ascii="Times New Roman" w:hAnsi="Times New Roman"/>
          <w:b/>
          <w:bCs/>
        </w:rPr>
        <w:drawing>
          <wp:anchor behindDoc="0" distT="0" distB="0" distL="114300" distR="114300" simplePos="0" locked="0" layoutInCell="0" allowOverlap="1" relativeHeight="10">
            <wp:simplePos x="0" y="0"/>
            <wp:positionH relativeFrom="margin">
              <wp:posOffset>-242570</wp:posOffset>
            </wp:positionH>
            <wp:positionV relativeFrom="margin">
              <wp:posOffset>1767840</wp:posOffset>
            </wp:positionV>
            <wp:extent cx="6656070" cy="1838325"/>
            <wp:effectExtent l="0" t="0" r="0" b="0"/>
            <wp:wrapSquare wrapText="bothSides"/>
            <wp:docPr id="14" name="Image7"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Une image contenant texte, Police, capture d’écran&#10;&#10;Le contenu généré par l’IA peut être incorrect."/>
                    <pic:cNvPicPr>
                      <a:picLocks noChangeAspect="1" noChangeArrowheads="1"/>
                    </pic:cNvPicPr>
                  </pic:nvPicPr>
                  <pic:blipFill>
                    <a:blip r:embed="rId7"/>
                    <a:srcRect l="1907" t="10536" r="906" b="2382"/>
                    <a:stretch>
                      <a:fillRect/>
                    </a:stretch>
                  </pic:blipFill>
                  <pic:spPr bwMode="auto">
                    <a:xfrm>
                      <a:off x="0" y="0"/>
                      <a:ext cx="6656070" cy="1838325"/>
                    </a:xfrm>
                    <a:prstGeom prst="rect">
                      <a:avLst/>
                    </a:prstGeom>
                    <a:noFill/>
                  </pic:spPr>
                </pic:pic>
              </a:graphicData>
            </a:graphic>
          </wp:anchor>
        </w:drawing>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ind w:left="720"/>
        <w:jc w:val="center"/>
        <w:rPr>
          <w:rFonts w:ascii="Times New Roman" w:hAnsi="Times New Roman" w:cs="Times New Roman"/>
        </w:rPr>
      </w:pPr>
      <w:r>
        <w:rPr>
          <w:rFonts w:cs="Times New Roman" w:ascii="Times New Roman" w:hAnsi="Times New Roman"/>
        </w:rPr>
        <w:t>Figure 4 : Modèle de formation de la double couche électrique (EDL) à l'interface liquide-solide. Le transfert initial d'électrons est suivi par l'adsorption ionique, créant une interface stable pour la génération de courant triboélectrique (Adapté de Hu et al., 2024)</w:t>
      </w:r>
    </w:p>
    <w:p>
      <w:pPr>
        <w:pStyle w:val="Normal"/>
        <w:spacing w:lineRule="auto" w:line="360"/>
        <w:ind w:left="720"/>
        <w:rPr>
          <w:rFonts w:ascii="Times New Roman" w:hAnsi="Times New Roman" w:cs="Times New Roman"/>
          <w:b/>
          <w:bCs/>
        </w:rPr>
      </w:pPr>
      <w:r>
        <w:rPr>
          <w:rFonts w:cs="Times New Roman" w:ascii="Times New Roman" w:hAnsi="Times New Roman"/>
          <w:b/>
          <w:bCs/>
        </w:rPr>
      </w:r>
    </w:p>
    <w:p>
      <w:pPr>
        <w:pStyle w:val="Normal"/>
        <w:spacing w:lineRule="auto" w:line="360"/>
        <w:ind w:left="720"/>
        <w:rPr>
          <w:rFonts w:ascii="Times New Roman" w:hAnsi="Times New Roman" w:cs="Times New Roman"/>
          <w:b/>
          <w:bCs/>
        </w:rPr>
      </w:pPr>
      <w:r>
        <w:rPr>
          <w:rFonts w:cs="Times New Roman" w:ascii="Times New Roman" w:hAnsi="Times New Roman"/>
          <w:b/>
          <w:bCs/>
        </w:rPr>
      </w:r>
    </w:p>
    <w:p>
      <w:pPr>
        <w:pStyle w:val="Normal"/>
        <w:spacing w:lineRule="auto" w:line="360"/>
        <w:ind w:left="720"/>
        <w:rPr>
          <w:rFonts w:ascii="Times New Roman" w:hAnsi="Times New Roman" w:cs="Times New Roman"/>
          <w:b/>
          <w:bCs/>
        </w:rPr>
      </w:pPr>
      <w:r>
        <w:rPr>
          <w:rFonts w:cs="Times New Roman" w:ascii="Times New Roman" w:hAnsi="Times New Roman"/>
          <w:b/>
          <w:bCs/>
        </w:rPr>
        <w:t>Partie 5 : Optimisation des Performances et Modification de Surface</w:t>
      </w:r>
    </w:p>
    <w:p>
      <w:pPr>
        <w:pStyle w:val="Normal"/>
        <w:spacing w:lineRule="auto" w:line="360"/>
        <w:ind w:left="720"/>
        <w:rPr>
          <w:rFonts w:ascii="Times New Roman" w:hAnsi="Times New Roman" w:cs="Times New Roman"/>
          <w:b/>
          <w:bCs/>
        </w:rPr>
      </w:pPr>
      <w:r>
        <w:rPr>
          <w:rFonts w:cs="Times New Roman" w:ascii="Times New Roman" w:hAnsi="Times New Roman"/>
          <w:b/>
          <w:bCs/>
        </w:rPr>
        <w:t>4. Méthodes de modification pour l'amélioration des performances</w:t>
      </w:r>
    </w:p>
    <w:p>
      <w:pPr>
        <w:pStyle w:val="Normal"/>
        <w:spacing w:lineRule="auto" w:line="360"/>
        <w:ind w:left="720"/>
        <w:rPr>
          <w:rFonts w:ascii="Times New Roman" w:hAnsi="Times New Roman" w:cs="Times New Roman"/>
        </w:rPr>
      </w:pPr>
      <w:r>
        <w:rPr>
          <w:rFonts w:cs="Times New Roman" w:ascii="Times New Roman" w:hAnsi="Times New Roman"/>
        </w:rPr>
        <w:t>Afin d'améliorer la densité de charge de surface (σ) et les performances de sortie des TENG, diverses stratégies de modification d'interface ont été développées :</w:t>
      </w:r>
    </w:p>
    <w:p>
      <w:pPr>
        <w:pStyle w:val="Normal"/>
        <w:spacing w:lineRule="auto" w:line="360"/>
        <w:ind w:left="720"/>
        <w:rPr>
          <w:rFonts w:ascii="Times New Roman" w:hAnsi="Times New Roman" w:cs="Times New Roman"/>
          <w:b/>
          <w:bCs/>
        </w:rPr>
      </w:pPr>
      <w:r>
        <w:rPr>
          <w:rFonts w:cs="Times New Roman" w:ascii="Times New Roman" w:hAnsi="Times New Roman"/>
          <w:b/>
          <w:bCs/>
        </w:rPr>
        <w:t>4.1 Nanostructuration et modification physique :</w:t>
      </w:r>
    </w:p>
    <w:p>
      <w:pPr>
        <w:pStyle w:val="Normal"/>
        <w:spacing w:lineRule="auto" w:line="360"/>
        <w:ind w:left="720"/>
        <w:rPr>
          <w:rFonts w:ascii="Times New Roman" w:hAnsi="Times New Roman" w:cs="Times New Roman"/>
        </w:rPr>
      </w:pPr>
      <w:r>
        <w:rPr>
          <w:rFonts w:cs="Times New Roman" w:ascii="Times New Roman" w:hAnsi="Times New Roman"/>
        </w:rPr>
        <w:t>La création de nanostructures sur les surfaces de contact (telles que des pyramides, des piliers ou des motifs poreux) est une méthode efficace pour augmenter la surface de contact réelle. La nanostructuration permet non seulement d'augmenter la zone de contact effective au-delà de la surface géométrique apparente, mais elle améliore également la déformabilité élastique des matériaux, facilitant ainsi une électrification de contact (CE) plus intense.</w:t>
      </w:r>
    </w:p>
    <w:p>
      <w:pPr>
        <w:pStyle w:val="Normal"/>
        <w:spacing w:lineRule="auto" w:line="360"/>
        <w:ind w:left="720"/>
        <w:rPr>
          <w:rFonts w:ascii="Times New Roman" w:hAnsi="Times New Roman" w:cs="Times New Roman"/>
          <w:b/>
          <w:bCs/>
        </w:rPr>
      </w:pPr>
      <w:r>
        <w:rPr>
          <w:rFonts w:cs="Times New Roman" w:ascii="Times New Roman" w:hAnsi="Times New Roman"/>
          <w:b/>
          <w:bCs/>
        </w:rPr>
        <w:t>4.2 Modifications chimiques (Fluoration et Dopage) :</w:t>
      </w:r>
    </w:p>
    <w:p>
      <w:pPr>
        <w:pStyle w:val="Normal"/>
        <w:spacing w:lineRule="auto" w:line="360"/>
        <w:ind w:left="720"/>
        <w:rPr>
          <w:rFonts w:ascii="Times New Roman" w:hAnsi="Times New Roman" w:cs="Times New Roman"/>
        </w:rPr>
      </w:pPr>
      <w:r>
        <w:rPr>
          <w:rFonts w:cs="Times New Roman" w:ascii="Times New Roman" w:hAnsi="Times New Roman"/>
        </w:rPr>
        <w:t>L'introduction de groupements fonctionnels hautement électronégatifs, comme le fluor, par des processus de fluoration de surface (notamment par plasma), permet d'augmenter considérablement la capacité du matériau à attirer les électrons. De même, le dopage chimique ou l'incorporation de nanoparticules permet d'ajuster les niveaux d'énergie de surface et de modifier le travail de sortie des matériaux, optimisant ainsi le transfert d'électrons selon la série triboélectrique.</w:t>
      </w:r>
    </w:p>
    <w:p>
      <w:pPr>
        <w:pStyle w:val="Normal"/>
        <w:spacing w:lineRule="auto" w:line="360"/>
        <w:ind w:left="720"/>
        <w:rPr>
          <w:rFonts w:ascii="Times New Roman" w:hAnsi="Times New Roman" w:cs="Times New Roman"/>
          <w:b/>
          <w:bCs/>
        </w:rPr>
      </w:pPr>
      <w:r>
        <w:rPr>
          <w:rFonts w:cs="Times New Roman" w:ascii="Times New Roman" w:hAnsi="Times New Roman"/>
          <w:b/>
          <w:bCs/>
        </w:rPr>
        <w:t>4.3 Stratégies contre le claquage de l'air (Loi de Paschen) :</w:t>
      </w:r>
    </w:p>
    <w:p>
      <w:pPr>
        <w:pStyle w:val="Normal"/>
        <w:spacing w:lineRule="auto" w:line="360"/>
        <w:ind w:left="720"/>
        <w:rPr>
          <w:rFonts w:ascii="Times New Roman" w:hAnsi="Times New Roman" w:cs="Times New Roman"/>
        </w:rPr>
      </w:pPr>
      <w:r>
        <w:rPr>
          <w:rFonts w:cs="Times New Roman" w:ascii="Times New Roman" w:hAnsi="Times New Roman"/>
        </w:rPr>
        <w:t>La densité de charge maximale d'un TENG est souvent limitée par la rigidité diélectrique du milieu environnant. Selon la Loi de Paschen, lorsque l'intensité du champ électrique entre les deux surfaces séparées dépasse le seuil de claquage de l'air, des décharges électrostatiques se produisent, neutralisant les charges collectées. Pour surmonter cette limite, plusieurs stratégies sont employées :</w:t>
      </w:r>
    </w:p>
    <w:p>
      <w:pPr>
        <w:pStyle w:val="Normal"/>
        <w:numPr>
          <w:ilvl w:val="0"/>
          <w:numId w:val="3"/>
        </w:numPr>
        <w:spacing w:lineRule="auto" w:line="360"/>
        <w:rPr>
          <w:rFonts w:ascii="Times New Roman" w:hAnsi="Times New Roman" w:cs="Times New Roman"/>
        </w:rPr>
      </w:pPr>
      <w:r>
        <w:rPr>
          <w:rFonts w:cs="Times New Roman" w:ascii="Times New Roman" w:hAnsi="Times New Roman"/>
          <w:b/>
          <w:bCs/>
        </w:rPr>
        <w:t>L'encapsulation sous vide</w:t>
      </w:r>
      <w:r>
        <w:rPr>
          <w:rFonts w:cs="Times New Roman" w:ascii="Times New Roman" w:hAnsi="Times New Roman"/>
        </w:rPr>
        <w:t xml:space="preserve"> ou dans des milieux gazeux à haute pression.</w:t>
      </w:r>
    </w:p>
    <w:p>
      <w:pPr>
        <w:pStyle w:val="Normal"/>
        <w:numPr>
          <w:ilvl w:val="0"/>
          <w:numId w:val="3"/>
        </w:numPr>
        <w:spacing w:lineRule="auto" w:line="360"/>
        <w:rPr>
          <w:rFonts w:ascii="Times New Roman" w:hAnsi="Times New Roman" w:cs="Times New Roman"/>
        </w:rPr>
      </w:pPr>
      <w:r>
        <w:rPr>
          <w:rFonts w:cs="Times New Roman" w:ascii="Times New Roman" w:hAnsi="Times New Roman"/>
          <w:b/>
          <w:bCs/>
        </w:rPr>
        <w:t>L'utilisation de couches diélectriques à haute permittivité</w:t>
      </w:r>
      <w:r>
        <w:rPr>
          <w:rFonts w:cs="Times New Roman" w:ascii="Times New Roman" w:hAnsi="Times New Roman"/>
        </w:rPr>
        <w:t xml:space="preserve"> pour modifier la distribution du champ électrique.</w:t>
      </w:r>
    </w:p>
    <w:p>
      <w:pPr>
        <w:pStyle w:val="Normal"/>
        <w:numPr>
          <w:ilvl w:val="0"/>
          <w:numId w:val="3"/>
        </w:numPr>
        <w:spacing w:lineRule="auto" w:line="360"/>
        <w:rPr>
          <w:rFonts w:ascii="Times New Roman" w:hAnsi="Times New Roman" w:cs="Times New Roman"/>
        </w:rPr>
      </w:pPr>
      <w:r>
        <w:rPr>
          <w:rFonts w:cs="Times New Roman" w:ascii="Times New Roman" w:hAnsi="Times New Roman"/>
          <w:b/>
          <w:bCs/>
        </w:rPr>
        <w:t>Le couplage avec des liquides</w:t>
      </w:r>
      <w:r>
        <w:rPr>
          <w:rFonts w:cs="Times New Roman" w:ascii="Times New Roman" w:hAnsi="Times New Roman"/>
        </w:rPr>
        <w:t xml:space="preserve">, où l'absence d'interstice d'air et la formation d'une double couche électrique permettent d'atteindre des densités de charge bien supérieures à celles des interfaces solide-solide dans l'air. </w:t>
      </w:r>
    </w:p>
    <w:p>
      <w:pPr>
        <w:pStyle w:val="ListParagraph"/>
        <w:numPr>
          <w:ilvl w:val="0"/>
          <w:numId w:val="0"/>
        </w:numPr>
        <w:spacing w:lineRule="auto" w:line="360" w:beforeAutospacing="1" w:afterAutospacing="1"/>
        <w:ind w:left="720"/>
        <w:contextualSpacing/>
        <w:outlineLvl w:val="2"/>
        <w:rPr>
          <w:rFonts w:ascii="Times New Roman" w:hAnsi="Times New Roman" w:eastAsia="Times New Roman" w:cs="Times New Roman"/>
          <w:b/>
          <w:bCs/>
          <w:kern w:val="0"/>
          <w:sz w:val="27"/>
          <w:szCs w:val="27"/>
          <w:lang w:eastAsia="fr-FR"/>
          <w14:ligatures w14:val="none"/>
        </w:rPr>
      </w:pPr>
      <w:r>
        <w:rPr>
          <w:rFonts w:eastAsia="Times New Roman" w:cs="Times New Roman" w:ascii="Times New Roman" w:hAnsi="Times New Roman"/>
          <w:b/>
          <w:bCs/>
          <w:kern w:val="0"/>
          <w:sz w:val="27"/>
          <w:szCs w:val="27"/>
          <w:lang w:eastAsia="fr-FR"/>
          <w14:ligatures w14:val="none"/>
        </w:rPr>
      </w:r>
    </w:p>
    <w:p>
      <w:pPr>
        <w:pStyle w:val="ListParagraph"/>
        <w:numPr>
          <w:ilvl w:val="0"/>
          <w:numId w:val="3"/>
        </w:numPr>
        <w:spacing w:lineRule="auto" w:line="360" w:beforeAutospacing="1" w:afterAutospacing="1"/>
        <w:contextualSpacing/>
        <w:outlineLvl w:val="2"/>
        <w:rPr>
          <w:rFonts w:ascii="Times New Roman" w:hAnsi="Times New Roman" w:eastAsia="Times New Roman" w:cs="Times New Roman"/>
          <w:b/>
          <w:bCs/>
          <w:kern w:val="0"/>
          <w:sz w:val="27"/>
          <w:szCs w:val="27"/>
          <w:lang w:eastAsia="fr-FR"/>
          <w14:ligatures w14:val="none"/>
        </w:rPr>
      </w:pPr>
      <w:r>
        <w:rPr>
          <w:rFonts w:eastAsia="Times New Roman" w:cs="Times New Roman" w:ascii="Times New Roman" w:hAnsi="Times New Roman"/>
          <w:b/>
          <w:bCs/>
          <w:kern w:val="0"/>
          <w:sz w:val="27"/>
          <w:szCs w:val="27"/>
          <w:lang w:eastAsia="fr-FR"/>
          <w14:ligatures w14:val="none"/>
        </w:rPr>
        <w:t>Note :</w:t>
      </w:r>
    </w:p>
    <w:p>
      <w:pPr>
        <w:pStyle w:val="ListParagraph"/>
        <w:spacing w:lineRule="auto" w:line="360" w:beforeAutospacing="1" w:afterAutospacing="1"/>
        <w:contextualSpacing/>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t>Cet extrait montre que l'ingénierie des TENG ne s'arrête pas au choix des matériaux, mais implique une manipulation fine de la morphologie (micro/nano) et de la chimie de surface pour repousser les limites physiques imposées par l'environnement (claquage de l'air).</w:t>
      </w:r>
    </w:p>
    <w:p>
      <w:pPr>
        <w:pStyle w:val="ListParagraph"/>
        <w:spacing w:lineRule="auto" w:line="360" w:beforeAutospacing="1" w:afterAutospacing="1"/>
        <w:contextualSpacing/>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r>
    </w:p>
    <w:p>
      <w:pPr>
        <w:pStyle w:val="ListParagraph"/>
        <w:spacing w:lineRule="auto" w:line="360" w:beforeAutospacing="1" w:afterAutospacing="1"/>
        <w:contextualSpacing/>
        <w:rPr>
          <w:rFonts w:ascii="Times New Roman" w:hAnsi="Times New Roman" w:cs="Times New Roman"/>
        </w:rPr>
      </w:pPr>
      <w:r>
        <w:rPr>
          <w:rFonts w:cs="Times New Roman" w:ascii="Times New Roman" w:hAnsi="Times New Roman"/>
        </w:rPr>
        <w:drawing>
          <wp:anchor behindDoc="0" distT="0" distB="0" distL="114300" distR="114300" simplePos="0" locked="0" layoutInCell="0" allowOverlap="1" relativeHeight="12">
            <wp:simplePos x="0" y="0"/>
            <wp:positionH relativeFrom="margin">
              <wp:align>center</wp:align>
            </wp:positionH>
            <wp:positionV relativeFrom="margin">
              <wp:align>top</wp:align>
            </wp:positionV>
            <wp:extent cx="6429375" cy="5981700"/>
            <wp:effectExtent l="0" t="0" r="0" b="0"/>
            <wp:wrapSquare wrapText="bothSides"/>
            <wp:docPr id="15" name="Image8" descr="Une image contenant texte, capture d’écran, collag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descr="Une image contenant texte, capture d’écran, collage, conception&#10;&#10;Le contenu généré par l’IA peut être incorrect."/>
                    <pic:cNvPicPr>
                      <a:picLocks noChangeAspect="1" noChangeArrowheads="1"/>
                    </pic:cNvPicPr>
                  </pic:nvPicPr>
                  <pic:blipFill>
                    <a:blip r:embed="rId8"/>
                    <a:srcRect l="363" t="0" r="1031" b="985"/>
                    <a:stretch>
                      <a:fillRect/>
                    </a:stretch>
                  </pic:blipFill>
                  <pic:spPr bwMode="auto">
                    <a:xfrm>
                      <a:off x="0" y="0"/>
                      <a:ext cx="6429375" cy="5981700"/>
                    </a:xfrm>
                    <a:prstGeom prst="rect">
                      <a:avLst/>
                    </a:prstGeom>
                    <a:noFill/>
                  </pic:spPr>
                </pic:pic>
              </a:graphicData>
            </a:graphic>
          </wp:anchor>
        </w:drawing>
      </w:r>
    </w:p>
    <w:p>
      <w:pPr>
        <w:pStyle w:val="Normal"/>
        <w:spacing w:lineRule="auto" w:line="360"/>
        <w:jc w:val="center"/>
        <w:rPr>
          <w:rFonts w:ascii="Times New Roman" w:hAnsi="Times New Roman" w:eastAsia="Times New Roman" w:cs="Times New Roman"/>
          <w:kern w:val="0"/>
          <w:sz w:val="28"/>
          <w:szCs w:val="28"/>
          <w:lang w:eastAsia="fr-FR"/>
          <w14:ligatures w14:val="none"/>
        </w:rPr>
      </w:pPr>
      <w:r>
        <w:rPr>
          <w:rFonts w:eastAsia="Times New Roman" w:cs="Times New Roman" w:ascii="Times New Roman" w:hAnsi="Times New Roman"/>
          <w:kern w:val="0"/>
          <w:sz w:val="28"/>
          <w:szCs w:val="28"/>
          <w:lang w:eastAsia="fr-FR"/>
          <w14:ligatures w14:val="none"/>
        </w:rPr>
        <w:t>Figure 5 : Stratégies d'optimisation de la densité de charge de surface. (a-d) Présentation des méthodes chimiques, physiques et structurelles permettant de maximiser les performances électriques des TENG (Adapté de Hu et al., 2024).</w:t>
      </w:r>
    </w:p>
    <w:p>
      <w:pPr>
        <w:pStyle w:val="ListParagraph"/>
        <w:spacing w:lineRule="auto" w:line="360"/>
        <w:rPr>
          <w:rFonts w:ascii="Times New Roman" w:hAnsi="Times New Roman" w:eastAsia="Times New Roman" w:cs="Times New Roman"/>
          <w:b/>
          <w:bCs/>
          <w:kern w:val="0"/>
          <w:lang w:eastAsia="fr-FR"/>
          <w14:ligatures w14:val="none"/>
        </w:rPr>
      </w:pPr>
      <w:r>
        <w:rPr>
          <w:rFonts w:eastAsia="Times New Roman" w:cs="Times New Roman" w:ascii="Times New Roman" w:hAnsi="Times New Roman"/>
          <w:b/>
          <w:bCs/>
          <w:kern w:val="0"/>
          <w:lang w:eastAsia="fr-FR"/>
          <w14:ligatures w14:val="none"/>
        </w:rPr>
      </w:r>
    </w:p>
    <w:p>
      <w:pPr>
        <w:pStyle w:val="ListParagraph"/>
        <w:spacing w:lineRule="auto" w:line="360"/>
        <w:rPr>
          <w:rFonts w:ascii="Times New Roman" w:hAnsi="Times New Roman" w:eastAsia="Times New Roman" w:cs="Times New Roman"/>
          <w:b/>
          <w:bCs/>
          <w:kern w:val="0"/>
          <w:lang w:eastAsia="fr-FR"/>
          <w14:ligatures w14:val="none"/>
        </w:rPr>
      </w:pPr>
      <w:r>
        <w:rPr>
          <w:rFonts w:eastAsia="Times New Roman" w:cs="Times New Roman" w:ascii="Times New Roman" w:hAnsi="Times New Roman"/>
          <w:b/>
          <w:bCs/>
          <w:kern w:val="0"/>
          <w:lang w:eastAsia="fr-FR"/>
          <w14:ligatures w14:val="none"/>
        </w:rPr>
      </w:r>
    </w:p>
    <w:p>
      <w:pPr>
        <w:pStyle w:val="ListParagraph"/>
        <w:spacing w:lineRule="auto" w:line="360"/>
        <w:rPr>
          <w:rFonts w:ascii="Times New Roman" w:hAnsi="Times New Roman" w:eastAsia="Times New Roman" w:cs="Times New Roman"/>
          <w:b/>
          <w:bCs/>
          <w:kern w:val="0"/>
          <w:lang w:eastAsia="fr-FR"/>
          <w14:ligatures w14:val="none"/>
        </w:rPr>
      </w:pPr>
      <w:r>
        <w:rPr>
          <w:rFonts w:eastAsia="Times New Roman" w:cs="Times New Roman" w:ascii="Times New Roman" w:hAnsi="Times New Roman"/>
          <w:b/>
          <w:bCs/>
          <w:kern w:val="0"/>
          <w:lang w:eastAsia="fr-FR"/>
          <w14:ligatures w14:val="none"/>
        </w:rPr>
      </w:r>
    </w:p>
    <w:p>
      <w:pPr>
        <w:pStyle w:val="ListParagraph"/>
        <w:spacing w:lineRule="auto" w:line="360"/>
        <w:rPr>
          <w:rFonts w:ascii="Times New Roman" w:hAnsi="Times New Roman" w:eastAsia="Times New Roman" w:cs="Times New Roman"/>
          <w:b/>
          <w:bCs/>
          <w:kern w:val="0"/>
          <w:lang w:eastAsia="fr-FR"/>
          <w14:ligatures w14:val="none"/>
        </w:rPr>
      </w:pPr>
      <w:r>
        <w:rPr>
          <w:rFonts w:eastAsia="Times New Roman" w:cs="Times New Roman" w:ascii="Times New Roman" w:hAnsi="Times New Roman"/>
          <w:b/>
          <w:bCs/>
          <w:kern w:val="0"/>
          <w:lang w:eastAsia="fr-FR"/>
          <w14:ligatures w14:val="none"/>
        </w:rPr>
      </w:r>
    </w:p>
    <w:p>
      <w:pPr>
        <w:pStyle w:val="Normal"/>
        <w:spacing w:lineRule="auto" w:line="360"/>
        <w:rPr>
          <w:rFonts w:ascii="Times New Roman" w:hAnsi="Times New Roman" w:eastAsia="Times New Roman" w:cs="Times New Roman"/>
          <w:b/>
          <w:bCs/>
          <w:kern w:val="0"/>
          <w:lang w:eastAsia="fr-FR"/>
          <w14:ligatures w14:val="none"/>
        </w:rPr>
      </w:pPr>
      <w:r>
        <w:rPr>
          <w:rFonts w:eastAsia="Times New Roman" w:cs="Times New Roman" w:ascii="Times New Roman" w:hAnsi="Times New Roman"/>
          <w:b/>
          <w:bCs/>
          <w:kern w:val="0"/>
          <w:lang w:eastAsia="fr-FR"/>
          <w14:ligatures w14:val="none"/>
        </w:rPr>
      </w:r>
    </w:p>
    <w:p>
      <w:pPr>
        <w:pStyle w:val="ListParagraph"/>
        <w:numPr>
          <w:ilvl w:val="0"/>
          <w:numId w:val="1"/>
        </w:numPr>
        <w:spacing w:lineRule="auto" w:line="360"/>
        <w:rPr>
          <w:rFonts w:ascii="Times New Roman" w:hAnsi="Times New Roman" w:eastAsia="Times New Roman" w:cs="Times New Roman"/>
          <w:b/>
          <w:bCs/>
          <w:kern w:val="0"/>
          <w:lang w:eastAsia="fr-FR"/>
          <w14:ligatures w14:val="none"/>
        </w:rPr>
      </w:pPr>
      <w:r>
        <w:rPr>
          <w:rFonts w:eastAsia="Times New Roman" w:cs="Times New Roman" w:ascii="Times New Roman" w:hAnsi="Times New Roman"/>
          <w:b/>
          <w:bCs/>
          <w:kern w:val="0"/>
          <w:lang w:eastAsia="fr-FR"/>
          <w14:ligatures w14:val="none"/>
        </w:rPr>
        <w:t>Applications Émergentes et Perspectives :</w:t>
      </w:r>
    </w:p>
    <w:p>
      <w:pPr>
        <w:pStyle w:val="Normal"/>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t>La technologie TENG dépasse aujourd'hui le cadre du laboratoire pour s'intégrer dans des solutions systémiques concrètes :</w:t>
      </w:r>
    </w:p>
    <w:p>
      <w:pPr>
        <w:pStyle w:val="ListParagraph"/>
        <w:numPr>
          <w:ilvl w:val="0"/>
          <w:numId w:val="27"/>
        </w:numPr>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eastAsia="fr-FR"/>
          <w14:ligatures w14:val="none"/>
        </w:rPr>
        <w:t>Récolte de l'énergie bleue :</w:t>
      </w:r>
      <w:r>
        <w:rPr>
          <w:rFonts w:eastAsia="Times New Roman" w:cs="Times New Roman" w:ascii="Times New Roman" w:hAnsi="Times New Roman"/>
          <w:kern w:val="0"/>
          <w:lang w:eastAsia="fr-FR"/>
          <w14:ligatures w14:val="none"/>
        </w:rPr>
        <w:t xml:space="preserve"> Contrairement aux générateurs électromagnétiques, les TENG excellent dans la conversion des mouvements lents et irréguliers. En réseaux flottants, ils permettent de transformer l'énergie des vagues en électricité avec un rendement élevé, ouvrant la voie à une exploitation durable de l'énergie des océans.</w:t>
      </w:r>
    </w:p>
    <w:p>
      <w:pPr>
        <w:pStyle w:val="ListParagraph"/>
        <w:numPr>
          <w:ilvl w:val="0"/>
          <w:numId w:val="27"/>
        </w:numPr>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eastAsia="fr-FR"/>
          <w14:ligatures w14:val="none"/>
        </w:rPr>
        <w:t>Systèmes biomédicaux autonomes :</w:t>
      </w:r>
      <w:r>
        <w:rPr>
          <w:rFonts w:eastAsia="Times New Roman" w:cs="Times New Roman" w:ascii="Times New Roman" w:hAnsi="Times New Roman"/>
          <w:kern w:val="0"/>
          <w:lang w:eastAsia="fr-FR"/>
          <w14:ligatures w14:val="none"/>
        </w:rPr>
        <w:t xml:space="preserve"> Grâce à leur biocompatibilité, les TENG sont utilisés comme capteurs physiologiques (pouls, respiration) ou pour alimenter des dispositifs implantables (pacemakers). Le mouvement naturel du corps devient alors une source d'énergie continue, éliminant les risques liés au remplacement chirurgical des batteries.</w:t>
      </w:r>
    </w:p>
    <w:p>
      <w:pPr>
        <w:pStyle w:val="ListParagraph"/>
        <w:numPr>
          <w:ilvl w:val="0"/>
          <w:numId w:val="27"/>
        </w:numPr>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eastAsia="fr-FR"/>
          <w14:ligatures w14:val="none"/>
        </w:rPr>
        <w:t>Interfaces Homme-Machine (HMI) :</w:t>
      </w:r>
      <w:r>
        <w:rPr>
          <w:rFonts w:eastAsia="Times New Roman" w:cs="Times New Roman" w:ascii="Times New Roman" w:hAnsi="Times New Roman"/>
          <w:kern w:val="0"/>
          <w:lang w:eastAsia="fr-FR"/>
          <w14:ligatures w14:val="none"/>
        </w:rPr>
        <w:t xml:space="preserve"> Les TENG agissent comme des capteurs tactiles auto-générateurs. Chaque interaction physique est convertie en un signal électrique, permettant le développement de peaux électroniques et de contrôleurs intelligents. </w:t>
      </w:r>
      <w:r>
        <w:rPr>
          <w:rFonts w:eastAsia="Times New Roman" w:cs="Times New Roman" w:ascii="Times New Roman" w:hAnsi="Times New Roman"/>
          <w:i/>
          <w:iCs/>
          <w:kern w:val="0"/>
          <w:lang w:eastAsia="fr-FR"/>
          <w14:ligatures w14:val="none"/>
        </w:rPr>
        <w:t>C’est dans cette dynamique que s’inscrit notre projet de tapis intelligent, transformant la pression mécanique en donnée numérique</w:t>
      </w:r>
    </w:p>
    <w:p>
      <w:pPr>
        <w:pStyle w:val="ListParagraph"/>
        <w:spacing w:lineRule="auto" w:line="360"/>
        <w:rPr>
          <w:rFonts w:ascii="Times New Roman" w:hAnsi="Times New Roman" w:eastAsia="Times New Roman" w:cs="Times New Roman"/>
          <w:b/>
          <w:bCs/>
          <w:kern w:val="0"/>
          <w:lang w:eastAsia="fr-FR"/>
          <w14:ligatures w14:val="none"/>
        </w:rPr>
      </w:pPr>
      <w:r>
        <w:rPr>
          <w:rFonts w:eastAsia="Times New Roman" w:cs="Times New Roman" w:ascii="Times New Roman" w:hAnsi="Times New Roman"/>
          <w:b/>
          <w:bCs/>
          <w:kern w:val="0"/>
          <w:lang w:eastAsia="fr-FR"/>
          <w14:ligatures w14:val="none"/>
        </w:rPr>
      </w:r>
    </w:p>
    <w:p>
      <w:pPr>
        <w:pStyle w:val="ListParagraph"/>
        <w:numPr>
          <w:ilvl w:val="0"/>
          <w:numId w:val="1"/>
        </w:numPr>
        <w:spacing w:lineRule="auto" w:line="360"/>
        <w:rPr>
          <w:rFonts w:ascii="Times New Roman" w:hAnsi="Times New Roman" w:eastAsia="Times New Roman" w:cs="Times New Roman"/>
          <w:b/>
          <w:bCs/>
          <w:kern w:val="0"/>
          <w:lang w:eastAsia="fr-FR"/>
          <w14:ligatures w14:val="none"/>
        </w:rPr>
      </w:pPr>
      <w:r>
        <w:rPr>
          <w:rFonts w:eastAsia="Times New Roman" w:cs="Times New Roman" w:ascii="Times New Roman" w:hAnsi="Times New Roman"/>
          <w:b/>
          <w:bCs/>
          <w:kern w:val="0"/>
          <w:lang w:eastAsia="fr-FR"/>
          <w14:ligatures w14:val="none"/>
        </w:rPr>
        <w:t>Défis Futurs et Intégration dans l'IoT :</w:t>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t>Malgré leur potentiel, le passage du laboratoire à une application industrielle IoT nécessite de lever plusieurs verrous scientifiques :</w:t>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eastAsia="fr-FR"/>
          <w14:ligatures w14:val="none"/>
        </w:rPr>
        <w:t>6.1 Durabilité et Fiabilité des Matériaux :</w:t>
      </w:r>
      <w:r>
        <w:rPr>
          <w:rFonts w:eastAsia="Times New Roman" w:cs="Times New Roman" w:ascii="Times New Roman" w:hAnsi="Times New Roman"/>
          <w:kern w:val="0"/>
          <w:lang w:eastAsia="fr-FR"/>
          <w14:ligatures w14:val="none"/>
        </w:rPr>
        <w:t xml:space="preserve"> L'usure mécanique par friction répétée dégrade les microstructures de surface, réduisant la densité de charge au fil du temps. La recherche s'oriente vers le mode "freestanding" (sans contact direct) ou l'utilisation de polymères auto-réparateurs pour prolonger la longévité des dispositifs.</w:t>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eastAsia="fr-FR"/>
          <w14:ligatures w14:val="none"/>
        </w:rPr>
        <w:t xml:space="preserve">6.2 Étanchéité et Packaging : </w:t>
      </w:r>
      <w:r>
        <w:rPr>
          <w:rFonts w:eastAsia="Times New Roman" w:cs="Times New Roman" w:ascii="Times New Roman" w:hAnsi="Times New Roman"/>
          <w:kern w:val="0"/>
          <w:lang w:eastAsia="fr-FR"/>
          <w14:ligatures w14:val="none"/>
        </w:rPr>
        <w:t>La performance triboélectrique est extrêmement sensible à l'humidité ambiante, qui favorise la fuite des charges. Un packaging hermétique, mais flexible, est indispensable pour les applications en milieu marin ou pour les capteurs biomédicaux implantables.</w:t>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eastAsia="fr-FR"/>
          <w14:ligatures w14:val="none"/>
        </w:rPr>
        <w:t>6.3 Adaptation d'Impédance et Miniaturisation :</w:t>
      </w:r>
      <w:r>
        <w:rPr>
          <w:rFonts w:eastAsia="Times New Roman" w:cs="Times New Roman" w:ascii="Times New Roman" w:hAnsi="Times New Roman"/>
          <w:kern w:val="0"/>
          <w:lang w:eastAsia="fr-FR"/>
          <w14:ligatures w14:val="none"/>
        </w:rPr>
        <w:t xml:space="preserve"> L'impédance de sortie très élevée des TENG (plusieurs MΩ) est incompatible avec la basse impédance des composants électroniques standards. Le défi réside dans la conception de circuits de gestion de l'énergie (PMM) ultra-compacts capables de convertir efficacement ces pics de tension en un courant stable pour les protocoles de transmission (WiFi, Bluetooth).</w:t>
      </w:r>
    </w:p>
    <w:p>
      <w:pPr>
        <w:pStyle w:val="ListParagraph"/>
        <w:spacing w:lineRule="auto" w:line="360"/>
        <w:rPr>
          <w:rFonts w:ascii="Times New Roman" w:hAnsi="Times New Roman" w:eastAsia="Times New Roman" w:cs="Times New Roman"/>
          <w:b/>
          <w:bCs/>
          <w:kern w:val="0"/>
          <w:lang w:eastAsia="fr-FR"/>
          <w14:ligatures w14:val="none"/>
        </w:rPr>
      </w:pPr>
      <w:r>
        <w:rPr>
          <w:rFonts w:eastAsia="Times New Roman" w:cs="Times New Roman" w:ascii="Times New Roman" w:hAnsi="Times New Roman"/>
          <w:b/>
          <w:bCs/>
          <w:kern w:val="0"/>
          <w:lang w:eastAsia="fr-FR"/>
          <w14:ligatures w14:val="none"/>
        </w:rPr>
      </w:r>
    </w:p>
    <w:p>
      <w:pPr>
        <w:pStyle w:val="ListParagraph"/>
        <w:numPr>
          <w:ilvl w:val="0"/>
          <w:numId w:val="4"/>
        </w:numPr>
        <w:spacing w:lineRule="auto" w:line="360" w:beforeAutospacing="1" w:afterAutospacing="1"/>
        <w:contextualSpacing/>
        <w:outlineLvl w:val="2"/>
        <w:rPr>
          <w:rFonts w:ascii="Times New Roman" w:hAnsi="Times New Roman" w:eastAsia="Times New Roman" w:cs="Times New Roman"/>
          <w:b/>
          <w:bCs/>
          <w:kern w:val="0"/>
          <w:sz w:val="27"/>
          <w:szCs w:val="27"/>
          <w:lang w:eastAsia="fr-FR"/>
          <w14:ligatures w14:val="none"/>
        </w:rPr>
      </w:pPr>
      <w:r>
        <w:rPr>
          <w:rFonts w:eastAsia="Times New Roman" w:cs="Times New Roman" w:ascii="Times New Roman" w:hAnsi="Times New Roman"/>
          <w:b/>
          <w:bCs/>
          <w:kern w:val="0"/>
          <w:sz w:val="27"/>
          <w:szCs w:val="27"/>
          <w:lang w:eastAsia="fr-FR"/>
          <w14:ligatures w14:val="none"/>
        </w:rPr>
        <w:t>Note :</w:t>
      </w:r>
    </w:p>
    <w:p>
      <w:pPr>
        <w:pStyle w:val="ListParagraph"/>
        <w:spacing w:lineRule="auto" w:line="360" w:beforeAutospacing="1" w:afterAutospacing="1"/>
        <w:contextualSpacing/>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t xml:space="preserve">Cette partie conclut parfaitement que la </w:t>
      </w:r>
      <w:r>
        <w:rPr>
          <w:rFonts w:eastAsia="Times New Roman" w:cs="Times New Roman" w:ascii="Times New Roman" w:hAnsi="Times New Roman"/>
          <w:b/>
          <w:bCs/>
          <w:kern w:val="0"/>
          <w:lang w:eastAsia="fr-FR"/>
          <w14:ligatures w14:val="none"/>
        </w:rPr>
        <w:t>Contact-Electrification</w:t>
      </w:r>
      <w:r>
        <w:rPr>
          <w:rFonts w:eastAsia="Times New Roman" w:cs="Times New Roman" w:ascii="Times New Roman" w:hAnsi="Times New Roman"/>
          <w:kern w:val="0"/>
          <w:lang w:eastAsia="fr-FR"/>
          <w14:ligatures w14:val="none"/>
        </w:rPr>
        <w:t xml:space="preserve"> n'est pas seulement un concept physique, mais le moteur d'une nouvelle ère de systèmes autonomes et durables.</w:t>
      </w:r>
    </w:p>
    <w:p>
      <w:pPr>
        <w:pStyle w:val="Normal"/>
        <w:spacing w:lineRule="auto" w:line="360"/>
        <w:rPr>
          <w:rFonts w:ascii="Times New Roman" w:hAnsi="Times New Roman" w:cs="Times New Roman"/>
          <w:b/>
          <w:bCs/>
        </w:rPr>
      </w:pPr>
      <w:r>
        <w:rPr>
          <w:rFonts w:cs="Times New Roman" w:ascii="Times New Roman" w:hAnsi="Times New Roman"/>
          <w:b/>
          <w:bCs/>
        </w:rPr>
        <w:t>Chapitre V : Conception et Architecture du Prototype :</w:t>
      </w:r>
    </w:p>
    <w:p>
      <w:pPr>
        <w:pStyle w:val="Normal"/>
        <w:spacing w:lineRule="auto" w:line="360"/>
        <w:rPr>
          <w:rFonts w:ascii="Times New Roman" w:hAnsi="Times New Roman" w:cs="Times New Roman"/>
        </w:rPr>
      </w:pPr>
      <w:r>
        <w:rPr>
          <w:rFonts w:cs="Times New Roman" w:ascii="Times New Roman" w:hAnsi="Times New Roman"/>
        </w:rPr>
        <w:t>La performance d'un TENG ne dépend pas uniquement de la force mécanique appliquée, mais de la capacité intrinsèque des surfaces à échanger des charges. Cette étape de sélection est le pilier de la conception du prototype.</w:t>
      </w:r>
    </w:p>
    <w:p>
      <w:pPr>
        <w:pStyle w:val="ListParagraph"/>
        <w:spacing w:lineRule="auto" w:line="360"/>
        <w:rPr>
          <w:rFonts w:ascii="Times New Roman" w:hAnsi="Times New Roman" w:cs="Times New Roman"/>
          <w:b/>
          <w:bCs/>
        </w:rPr>
      </w:pPr>
      <w:r>
        <w:rPr>
          <w:rFonts w:cs="Times New Roman" w:ascii="Times New Roman" w:hAnsi="Times New Roman"/>
          <w:b/>
          <w:bCs/>
        </w:rPr>
        <w:t>5.1Sélection des Matériaux et Série Triboélectrique :</w:t>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t xml:space="preserve">Le tri des matériaux s'effectue en comparant leur </w:t>
      </w:r>
      <w:r>
        <w:rPr>
          <w:rFonts w:eastAsia="Times New Roman" w:cs="Times New Roman" w:ascii="Times New Roman" w:hAnsi="Times New Roman"/>
          <w:b/>
          <w:bCs/>
          <w:kern w:val="0"/>
          <w:lang w:eastAsia="fr-FR"/>
          <w14:ligatures w14:val="none"/>
        </w:rPr>
        <w:t>affinité électronique</w:t>
      </w:r>
      <w:r>
        <w:rPr>
          <w:rFonts w:eastAsia="Times New Roman" w:cs="Times New Roman" w:ascii="Times New Roman" w:hAnsi="Times New Roman"/>
          <w:kern w:val="0"/>
          <w:lang w:eastAsia="fr-FR"/>
          <w14:ligatures w14:val="none"/>
        </w:rPr>
        <w:t>. Dans notre démarche expérimentale, nous avons confronté plusieurs matériaux à une référence (souvent l'Aluminium). En mesurant la densité de charge transférée, nous avons pu positionner nos candidats sur l'échelle :</w:t>
      </w:r>
    </w:p>
    <w:p>
      <w:pPr>
        <w:pStyle w:val="ListParagraph"/>
        <w:numPr>
          <w:ilvl w:val="0"/>
          <w:numId w:val="15"/>
        </w:numPr>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eastAsia="fr-FR"/>
          <w14:ligatures w14:val="none"/>
        </w:rPr>
        <w:t>Pôle Positif (Donneurs d'électrons) :</w:t>
      </w:r>
      <w:r>
        <w:rPr>
          <w:rFonts w:eastAsia="Times New Roman" w:cs="Times New Roman" w:ascii="Times New Roman" w:hAnsi="Times New Roman"/>
          <w:kern w:val="0"/>
          <w:lang w:eastAsia="fr-FR"/>
          <w14:ligatures w14:val="none"/>
        </w:rPr>
        <w:t xml:space="preserve"> Peau, Nylon, Aluminium.</w:t>
      </w:r>
    </w:p>
    <w:p>
      <w:pPr>
        <w:pStyle w:val="ListParagraph"/>
        <w:numPr>
          <w:ilvl w:val="0"/>
          <w:numId w:val="15"/>
        </w:numPr>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eastAsia="fr-FR"/>
          <w14:ligatures w14:val="none"/>
        </w:rPr>
        <w:t>Pôle Négatif (Accepteurs d'électrons) :</w:t>
      </w:r>
      <w:r>
        <w:rPr>
          <w:rFonts w:eastAsia="Times New Roman" w:cs="Times New Roman" w:ascii="Times New Roman" w:hAnsi="Times New Roman"/>
          <w:kern w:val="0"/>
          <w:lang w:eastAsia="fr-FR"/>
          <w14:ligatures w14:val="none"/>
        </w:rPr>
        <w:t xml:space="preserve"> Silicone, Kapton, PTFE (Téflon).</w:t>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t>L'objectif est de maximiser l'écart entre les deux matériaux choisis pour accroître la tension de sortie ($V_{oc}$), car plus l'écart sur l'échelle est grand, plus la barrière de potentiel lors du contact est facile à franchir par effet tunnel (Modèle de Wang).</w:t>
      </w:r>
    </w:p>
    <w:p>
      <w:pPr>
        <w:pStyle w:val="ListParagraph"/>
        <w:spacing w:lineRule="auto" w:line="360"/>
        <w:rPr>
          <w:rFonts w:ascii="Times New Roman" w:hAnsi="Times New Roman" w:eastAsia="Times New Roman" w:cs="Times New Roman"/>
          <w:b/>
          <w:bCs/>
          <w:kern w:val="0"/>
          <w:lang w:eastAsia="fr-FR"/>
          <w14:ligatures w14:val="none"/>
        </w:rPr>
      </w:pPr>
      <w:r>
        <w:rPr>
          <w:rFonts w:eastAsia="Times New Roman" w:cs="Times New Roman" w:ascii="Times New Roman" w:hAnsi="Times New Roman"/>
          <w:b/>
          <w:bCs/>
          <w:kern w:val="0"/>
          <w:lang w:eastAsia="fr-FR"/>
          <w14:ligatures w14:val="none"/>
        </w:rPr>
        <w:t>5.2 Protocole de Mesure de la Densité de Charge de Surface ($\sigma$)</w:t>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t xml:space="preserve">Pour quantifier ce tri, un dispositif de test a été imaginé. En utilisant un électromètre de haute précision, nous mesurons la quantité de nanocoulombs accumulée par unité de surface après 100 cycles de contact-séparation. Cette mesure permet de valider le choix du couple </w:t>
      </w:r>
      <w:r>
        <w:rPr>
          <w:rFonts w:eastAsia="Times New Roman" w:cs="Times New Roman" w:ascii="Times New Roman" w:hAnsi="Times New Roman"/>
          <w:b/>
          <w:bCs/>
          <w:kern w:val="0"/>
          <w:lang w:eastAsia="fr-FR"/>
          <w14:ligatures w14:val="none"/>
        </w:rPr>
        <w:t>Aluminium/Téflon</w:t>
      </w:r>
      <w:r>
        <w:rPr>
          <w:rFonts w:eastAsia="Times New Roman" w:cs="Times New Roman" w:ascii="Times New Roman" w:hAnsi="Times New Roman"/>
          <w:kern w:val="0"/>
          <w:lang w:eastAsia="fr-FR"/>
          <w14:ligatures w14:val="none"/>
        </w:rPr>
        <w:t xml:space="preserve"> pour notre tapis, ce dernier présentant une stabilité thermique et chimique supérieure pour des applications répétitives.</w:t>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t xml:space="preserve">D'après </w:t>
      </w:r>
      <w:r>
        <w:rPr>
          <w:rFonts w:eastAsia="Times New Roman" w:cs="Times New Roman" w:ascii="Times New Roman" w:hAnsi="Times New Roman"/>
          <w:b/>
          <w:bCs/>
          <w:kern w:val="0"/>
          <w:lang w:eastAsia="fr-FR"/>
          <w14:ligatures w14:val="none"/>
        </w:rPr>
        <w:t>Wang (2019)</w:t>
      </w:r>
      <w:r>
        <w:rPr>
          <w:rFonts w:eastAsia="Times New Roman" w:cs="Times New Roman" w:ascii="Times New Roman" w:hAnsi="Times New Roman"/>
          <w:kern w:val="0"/>
          <w:lang w:eastAsia="fr-FR"/>
          <w14:ligatures w14:val="none"/>
        </w:rPr>
        <w:t xml:space="preserve">, lors du contact, les fonctions d'onde des électrons de l'Aluminium et du PTFE se chevauchent. L'application d'une force mécanique abaisse la barrière de potentiel, permettant aux électrons de passer par </w:t>
      </w:r>
      <w:r>
        <w:rPr>
          <w:rFonts w:eastAsia="Times New Roman" w:cs="Times New Roman" w:ascii="Times New Roman" w:hAnsi="Times New Roman"/>
          <w:b/>
          <w:bCs/>
          <w:kern w:val="0"/>
          <w:lang w:eastAsia="fr-FR"/>
          <w14:ligatures w14:val="none"/>
        </w:rPr>
        <w:t>effet tunnel</w:t>
      </w:r>
      <w:r>
        <w:rPr>
          <w:rFonts w:eastAsia="Times New Roman" w:cs="Times New Roman" w:ascii="Times New Roman" w:hAnsi="Times New Roman"/>
          <w:kern w:val="0"/>
          <w:lang w:eastAsia="fr-FR"/>
          <w14:ligatures w14:val="none"/>
        </w:rPr>
        <w:t xml:space="preserve"> de l'Alu vers le PTFE.</w:t>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drawing>
          <wp:anchor behindDoc="0" distT="0" distB="0" distL="0" distR="114300" simplePos="0" locked="0" layoutInCell="0" allowOverlap="1" relativeHeight="16">
            <wp:simplePos x="0" y="0"/>
            <wp:positionH relativeFrom="margin">
              <wp:align>left</wp:align>
            </wp:positionH>
            <wp:positionV relativeFrom="margin">
              <wp:align>top</wp:align>
            </wp:positionV>
            <wp:extent cx="5760720" cy="7732395"/>
            <wp:effectExtent l="0" t="0" r="0" b="0"/>
            <wp:wrapSquare wrapText="bothSides"/>
            <wp:docPr id="16" name="Image9" descr="Une image contenant texte, capture d’écran, Parallèl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descr="Une image contenant texte, capture d’écran, Parallèle, diagramme&#10;&#10;Le contenu généré par l’IA peut être incorrect."/>
                    <pic:cNvPicPr>
                      <a:picLocks noChangeAspect="1" noChangeArrowheads="1"/>
                    </pic:cNvPicPr>
                  </pic:nvPicPr>
                  <pic:blipFill>
                    <a:blip r:embed="rId9"/>
                    <a:stretch>
                      <a:fillRect/>
                    </a:stretch>
                  </pic:blipFill>
                  <pic:spPr bwMode="auto">
                    <a:xfrm>
                      <a:off x="0" y="0"/>
                      <a:ext cx="5760720" cy="7732395"/>
                    </a:xfrm>
                    <a:prstGeom prst="rect">
                      <a:avLst/>
                    </a:prstGeom>
                    <a:noFill/>
                  </pic:spPr>
                </pic:pic>
              </a:graphicData>
            </a:graphic>
          </wp:anchor>
        </w:drawing>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t xml:space="preserve">Adapté de </w:t>
      </w:r>
      <w:r>
        <w:rPr>
          <w:rFonts w:eastAsia="Times New Roman" w:cs="Times New Roman" w:ascii="Times New Roman" w:hAnsi="Times New Roman"/>
          <w:i/>
          <w:iCs/>
          <w:kern w:val="0"/>
          <w:lang w:eastAsia="fr-FR"/>
          <w14:ligatures w14:val="none"/>
        </w:rPr>
        <w:t>Wang et al. (2019)</w:t>
      </w:r>
      <w:r>
        <w:rPr>
          <w:rFonts w:eastAsia="Times New Roman" w:cs="Times New Roman" w:ascii="Times New Roman" w:hAnsi="Times New Roman"/>
          <w:kern w:val="0"/>
          <w:lang w:eastAsia="fr-FR"/>
          <w14:ligatures w14:val="none"/>
        </w:rPr>
        <w:t>, Figure 3 (Article 1). Cette image illustre la position des polymères courants.</w:t>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r>
    </w:p>
    <w:p>
      <w:pPr>
        <w:pStyle w:val="ListParagraph"/>
        <w:spacing w:lineRule="auto" w:line="360"/>
        <w:rPr>
          <w:rFonts w:ascii="Times New Roman" w:hAnsi="Times New Roman" w:cs="Times New Roman"/>
          <w:b/>
          <w:bCs/>
        </w:rPr>
      </w:pPr>
      <w:r>
        <w:rPr>
          <w:rFonts w:cs="Times New Roman" w:ascii="Times New Roman" w:hAnsi="Times New Roman"/>
          <w:b/>
          <w:bCs/>
        </w:rPr>
        <w:t>Design Mécanique (Mode Contact-Séparation) :</w:t>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t xml:space="preserve">Le prototype adopte une structure multicouche. L'élément clé est le </w:t>
      </w:r>
      <w:r>
        <w:rPr>
          <w:rFonts w:eastAsia="Times New Roman" w:cs="Times New Roman" w:ascii="Times New Roman" w:hAnsi="Times New Roman"/>
          <w:b/>
          <w:bCs/>
          <w:kern w:val="0"/>
          <w:lang w:eastAsia="fr-FR"/>
          <w14:ligatures w14:val="none"/>
        </w:rPr>
        <w:t>spacer</w:t>
      </w:r>
      <w:r>
        <w:rPr>
          <w:rFonts w:eastAsia="Times New Roman" w:cs="Times New Roman" w:ascii="Times New Roman" w:hAnsi="Times New Roman"/>
          <w:kern w:val="0"/>
          <w:lang w:eastAsia="fr-FR"/>
          <w14:ligatures w14:val="none"/>
        </w:rPr>
        <w:t xml:space="preserve"> (espaceur). Selon les équations de Maxwell-Wang, la distance de séparation ($z$) définit le potentiel. Nous utilisons une mousse polymère élastique de 4 mm pour garantir un retour élastique constant après chaque pression (cycle de marche).</w:t>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t xml:space="preserve">1. </w:t>
      </w:r>
      <w:r>
        <w:rPr>
          <w:rFonts w:eastAsia="Times New Roman" w:cs="Times New Roman" w:ascii="Times New Roman" w:hAnsi="Times New Roman"/>
          <w:b/>
          <w:bCs/>
          <w:kern w:val="0"/>
          <w:lang w:eastAsia="fr-FR"/>
          <w14:ligatures w14:val="none"/>
        </w:rPr>
        <w:t>L'électrode supérieure</w:t>
      </w:r>
      <w:r>
        <w:rPr>
          <w:rFonts w:eastAsia="Times New Roman" w:cs="Times New Roman" w:ascii="Times New Roman" w:hAnsi="Times New Roman"/>
          <w:kern w:val="0"/>
          <w:lang w:eastAsia="fr-FR"/>
          <w14:ligatures w14:val="none"/>
        </w:rPr>
        <w:t xml:space="preserve"> est constituée d'un film d'aluminium fin, qui sert à la fois de matériau de contact et de collecteur de courant.</w:t>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t xml:space="preserve">2.  </w:t>
      </w:r>
      <w:r>
        <w:rPr>
          <w:rFonts w:eastAsia="Times New Roman" w:cs="Times New Roman" w:ascii="Times New Roman" w:hAnsi="Times New Roman"/>
          <w:b/>
          <w:bCs/>
          <w:kern w:val="0"/>
          <w:lang w:eastAsia="fr-FR"/>
          <w14:ligatures w14:val="none"/>
        </w:rPr>
        <w:t>La couche diélectrique</w:t>
      </w:r>
      <w:r>
        <w:rPr>
          <w:rFonts w:eastAsia="Times New Roman" w:cs="Times New Roman" w:ascii="Times New Roman" w:hAnsi="Times New Roman"/>
          <w:kern w:val="0"/>
          <w:lang w:eastAsia="fr-FR"/>
          <w14:ligatures w14:val="none"/>
        </w:rPr>
        <w:t xml:space="preserve"> de PTFE est déposée directement sur cette électrode pour minimiser l'épaisseur du dispositif.</w:t>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t xml:space="preserve">3.   </w:t>
      </w:r>
      <w:r>
        <w:rPr>
          <w:rFonts w:eastAsia="Times New Roman" w:cs="Times New Roman" w:ascii="Times New Roman" w:hAnsi="Times New Roman"/>
          <w:b/>
          <w:bCs/>
          <w:kern w:val="0"/>
          <w:lang w:eastAsia="fr-FR"/>
          <w14:ligatures w14:val="none"/>
        </w:rPr>
        <w:t>L'espaceur (Spacer) :</w:t>
      </w:r>
      <w:r>
        <w:rPr>
          <w:rFonts w:eastAsia="Times New Roman" w:cs="Times New Roman" w:ascii="Times New Roman" w:hAnsi="Times New Roman"/>
          <w:kern w:val="0"/>
          <w:lang w:eastAsia="fr-FR"/>
          <w14:ligatures w14:val="none"/>
        </w:rPr>
        <w:t xml:space="preserve"> L'élément crucial est l'introduction d'un ressort en mousse élastomère. Ce mécanisme garantit que les deux surfaces ne restent pas en contact permanent, respectant ainsi le cycle thermodynamique nécessaire à la variation du courant de déplacement de Maxwell.</w:t>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r>
    </w:p>
    <w:p>
      <w:pPr>
        <w:pStyle w:val="ListParagraph"/>
        <w:spacing w:lineRule="auto" w:line="360"/>
        <w:rPr>
          <w:rFonts w:ascii="Times New Roman" w:hAnsi="Times New Roman" w:eastAsia="Times New Roman" w:cs="Times New Roman"/>
          <w:b/>
          <w:bCs/>
          <w:kern w:val="0"/>
          <w:lang w:eastAsia="fr-FR"/>
          <w14:ligatures w14:val="none"/>
        </w:rPr>
      </w:pPr>
      <w:r>
        <w:rPr>
          <w:rFonts w:eastAsia="Times New Roman" w:cs="Times New Roman" w:ascii="Times New Roman" w:hAnsi="Times New Roman"/>
          <w:b/>
          <w:bCs/>
          <w:kern w:val="0"/>
          <w:lang w:eastAsia="fr-FR"/>
          <w14:ligatures w14:val="none"/>
        </w:rPr>
        <w:t>VI. Électronique de Conditionnement et Gestion de l'Énergie</w:t>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t xml:space="preserve">Comme le souligne l'article </w:t>
      </w:r>
      <w:r>
        <w:rPr>
          <w:rFonts w:eastAsia="Times New Roman" w:cs="Times New Roman" w:ascii="Times New Roman" w:hAnsi="Times New Roman"/>
          <w:i/>
          <w:iCs/>
          <w:kern w:val="0"/>
          <w:lang w:eastAsia="fr-FR"/>
          <w14:ligatures w14:val="none"/>
        </w:rPr>
        <w:t>27-1--.pdf</w:t>
      </w:r>
      <w:r>
        <w:rPr>
          <w:rFonts w:eastAsia="Times New Roman" w:cs="Times New Roman" w:ascii="Times New Roman" w:hAnsi="Times New Roman"/>
          <w:kern w:val="0"/>
          <w:lang w:eastAsia="fr-FR"/>
          <w14:ligatures w14:val="none"/>
        </w:rPr>
        <w:t xml:space="preserve"> (Cheng &amp; Gu), le TENG est une source à </w:t>
      </w:r>
      <w:r>
        <w:rPr>
          <w:rFonts w:eastAsia="Times New Roman" w:cs="Times New Roman" w:ascii="Times New Roman" w:hAnsi="Times New Roman"/>
          <w:b/>
          <w:bCs/>
          <w:kern w:val="0"/>
          <w:lang w:eastAsia="fr-FR"/>
          <w14:ligatures w14:val="none"/>
        </w:rPr>
        <w:t>haute impédance</w:t>
      </w:r>
      <w:r>
        <w:rPr>
          <w:rFonts w:eastAsia="Times New Roman" w:cs="Times New Roman" w:ascii="Times New Roman" w:hAnsi="Times New Roman"/>
          <w:kern w:val="0"/>
          <w:lang w:eastAsia="fr-FR"/>
          <w14:ligatures w14:val="none"/>
        </w:rPr>
        <w:t>. Sans circuit de gestion (PMC), 90% de l'énergie est perdue par désadaptation d'impédance.</w:t>
      </w:r>
    </w:p>
    <w:p>
      <w:pPr>
        <w:pStyle w:val="ListParagraph"/>
        <w:spacing w:lineRule="auto" w:line="360"/>
        <w:rPr>
          <w:rFonts w:ascii="Times New Roman" w:hAnsi="Times New Roman" w:eastAsia="Times New Roman" w:cs="Times New Roman"/>
          <w:b/>
          <w:bCs/>
          <w:kern w:val="0"/>
          <w:lang w:eastAsia="fr-FR"/>
          <w14:ligatures w14:val="none"/>
        </w:rPr>
      </w:pPr>
      <w:r>
        <w:rPr>
          <w:rFonts w:eastAsia="Times New Roman" w:cs="Times New Roman" w:ascii="Times New Roman" w:hAnsi="Times New Roman"/>
          <w:b/>
          <w:bCs/>
          <w:kern w:val="0"/>
          <w:lang w:eastAsia="fr-FR"/>
          <w14:ligatures w14:val="none"/>
        </w:rPr>
        <w:t>6.1 Redressement et Conversion (AC-DC)</w:t>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t xml:space="preserve">Le TENG génère un courant alternatif pulsé. Nous implémentons un </w:t>
      </w:r>
      <w:r>
        <w:rPr>
          <w:rFonts w:eastAsia="Times New Roman" w:cs="Times New Roman" w:ascii="Times New Roman" w:hAnsi="Times New Roman"/>
          <w:b/>
          <w:bCs/>
          <w:kern w:val="0"/>
          <w:lang w:eastAsia="fr-FR"/>
          <w14:ligatures w14:val="none"/>
        </w:rPr>
        <w:t>pont de diodes de Graetz</w:t>
      </w:r>
      <w:r>
        <w:rPr>
          <w:rFonts w:eastAsia="Times New Roman" w:cs="Times New Roman" w:ascii="Times New Roman" w:hAnsi="Times New Roman"/>
          <w:kern w:val="0"/>
          <w:lang w:eastAsia="fr-FR"/>
          <w14:ligatures w14:val="none"/>
        </w:rPr>
        <w:t xml:space="preserve"> utilisant des diodes de commutation rapide (1N4148). Ce circuit redresse les pics de tension négatifs générés lors de la séparation pour les rendre utilisables par un stockage continu.</w:t>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t xml:space="preserve">Selon l'article de </w:t>
      </w:r>
      <w:r>
        <w:rPr>
          <w:rFonts w:eastAsia="Times New Roman" w:cs="Times New Roman" w:ascii="Times New Roman" w:hAnsi="Times New Roman"/>
          <w:b/>
          <w:bCs/>
          <w:kern w:val="0"/>
          <w:lang w:eastAsia="fr-FR"/>
          <w14:ligatures w14:val="none"/>
        </w:rPr>
        <w:t>Cheng &amp; Gu</w:t>
      </w:r>
      <w:r>
        <w:rPr>
          <w:rFonts w:eastAsia="Times New Roman" w:cs="Times New Roman" w:ascii="Times New Roman" w:hAnsi="Times New Roman"/>
          <w:kern w:val="0"/>
          <w:lang w:eastAsia="fr-FR"/>
          <w14:ligatures w14:val="none"/>
        </w:rPr>
        <w:t>, l'utilisation de diodes à faible chute de tension directe (Schottky) est préconisée pour minimiser les pertes énergétiques lors de la conversion. Ce redressement permet de transformer les pics bipolaires en une tension unidirectionnelle.</w:t>
      </w:r>
    </w:p>
    <w:p>
      <w:pPr>
        <w:pStyle w:val="ListParagraph"/>
        <w:numPr>
          <w:ilvl w:val="0"/>
          <w:numId w:val="16"/>
        </w:numPr>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eastAsia="fr-FR"/>
          <w14:ligatures w14:val="none"/>
        </w:rPr>
        <w:t>Adaptation d'impédance :</w:t>
      </w:r>
      <w:r>
        <w:rPr>
          <w:rFonts w:eastAsia="Times New Roman" w:cs="Times New Roman" w:ascii="Times New Roman" w:hAnsi="Times New Roman"/>
          <w:kern w:val="0"/>
          <w:lang w:eastAsia="fr-FR"/>
          <w14:ligatures w14:val="none"/>
        </w:rPr>
        <w:t xml:space="preserve"> Pour maximiser le transfert de puissance vers l'IoT, nous insérons un transformateur abaisseur ou un circuit "Buck Converter" pour convertir la haute tension ($&gt;20V$) en un courant plus élevé à basse tension ($3.3V$).</w:t>
      </w:r>
    </w:p>
    <w:p>
      <w:pPr>
        <w:pStyle w:val="ListParagraph"/>
        <w:spacing w:lineRule="auto" w:line="360"/>
        <w:rPr>
          <w:rFonts w:ascii="Times New Roman" w:hAnsi="Times New Roman" w:cs="Times New Roman"/>
          <w:b/>
          <w:bCs/>
        </w:rPr>
      </w:pPr>
      <w:r>
        <w:rPr>
          <w:rFonts w:cs="Times New Roman" w:ascii="Times New Roman" w:hAnsi="Times New Roman"/>
          <w:b/>
          <w:bCs/>
        </w:rPr>
        <w:t>6.2 Stockage et Régulation :</w:t>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t>L'énergie est accumulée dans un condensateur de stockage ($C_{store}$).</w:t>
      </w:r>
    </w:p>
    <w:p>
      <w:pPr>
        <w:pStyle w:val="ListParagraph"/>
        <w:numPr>
          <w:ilvl w:val="0"/>
          <w:numId w:val="17"/>
        </w:numPr>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eastAsia="fr-FR"/>
          <w14:ligatures w14:val="none"/>
        </w:rPr>
        <w:t>Loi de Paschen et Sécurité :</w:t>
      </w:r>
      <w:r>
        <w:rPr>
          <w:rFonts w:eastAsia="Times New Roman" w:cs="Times New Roman" w:ascii="Times New Roman" w:hAnsi="Times New Roman"/>
          <w:kern w:val="0"/>
          <w:lang w:eastAsia="fr-FR"/>
          <w14:ligatures w14:val="none"/>
        </w:rPr>
        <w:t xml:space="preserve"> Le TENG peut produire des tensions dépassant 50V. Pour protéger l'entrée analogique de l'Arduino/ESP32 (limitée à 5V), une </w:t>
      </w:r>
      <w:r>
        <w:rPr>
          <w:rFonts w:eastAsia="Times New Roman" w:cs="Times New Roman" w:ascii="Times New Roman" w:hAnsi="Times New Roman"/>
          <w:b/>
          <w:bCs/>
          <w:kern w:val="0"/>
          <w:lang w:eastAsia="fr-FR"/>
          <w14:ligatures w14:val="none"/>
        </w:rPr>
        <w:t>diode Zener</w:t>
      </w:r>
      <w:r>
        <w:rPr>
          <w:rFonts w:eastAsia="Times New Roman" w:cs="Times New Roman" w:ascii="Times New Roman" w:hAnsi="Times New Roman"/>
          <w:kern w:val="0"/>
          <w:lang w:eastAsia="fr-FR"/>
          <w14:ligatures w14:val="none"/>
        </w:rPr>
        <w:t xml:space="preserve"> de 5.1V est placée en parallèle. Elle agit comme une soupape de sécurité thermique et électrique.</w:t>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t>Le circuit de gestion de puissance (PMM) illustré ci-dessous a été simplifié pour optimiser le transfert d'énergie entre le TENG et l'ESP32.</w:t>
      </w:r>
    </w:p>
    <w:p>
      <w:pPr>
        <w:pStyle w:val="Normal"/>
        <w:numPr>
          <w:ilvl w:val="0"/>
          <w:numId w:val="25"/>
        </w:numPr>
        <w:spacing w:lineRule="auto" w:line="360"/>
        <w:rPr>
          <w:rFonts w:ascii="Times New Roman" w:hAnsi="Times New Roman" w:cs="Times New Roman"/>
          <w:b/>
          <w:bCs/>
        </w:rPr>
      </w:pPr>
      <w:r>
        <w:rPr>
          <w:rFonts w:cs="Times New Roman" w:ascii="Times New Roman" w:hAnsi="Times New Roman"/>
          <w:b/>
          <w:bCs/>
        </w:rPr>
        <w:t>Étage de Rectification (Buck/Bridge) : Utilise un pont de diodes pour redresser le signal alternatif haute impédance.</w:t>
      </w:r>
    </w:p>
    <w:p>
      <w:pPr>
        <w:pStyle w:val="Normal"/>
        <w:numPr>
          <w:ilvl w:val="0"/>
          <w:numId w:val="25"/>
        </w:numPr>
        <w:spacing w:lineRule="auto" w:line="360"/>
        <w:rPr>
          <w:rFonts w:ascii="Times New Roman" w:hAnsi="Times New Roman" w:cs="Times New Roman"/>
          <w:b/>
          <w:bCs/>
        </w:rPr>
      </w:pPr>
      <w:r>
        <w:rPr>
          <w:rFonts w:cs="Times New Roman" w:ascii="Times New Roman" w:hAnsi="Times New Roman"/>
          <w:b/>
          <w:bCs/>
        </w:rPr>
        <w:t>Étage de Stockage (Storage) : Un condensateur C_2 lisse la tension pour créer une réserve d'énergie.</w:t>
      </w:r>
    </w:p>
    <w:p>
      <w:pPr>
        <w:pStyle w:val="Normal"/>
        <w:numPr>
          <w:ilvl w:val="0"/>
          <w:numId w:val="25"/>
        </w:numPr>
        <w:spacing w:lineRule="auto" w:line="360"/>
        <w:rPr>
          <w:rFonts w:ascii="Times New Roman" w:hAnsi="Times New Roman" w:cs="Times New Roman"/>
          <w:b/>
          <w:bCs/>
        </w:rPr>
      </w:pPr>
      <w:r>
        <w:rPr>
          <w:rFonts w:cs="Times New Roman" w:ascii="Times New Roman" w:hAnsi="Times New Roman"/>
          <w:b/>
          <w:bCs/>
        </w:rPr>
        <w:t xml:space="preserve">Étage de Régulation (Regulator) : La diode Zener D_2 (réglée à 3.3V dans notre simulation) assure la protection du microcontrôleur en écrêtant les surtensions, garantissant ainsi un courant continu (DC) stable à la charge R (représentant l'ESP32). </w:t>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t>6.3 Modélisation du circuit de gestion de puissance</w:t>
      </w:r>
    </w:p>
    <w:p>
      <w:pPr>
        <w:pStyle w:val="Normal"/>
        <w:spacing w:lineRule="auto" w:line="360"/>
        <w:rPr>
          <w:rFonts w:ascii="Times New Roman" w:hAnsi="Times New Roman" w:cs="Times New Roman"/>
          <w:b/>
          <w:bCs/>
        </w:rPr>
      </w:pPr>
      <w:r>
        <w:rPr>
          <w:rFonts w:cs="Times New Roman" w:ascii="Times New Roman" w:hAnsi="Times New Roman"/>
          <w:b/>
          <w:bCs/>
        </w:rPr>
        <w:t xml:space="preserve">En raison de l'absence d'un composant "Nanogénérateur" natif dans les bibliothèques de simulation standard, nous avons adopté une approche de modélisation par équivalence. Le TENG est ici représenté par une source de tension alternative couplée à une impédance interne élevée, simulant fidèlement le comportement électrique décrit par </w:t>
      </w:r>
      <w:r>
        <w:rPr>
          <w:rFonts w:cs="Times New Roman" w:ascii="Times New Roman" w:hAnsi="Times New Roman"/>
          <w:b/>
          <w:bCs/>
          <w:i/>
          <w:iCs/>
        </w:rPr>
        <w:t>Wang et al. (2019)</w:t>
      </w:r>
      <w:r>
        <w:rPr>
          <w:rFonts w:cs="Times New Roman" w:ascii="Times New Roman" w:hAnsi="Times New Roman"/>
          <w:b/>
          <w:bCs/>
        </w:rPr>
        <w:t>.</w:t>
      </w:r>
    </w:p>
    <w:p>
      <w:pPr>
        <w:pStyle w:val="Normal"/>
        <w:spacing w:lineRule="auto" w:line="360"/>
        <w:rPr>
          <w:rFonts w:ascii="Times New Roman" w:hAnsi="Times New Roman" w:cs="Times New Roman"/>
        </w:rPr>
      </w:pPr>
      <w:r>
        <w:drawing>
          <wp:anchor behindDoc="0" distT="0" distB="0" distL="114300" distR="114300" simplePos="0" locked="0" layoutInCell="0" allowOverlap="1" relativeHeight="15">
            <wp:simplePos x="0" y="0"/>
            <wp:positionH relativeFrom="margin">
              <wp:align>center</wp:align>
            </wp:positionH>
            <wp:positionV relativeFrom="margin">
              <wp:posOffset>1024255</wp:posOffset>
            </wp:positionV>
            <wp:extent cx="6847205" cy="2889885"/>
            <wp:effectExtent l="0" t="0" r="0" b="0"/>
            <wp:wrapSquare wrapText="bothSides"/>
            <wp:docPr id="17" name="Image10" descr="Une image contenant capture d’écran,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 descr="Une image contenant capture d’écran, diagramme, ligne, Tracé&#10;&#10;Le contenu généré par l’IA peut être incorrect."/>
                    <pic:cNvPicPr>
                      <a:picLocks noChangeAspect="1" noChangeArrowheads="1"/>
                    </pic:cNvPicPr>
                  </pic:nvPicPr>
                  <pic:blipFill>
                    <a:blip r:embed="rId10"/>
                    <a:stretch>
                      <a:fillRect/>
                    </a:stretch>
                  </pic:blipFill>
                  <pic:spPr bwMode="auto">
                    <a:xfrm>
                      <a:off x="0" y="0"/>
                      <a:ext cx="6847205" cy="2889885"/>
                    </a:xfrm>
                    <a:prstGeom prst="rect">
                      <a:avLst/>
                    </a:prstGeom>
                    <a:noFill/>
                  </pic:spPr>
                </pic:pic>
              </a:graphicData>
            </a:graphic>
          </wp:anchor>
        </w:drawing>
      </w:r>
      <w:r>
        <w:rPr>
          <w:rFonts w:eastAsia="Times New Roman" w:cs="Times New Roman" w:ascii="Times New Roman" w:hAnsi="Times New Roman"/>
          <w:i/>
          <w:iCs/>
          <w:kern w:val="0"/>
          <w:lang w:eastAsia="fr-FR"/>
          <w14:ligatures w14:val="none"/>
        </w:rPr>
        <w:t xml:space="preserve"> </w:t>
      </w:r>
      <w:r>
        <w:rPr>
          <w:rFonts w:cs="Times New Roman" w:ascii="Times New Roman" w:hAnsi="Times New Roman"/>
        </w:rPr>
        <w:t>Pour simuler le comportement électrique de notre dispositif, nous avons utilisé le logiciel Falstad. Cependant, ce simulateur ne possédant pas de composant natif nommé "TENG", nous avons modélisé ce dernier par son schéma électrique équivalent.</w:t>
      </w:r>
      <w:r>
        <w:rPr/>
        <w:t xml:space="preserve"> </w:t>
      </w:r>
      <w:r>
        <w:rPr>
          <w:rFonts w:cs="Times New Roman" w:ascii="Times New Roman" w:hAnsi="Times New Roman"/>
        </w:rPr>
        <w:t xml:space="preserve"> </w:t>
      </w:r>
    </w:p>
    <w:p>
      <w:pPr>
        <w:pStyle w:val="Normal"/>
        <w:spacing w:lineRule="auto" w:line="360"/>
        <w:jc w:val="center"/>
        <w:rPr>
          <w:rFonts w:ascii="Times New Roman" w:hAnsi="Times New Roman" w:cs="Times New Roman"/>
        </w:rPr>
      </w:pPr>
      <w:r>
        <w:rPr>
          <w:rFonts w:cs="Times New Roman" w:ascii="Times New Roman" w:hAnsi="Times New Roman"/>
        </w:rPr>
        <w:t>Simulation du circuit de gestion de puissance sous Falstad. On observe la rectification du signal alternatif du TENG en un signal continu (DC) stabilisé pour l'alimentation du microcontrôleur.</w:t>
      </w:r>
    </w:p>
    <w:p>
      <w:pPr>
        <w:pStyle w:val="Normal"/>
        <w:spacing w:lineRule="auto" w:line="360"/>
        <w:ind w:left="720"/>
        <w:jc w:val="center"/>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t xml:space="preserve">Conformément à la théorie de Wang et al. (2019), un TENG se comporte comme une source de tension alternative V_oc en série avec une capacité variable </w:t>
      </w:r>
      <w:r>
        <w:rPr>
          <w:rFonts w:cs="Times New Roman" w:ascii="Times New Roman" w:hAnsi="Times New Roman"/>
          <w:b/>
          <w:bCs/>
          <w:sz w:val="28"/>
          <w:szCs w:val="28"/>
        </w:rPr>
        <w:t>C</w:t>
      </w:r>
      <w:r>
        <w:rPr>
          <w:rFonts w:cs="Times New Roman" w:ascii="Times New Roman" w:hAnsi="Times New Roman"/>
        </w:rPr>
        <w:t>teng. Pour les besoins de la simulation du circuit de management de l'énergie, nous avons représenté le TENG par :</w:t>
      </w:r>
    </w:p>
    <w:p>
      <w:pPr>
        <w:pStyle w:val="Normal"/>
        <w:numPr>
          <w:ilvl w:val="0"/>
          <w:numId w:val="22"/>
        </w:numPr>
        <w:spacing w:lineRule="auto" w:line="360"/>
        <w:rPr>
          <w:rFonts w:ascii="Times New Roman" w:hAnsi="Times New Roman" w:cs="Times New Roman"/>
        </w:rPr>
      </w:pPr>
      <w:r>
        <w:rPr>
          <w:rFonts w:cs="Times New Roman" w:ascii="Times New Roman" w:hAnsi="Times New Roman"/>
        </w:rPr>
        <w:t>Une source de tension alternative carrée (pour simuler les cycles de contact/séparation).</w:t>
      </w:r>
    </w:p>
    <w:p>
      <w:pPr>
        <w:pStyle w:val="Normal"/>
        <w:numPr>
          <w:ilvl w:val="0"/>
          <w:numId w:val="22"/>
        </w:numPr>
        <w:spacing w:lineRule="auto" w:line="360"/>
        <w:rPr>
          <w:rFonts w:ascii="Times New Roman" w:hAnsi="Times New Roman" w:cs="Times New Roman"/>
        </w:rPr>
      </w:pPr>
      <w:r>
        <w:rPr>
          <w:rFonts w:cs="Times New Roman" w:ascii="Times New Roman" w:hAnsi="Times New Roman"/>
        </w:rPr>
        <w:t>Une résistance interne élevée, caractéristique de la haute impédance des matériaux triboélectriques (PTFE/Téflon).</w:t>
      </w:r>
    </w:p>
    <w:p>
      <w:pPr>
        <w:pStyle w:val="Normal"/>
        <w:spacing w:lineRule="auto" w:line="360"/>
        <w:rPr>
          <w:rFonts w:ascii="Times New Roman" w:hAnsi="Times New Roman" w:cs="Times New Roman"/>
        </w:rPr>
      </w:pPr>
      <w:r>
        <w:rPr>
          <w:rFonts w:cs="Times New Roman" w:ascii="Times New Roman" w:hAnsi="Times New Roman"/>
        </w:rPr>
        <w:t>Ce modèle nous a permis de valider les étapes suivantes de la chaîne de puissance :</w:t>
      </w:r>
    </w:p>
    <w:p>
      <w:pPr>
        <w:pStyle w:val="Normal"/>
        <w:numPr>
          <w:ilvl w:val="0"/>
          <w:numId w:val="23"/>
        </w:numPr>
        <w:spacing w:lineRule="auto" w:line="360"/>
        <w:rPr>
          <w:rFonts w:ascii="Times New Roman" w:hAnsi="Times New Roman" w:cs="Times New Roman"/>
        </w:rPr>
      </w:pPr>
      <w:r>
        <w:rPr>
          <w:rFonts w:cs="Times New Roman" w:ascii="Times New Roman" w:hAnsi="Times New Roman"/>
        </w:rPr>
        <w:t>La Rectification : Utilisation d'un pont de Graetz (diodes Schottky) pour convertir le signal alternatif en courant continu.</w:t>
      </w:r>
    </w:p>
    <w:p>
      <w:pPr>
        <w:pStyle w:val="Normal"/>
        <w:numPr>
          <w:ilvl w:val="0"/>
          <w:numId w:val="23"/>
        </w:numPr>
        <w:spacing w:lineRule="auto" w:line="360"/>
        <w:rPr>
          <w:rFonts w:ascii="Times New Roman" w:hAnsi="Times New Roman" w:cs="Times New Roman"/>
        </w:rPr>
      </w:pPr>
      <w:r>
        <w:rPr>
          <w:rFonts w:cs="Times New Roman" w:ascii="Times New Roman" w:hAnsi="Times New Roman"/>
        </w:rPr>
        <w:t>Le Stockage : Accumulation des charges dans un condensateur de lissage pour stabiliser la tension.</w:t>
      </w:r>
    </w:p>
    <w:p>
      <w:pPr>
        <w:pStyle w:val="Normal"/>
        <w:numPr>
          <w:ilvl w:val="0"/>
          <w:numId w:val="23"/>
        </w:numPr>
        <w:spacing w:lineRule="auto" w:line="360"/>
        <w:rPr>
          <w:rFonts w:ascii="Times New Roman" w:hAnsi="Times New Roman" w:cs="Times New Roman"/>
        </w:rPr>
      </w:pPr>
      <w:r>
        <w:rPr>
          <w:rFonts w:cs="Times New Roman" w:ascii="Times New Roman" w:hAnsi="Times New Roman"/>
        </w:rPr>
        <w:t xml:space="preserve">La Régulation : Protection du microcontrôleur ESP32 via une diode Zener, garantissant une tension de sortie ne dépassant pas 3.3V, évitant ainsi tout dommage au circuit IoT. </w:t>
      </w:r>
      <w:r>
        <w:rPr/>
        <w:t xml:space="preserve"> </w:t>
      </w:r>
    </w:p>
    <w:tbl>
      <w:tblPr>
        <w:tblStyle w:val="Grilledutableau"/>
        <w:tblW w:w="10065" w:type="dxa"/>
        <w:jc w:val="left"/>
        <w:tblInd w:w="-431" w:type="dxa"/>
        <w:tblLayout w:type="fixed"/>
        <w:tblCellMar>
          <w:top w:w="0" w:type="dxa"/>
          <w:left w:w="108" w:type="dxa"/>
          <w:bottom w:w="0" w:type="dxa"/>
          <w:right w:w="108" w:type="dxa"/>
        </w:tblCellMar>
        <w:tblLook w:firstRow="1" w:noVBand="1" w:lastRow="0" w:firstColumn="1" w:lastColumn="0" w:noHBand="0" w:val="04a0"/>
      </w:tblPr>
      <w:tblGrid>
        <w:gridCol w:w="10065"/>
      </w:tblGrid>
      <w:tr>
        <w:trPr/>
        <w:tc>
          <w:tcPr>
            <w:tcW w:w="10065" w:type="dxa"/>
            <w:tcBorders/>
          </w:tcPr>
          <w:p>
            <w:pPr>
              <w:pStyle w:val="Normal"/>
              <w:widowControl/>
              <w:spacing w:lineRule="auto" w:line="360" w:before="0" w:after="0"/>
              <w:jc w:val="left"/>
              <w:rPr>
                <w:rFonts w:ascii="Aptos" w:hAnsi="Aptos" w:eastAsia="Aptos" w:cs=""/>
                <w:kern w:val="2"/>
                <w:sz w:val="24"/>
                <w:szCs w:val="24"/>
                <w:lang w:val="fr-FR" w:eastAsia="en-US" w:bidi="ar-SA"/>
              </w:rPr>
            </w:pPr>
            <w:r>
              <w:rPr>
                <w:rFonts w:eastAsia="Aptos" w:cs=""/>
                <w:kern w:val="2"/>
                <w:sz w:val="24"/>
                <w:szCs w:val="24"/>
                <w:lang w:val="fr-FR" w:eastAsia="en-US" w:bidi="ar-SA"/>
              </w:rPr>
              <w:t xml:space="preserve">        </w:t>
            </w:r>
          </w:p>
          <w:p>
            <w:pPr>
              <w:pStyle w:val="Normal"/>
              <w:widowControl/>
              <w:spacing w:lineRule="auto" w:line="360" w:before="0" w:after="0"/>
              <w:jc w:val="left"/>
              <w:rPr>
                <w:rFonts w:ascii="Aptos" w:hAnsi="Aptos" w:eastAsia="Aptos" w:cs=""/>
                <w:kern w:val="2"/>
                <w:sz w:val="24"/>
                <w:szCs w:val="24"/>
                <w:lang w:val="fr-FR" w:eastAsia="en-US" w:bidi="ar-SA"/>
              </w:rPr>
            </w:pPr>
            <w:r>
              <w:rPr>
                <w:rFonts w:eastAsia="Aptos" w:cs=""/>
                <w:kern w:val="2"/>
                <w:sz w:val="24"/>
                <w:szCs w:val="24"/>
                <w:lang w:val="fr-FR" w:eastAsia="en-US" w:bidi="ar-SA"/>
              </w:rPr>
              <w:t xml:space="preserve">  </w:t>
            </w:r>
            <w:r>
              <w:rPr>
                <w:rFonts w:eastAsia="Aptos" w:cs=""/>
                <w:kern w:val="2"/>
                <w:sz w:val="24"/>
                <w:szCs w:val="24"/>
                <w:lang w:val="fr-FR" w:eastAsia="en-US" w:bidi="ar-SA"/>
              </w:rPr>
              <w:drawing>
                <wp:inline distT="0" distB="0" distL="0" distR="0">
                  <wp:extent cx="3121660" cy="1328420"/>
                  <wp:effectExtent l="0" t="0" r="0" b="0"/>
                  <wp:docPr id="18"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 descr=""/>
                          <pic:cNvPicPr>
                            <a:picLocks noChangeAspect="1" noChangeArrowheads="1"/>
                          </pic:cNvPicPr>
                        </pic:nvPicPr>
                        <pic:blipFill>
                          <a:blip r:embed="rId11"/>
                          <a:stretch>
                            <a:fillRect/>
                          </a:stretch>
                        </pic:blipFill>
                        <pic:spPr bwMode="auto">
                          <a:xfrm>
                            <a:off x="0" y="0"/>
                            <a:ext cx="3121660" cy="1328420"/>
                          </a:xfrm>
                          <a:prstGeom prst="rect">
                            <a:avLst/>
                          </a:prstGeom>
                          <a:noFill/>
                        </pic:spPr>
                      </pic:pic>
                    </a:graphicData>
                  </a:graphic>
                </wp:inline>
              </w:drawing>
            </w:r>
            <w:r>
              <w:rPr>
                <w:rFonts w:eastAsia="Aptos" w:cs=""/>
                <w:kern w:val="2"/>
                <w:sz w:val="24"/>
                <w:szCs w:val="24"/>
                <w:lang w:val="fr-FR" w:eastAsia="en-US" w:bidi="ar-SA"/>
              </w:rPr>
              <w:t xml:space="preserve"> </w:t>
            </w:r>
            <w:r>
              <w:rPr>
                <w:rFonts w:eastAsia="Aptos" w:cs=""/>
                <w:kern w:val="2"/>
                <w:sz w:val="24"/>
                <w:szCs w:val="24"/>
                <w:lang w:val="fr-FR" w:eastAsia="en-US" w:bidi="ar-SA"/>
              </w:rPr>
              <w:drawing>
                <wp:inline distT="0" distB="0" distL="0" distR="0">
                  <wp:extent cx="3008630" cy="1327150"/>
                  <wp:effectExtent l="0" t="0" r="0" b="0"/>
                  <wp:docPr id="19"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2" descr=""/>
                          <pic:cNvPicPr>
                            <a:picLocks noChangeAspect="1" noChangeArrowheads="1"/>
                          </pic:cNvPicPr>
                        </pic:nvPicPr>
                        <pic:blipFill>
                          <a:blip r:embed="rId12"/>
                          <a:stretch>
                            <a:fillRect/>
                          </a:stretch>
                        </pic:blipFill>
                        <pic:spPr bwMode="auto">
                          <a:xfrm>
                            <a:off x="0" y="0"/>
                            <a:ext cx="3008630" cy="1327150"/>
                          </a:xfrm>
                          <a:prstGeom prst="rect">
                            <a:avLst/>
                          </a:prstGeom>
                          <a:noFill/>
                        </pic:spPr>
                      </pic:pic>
                    </a:graphicData>
                  </a:graphic>
                </wp:inline>
              </w:drawing>
            </w:r>
            <w:r>
              <w:rPr>
                <w:rFonts w:eastAsia="Aptos" w:cs=""/>
                <w:kern w:val="2"/>
                <w:sz w:val="24"/>
                <w:szCs w:val="24"/>
                <w:lang w:val="fr-FR" w:eastAsia="en-US" w:bidi="ar-SA"/>
              </w:rPr>
              <w:t xml:space="preserve">       </w:t>
            </w:r>
          </w:p>
          <w:p>
            <w:pPr>
              <w:pStyle w:val="Normal"/>
              <w:widowControl/>
              <w:spacing w:lineRule="auto" w:line="360" w:before="0" w:after="0"/>
              <w:jc w:val="left"/>
              <w:rPr>
                <w:rFonts w:ascii="Aptos" w:hAnsi="Aptos" w:eastAsia="Aptos" w:cs=""/>
                <w:kern w:val="2"/>
                <w:sz w:val="24"/>
                <w:szCs w:val="24"/>
                <w:lang w:val="fr-FR" w:eastAsia="en-US" w:bidi="ar-SA"/>
              </w:rPr>
            </w:pPr>
            <w:r>
              <w:rPr>
                <w:rFonts w:eastAsia="Aptos" w:cs=""/>
                <w:kern w:val="2"/>
                <w:sz w:val="24"/>
                <w:szCs w:val="24"/>
                <w:lang w:val="fr-FR" w:eastAsia="en-US" w:bidi="ar-SA"/>
              </w:rPr>
            </w:r>
          </w:p>
          <w:p>
            <w:pPr>
              <w:pStyle w:val="Normal"/>
              <w:widowControl/>
              <w:spacing w:lineRule="auto" w:line="360" w:before="0" w:after="0"/>
              <w:jc w:val="left"/>
              <w:rPr>
                <w:rFonts w:ascii="Aptos" w:hAnsi="Aptos" w:eastAsia="Aptos" w:cs=""/>
                <w:kern w:val="2"/>
                <w:sz w:val="24"/>
                <w:szCs w:val="24"/>
                <w:lang w:val="fr-FR" w:eastAsia="en-US" w:bidi="ar-SA"/>
              </w:rPr>
            </w:pPr>
            <w:r>
              <w:rPr>
                <w:rFonts w:eastAsia="Aptos" w:cs=""/>
                <w:kern w:val="2"/>
                <w:sz w:val="24"/>
                <w:szCs w:val="24"/>
                <w:lang w:val="fr-FR" w:eastAsia="en-US" w:bidi="ar-SA"/>
              </w:rPr>
              <w:t xml:space="preserve">                                   </w:t>
            </w:r>
            <w:r>
              <w:rPr>
                <w:rFonts w:eastAsia="Aptos" w:cs=""/>
                <w:kern w:val="2"/>
                <w:sz w:val="24"/>
                <w:szCs w:val="24"/>
                <w:lang w:val="fr-FR" w:eastAsia="en-US" w:bidi="ar-SA"/>
              </w:rPr>
              <w:drawing>
                <wp:inline distT="0" distB="0" distL="0" distR="0">
                  <wp:extent cx="4241165" cy="1424940"/>
                  <wp:effectExtent l="0" t="0" r="0" b="0"/>
                  <wp:docPr id="20"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3" descr=""/>
                          <pic:cNvPicPr>
                            <a:picLocks noChangeAspect="1" noChangeArrowheads="1"/>
                          </pic:cNvPicPr>
                        </pic:nvPicPr>
                        <pic:blipFill>
                          <a:blip r:embed="rId13"/>
                          <a:stretch>
                            <a:fillRect/>
                          </a:stretch>
                        </pic:blipFill>
                        <pic:spPr bwMode="auto">
                          <a:xfrm>
                            <a:off x="0" y="0"/>
                            <a:ext cx="4241165" cy="1424940"/>
                          </a:xfrm>
                          <a:prstGeom prst="rect">
                            <a:avLst/>
                          </a:prstGeom>
                          <a:noFill/>
                        </pic:spPr>
                      </pic:pic>
                    </a:graphicData>
                  </a:graphic>
                </wp:inline>
              </w:drawing>
            </w:r>
          </w:p>
        </w:tc>
      </w:tr>
    </w:tbl>
    <w:p>
      <w:pPr>
        <w:pStyle w:val="Normal"/>
        <w:spacing w:lineRule="auto" w:line="360"/>
        <w:rPr>
          <w:rFonts w:ascii="Times New Roman" w:hAnsi="Times New Roman" w:cs="Times New Roman"/>
        </w:rPr>
      </w:pPr>
      <w:r>
        <w:rPr>
          <w:rFonts w:cs="Times New Roman" w:ascii="Times New Roman" w:hAnsi="Times New Roman"/>
        </w:rPr>
        <w:t>Les courbes obtenues montrent la transition d'un signal alternatif haute impédance (source équivalente au TENG) vers un courant continu pulsé, puis lissé par un étage capacitif. Bien que la tension ne soit pas parfaitement constante comme celle d'une pile chimique, le lissage par le condensateur de 10µF permet de maintenir un potentiel stable de 3.3V durant le temps nécessaire à l'activation de la LED et de l'ESP32</w:t>
      </w:r>
    </w:p>
    <w:p>
      <w:pPr>
        <w:pStyle w:val="Normal"/>
        <w:spacing w:lineRule="auto" w:line="360"/>
        <w:rPr>
          <w:rFonts w:ascii="Times New Roman" w:hAnsi="Times New Roman" w:cs="Times New Roman"/>
          <w:b/>
          <w:bCs/>
        </w:rPr>
      </w:pPr>
      <w:r>
        <w:rPr>
          <w:rFonts w:cs="Times New Roman" w:ascii="Times New Roman" w:hAnsi="Times New Roman"/>
          <w:b/>
          <w:bCs/>
        </w:rPr>
        <w:t>Chapitre VII :  Intégration IoT et Protocole de Communication : L’objectif</w:t>
      </w:r>
      <w:r>
        <w:rPr>
          <w:rFonts w:cs="Times New Roman" w:ascii="Times New Roman" w:hAnsi="Times New Roman"/>
        </w:rPr>
        <w:t xml:space="preserve"> ultime est de transformer l'énergie mécanique en information numérique au sein d'un écosystème Internet des Objets (IoT).</w:t>
      </w:r>
    </w:p>
    <w:p>
      <w:pPr>
        <w:pStyle w:val="Normal"/>
        <w:spacing w:lineRule="auto" w:line="360"/>
        <w:rPr>
          <w:rFonts w:ascii="Times New Roman" w:hAnsi="Times New Roman" w:cs="Times New Roman"/>
          <w:b/>
          <w:bCs/>
        </w:rPr>
      </w:pPr>
      <w:r>
        <w:rPr>
          <w:rFonts w:cs="Times New Roman" w:ascii="Times New Roman" w:hAnsi="Times New Roman"/>
          <w:b/>
          <w:bCs/>
        </w:rPr>
        <w:t xml:space="preserve">7.1 Acquisition de Données et Traitement </w:t>
      </w:r>
      <w:r>
        <w:rPr>
          <w:rFonts w:cs="Times New Roman" w:ascii="Times New Roman" w:hAnsi="Times New Roman"/>
        </w:rPr>
        <w:t>:</w:t>
      </w:r>
    </w:p>
    <w:p>
      <w:pPr>
        <w:pStyle w:val="Normal"/>
        <w:spacing w:lineRule="auto" w:line="360"/>
        <w:rPr>
          <w:rFonts w:ascii="Times New Roman" w:hAnsi="Times New Roman" w:cs="Times New Roman"/>
        </w:rPr>
      </w:pPr>
      <w:r>
        <w:rPr>
          <w:rFonts w:cs="Times New Roman" w:ascii="Times New Roman" w:hAnsi="Times New Roman"/>
        </w:rPr>
        <w:t>Contrairement aux cartes classiques, l'</w:t>
      </w:r>
      <w:r>
        <w:rPr>
          <w:rFonts w:cs="Times New Roman" w:ascii="Times New Roman" w:hAnsi="Times New Roman"/>
          <w:b/>
          <w:bCs/>
        </w:rPr>
        <w:t>ESP32</w:t>
      </w:r>
      <w:r>
        <w:rPr>
          <w:rFonts w:cs="Times New Roman" w:ascii="Times New Roman" w:hAnsi="Times New Roman"/>
        </w:rPr>
        <w:t xml:space="preserve"> permet un traitement à haute fréquence avec une consommation d'énergie optimisée. Le signal redressé et abaissé (via une diode Zener de protection) est injecté sur une broche ADC (Analog-to-Digital Converter). L'algorithme développé en C++ effectue un </w:t>
      </w:r>
      <w:r>
        <w:rPr>
          <w:rFonts w:cs="Times New Roman" w:ascii="Times New Roman" w:hAnsi="Times New Roman"/>
          <w:b/>
          <w:bCs/>
        </w:rPr>
        <w:t>échantillonnage en temps réel</w:t>
      </w:r>
      <w:r>
        <w:rPr>
          <w:rFonts w:cs="Times New Roman" w:ascii="Times New Roman" w:hAnsi="Times New Roman"/>
        </w:rPr>
        <w:t xml:space="preserve"> pour détecter les fronts montants du signal. Chaque pic identifié est converti en une information binaire correspondant à un "pas" détecté sur le tapis.</w:t>
      </w:r>
    </w:p>
    <w:p>
      <w:pPr>
        <w:pStyle w:val="Normal"/>
        <w:spacing w:lineRule="auto" w:line="360"/>
        <w:rPr>
          <w:rFonts w:ascii="Times New Roman" w:hAnsi="Times New Roman" w:cs="Times New Roman"/>
        </w:rPr>
      </w:pPr>
      <w:r>
        <w:rPr>
          <w:rFonts w:cs="Times New Roman" w:ascii="Times New Roman" w:hAnsi="Times New Roman"/>
        </w:rPr>
        <w:t>Un microcontrôleur basse consommation (ESP32) est utilisé pour l'acquisition. Un algorithme de détection de seuil est implémenté pour filtrer le bruit ambiant. Chaque pic de tension validé est interprété comme un événement (un pas sur le tapis).</w:t>
      </w:r>
    </w:p>
    <w:p>
      <w:pPr>
        <w:pStyle w:val="Normal"/>
        <w:spacing w:lineRule="auto" w:line="360"/>
        <w:rPr>
          <w:rFonts w:ascii="Times New Roman" w:hAnsi="Times New Roman" w:cs="Times New Roman"/>
        </w:rPr>
      </w:pPr>
      <w:r>
        <w:rPr>
          <w:rFonts w:cs="Times New Roman" w:ascii="Times New Roman" w:hAnsi="Times New Roman"/>
        </w:rPr>
        <w:t>Le microcontrôleur exécute un algorithme de détection de front montant. Chaque impulsion dépassant un seuil (ex: 1.5V) déclenche une interruption logicielle. Cela permet non seulement de compter les pas, mais aussi d'analyser la force d'impact (pression).</w:t>
      </w:r>
    </w:p>
    <w:p>
      <w:pPr>
        <w:pStyle w:val="Normal"/>
        <w:spacing w:lineRule="auto" w:line="360"/>
        <w:rPr>
          <w:rFonts w:ascii="Times New Roman" w:hAnsi="Times New Roman" w:cs="Times New Roman"/>
        </w:rPr>
      </w:pPr>
      <w:r>
        <w:drawing>
          <wp:anchor behindDoc="0" distT="0" distB="0" distL="0" distR="114300" simplePos="0" locked="0" layoutInCell="0" allowOverlap="1" relativeHeight="14">
            <wp:simplePos x="0" y="0"/>
            <wp:positionH relativeFrom="margin">
              <wp:align>left</wp:align>
            </wp:positionH>
            <wp:positionV relativeFrom="paragraph">
              <wp:posOffset>1013460</wp:posOffset>
            </wp:positionV>
            <wp:extent cx="5549900" cy="3493770"/>
            <wp:effectExtent l="0" t="0" r="0" b="0"/>
            <wp:wrapSquare wrapText="bothSides"/>
            <wp:docPr id="21" name="Image14" descr="Une image contenant Appareils électroniques, capture d’écran, Ingénierie électroniqu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4" descr="Une image contenant Appareils électroniques, capture d’écran, Ingénierie électronique, diagramme&#10;&#10;Le contenu généré par l’IA peut être incorrect."/>
                    <pic:cNvPicPr>
                      <a:picLocks noChangeAspect="1" noChangeArrowheads="1"/>
                    </pic:cNvPicPr>
                  </pic:nvPicPr>
                  <pic:blipFill>
                    <a:blip r:embed="rId14"/>
                    <a:srcRect l="0" t="0" r="6086" b="14877"/>
                    <a:stretch>
                      <a:fillRect/>
                    </a:stretch>
                  </pic:blipFill>
                  <pic:spPr bwMode="auto">
                    <a:xfrm>
                      <a:off x="0" y="0"/>
                      <a:ext cx="5549900" cy="3493770"/>
                    </a:xfrm>
                    <a:prstGeom prst="rect">
                      <a:avLst/>
                    </a:prstGeom>
                    <a:noFill/>
                  </pic:spPr>
                </pic:pic>
              </a:graphicData>
            </a:graphic>
          </wp:anchor>
        </w:drawing>
      </w:r>
      <w:r>
        <w:rPr>
          <w:rFonts w:cs="Times New Roman" w:ascii="Times New Roman" w:hAnsi="Times New Roman"/>
          <w:b/>
          <w:bCs/>
        </w:rPr>
        <w:t>Pour la partie logicielle sur Wokwi, le signal d'activation du tapis (initialement généré par le TENG) a été simulé par un bouton poussoir envoyant un signal logique HIGH. Cette simplification permet de valider l'algorithme de réveil par interruption (EXT0) indépendamment des fluctuations de tension de la source.</w:t>
      </w:r>
    </w:p>
    <w:p>
      <w:pPr>
        <w:pStyle w:val="Normal"/>
        <w:spacing w:lineRule="auto" w:line="360"/>
        <w:jc w:val="center"/>
        <w:rPr>
          <w:rFonts w:ascii="Times New Roman" w:hAnsi="Times New Roman" w:cs="Times New Roman"/>
        </w:rPr>
      </w:pPr>
      <w:r>
        <w:rPr>
          <w:rFonts w:cs="Times New Roman" w:ascii="Times New Roman" w:hAnsi="Times New Roman"/>
        </w:rPr>
        <w:t>Système de détection sous Wokwi. L'ESP32 est configuré en mode "DeepSleep" pour minimiser la consommation, simulant une gestion autonome de</w:t>
      </w:r>
    </w:p>
    <w:p>
      <w:pPr>
        <w:pStyle w:val="Normal"/>
        <w:spacing w:lineRule="auto" w:line="360"/>
        <w:jc w:val="center"/>
        <w:rPr>
          <w:rFonts w:ascii="Times New Roman" w:hAnsi="Times New Roman" w:cs="Times New Roman"/>
        </w:rPr>
      </w:pPr>
      <w:r>
        <w:rPr>
          <w:rFonts w:cs="Times New Roman" w:ascii="Times New Roman" w:hAnsi="Times New Roman"/>
        </w:rPr>
        <w:t>L’énergie récoltée.</w:t>
      </w:r>
    </w:p>
    <w:p>
      <w:pPr>
        <w:pStyle w:val="Normal"/>
        <w:spacing w:lineRule="auto" w:line="360"/>
        <w:rPr>
          <w:rFonts w:ascii="Times New Roman" w:hAnsi="Times New Roman" w:cs="Times New Roman"/>
        </w:rPr>
      </w:pPr>
      <w:r>
        <w:rPr>
          <w:rFonts w:cs="Times New Roman" w:ascii="Times New Roman" w:hAnsi="Times New Roman"/>
          <w:b/>
          <w:bCs/>
        </w:rPr>
        <w:t>Code Source du Prototype (Environnement Wokwi)</w:t>
      </w:r>
    </w:p>
    <w:p>
      <w:pPr>
        <w:pStyle w:val="Normal"/>
        <w:spacing w:lineRule="auto" w:line="360"/>
        <w:rPr>
          <w:rFonts w:ascii="Times New Roman" w:hAnsi="Times New Roman" w:cs="Times New Roman"/>
        </w:rPr>
      </w:pPr>
      <w:r>
        <w:rPr>
          <w:rFonts w:cs="Times New Roman" w:ascii="Times New Roman" w:hAnsi="Times New Roman"/>
        </w:rPr>
        <w:t>Le code suivant constitue le micrologiciel (firmware) développé pour l'ESP32. Il implémente la logique d'interruption matérielle et la connectivité IoT via le protocole HTTP.</w:t>
      </w:r>
    </w:p>
    <w:p>
      <w:pPr>
        <w:pStyle w:val="Normal"/>
        <w:spacing w:lineRule="auto" w:line="360"/>
        <w:rPr>
          <w:rFonts w:ascii="Times New Roman" w:hAnsi="Times New Roman" w:cs="Times New Roman"/>
        </w:rPr>
      </w:pPr>
      <w:r>
        <w:rPr>
          <w:rFonts w:cs="Times New Roman" w:ascii="Times New Roman" w:hAnsi="Times New Roman"/>
        </w:rPr>
      </w:r>
    </w:p>
    <w:tbl>
      <w:tblPr>
        <w:tblStyle w:val="Grilledutableau"/>
        <w:tblW w:w="906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062"/>
      </w:tblGrid>
      <w:tr>
        <w:trPr/>
        <w:tc>
          <w:tcPr>
            <w:tcW w:w="9062" w:type="dxa"/>
            <w:tcBorders/>
          </w:tcPr>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fr-FR" w:eastAsia="en-US" w:bidi="ar-SA"/>
              </w:rPr>
              <w:t>/* * Projet S2 : Capteur de Tapis Intelligent Auto-alimenté (TENG)</w:t>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fr-FR" w:eastAsia="en-US" w:bidi="ar-SA"/>
              </w:rPr>
              <w:t xml:space="preserve"> </w:t>
            </w:r>
            <w:r>
              <w:rPr>
                <w:rFonts w:eastAsia="Aptos" w:cs="Times New Roman" w:ascii="Times New Roman" w:hAnsi="Times New Roman"/>
                <w:kern w:val="2"/>
                <w:sz w:val="24"/>
                <w:szCs w:val="24"/>
                <w:lang w:val="fr-FR" w:eastAsia="en-US" w:bidi="ar-SA"/>
              </w:rPr>
              <w:t>* Auteur : Emna Abidi</w:t>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fr-FR" w:eastAsia="en-US" w:bidi="ar-SA"/>
              </w:rPr>
              <w:t xml:space="preserve"> </w:t>
            </w:r>
            <w:r>
              <w:rPr>
                <w:rFonts w:eastAsia="Aptos" w:cs="Times New Roman" w:ascii="Times New Roman" w:hAnsi="Times New Roman"/>
                <w:kern w:val="2"/>
                <w:sz w:val="24"/>
                <w:szCs w:val="24"/>
                <w:lang w:val="fr-FR" w:eastAsia="en-US" w:bidi="ar-SA"/>
              </w:rPr>
              <w:t>* Description : Gestion de l'éveil par interruption et transmission Cloud ThingSpeak.</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fr-FR" w:eastAsia="en-US" w:bidi="ar-SA"/>
              </w:rPr>
              <w:t xml:space="preserve"> </w:t>
            </w:r>
            <w:r>
              <w:rPr>
                <w:rFonts w:eastAsia="Aptos" w:cs="Times New Roman" w:ascii="Times New Roman" w:hAnsi="Times New Roman"/>
                <w:kern w:val="2"/>
                <w:sz w:val="24"/>
                <w:szCs w:val="24"/>
                <w:lang w:val="en-US" w:eastAsia="en-US" w:bidi="ar-SA"/>
              </w:rPr>
              <w:t>*/</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#include &lt;WiFi.h&gt;</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#include &lt;HTTPClient.h&gt;</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fr-FR" w:eastAsia="en-US" w:bidi="ar-SA"/>
              </w:rPr>
              <w:t>// --- Configuration des broches ---</w:t>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fr-FR" w:eastAsia="en-US" w:bidi="ar-SA"/>
              </w:rPr>
              <w:t>#define TAPIS_PIN 33  // Entrée du signal TENG rectifié</w:t>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fr-FR" w:eastAsia="en-US" w:bidi="ar-SA"/>
              </w:rPr>
              <w:t>#define LED_PIN 2     // Témoin visuel d'activité (LED embarquée)</w:t>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fr-FR" w:eastAsia="en-US" w:bidi="ar-SA"/>
              </w:rPr>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fr-FR" w:eastAsia="en-US" w:bidi="ar-SA"/>
              </w:rPr>
              <w:t>// --- Paramètres réseau &amp; Cloud ---</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const char* ssid = "Wokwi-GUEST";</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const char* password = "";</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const char* serverName = "http://api.thingspeak.com/update";</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 xml:space="preserve">String apiKey = "JQ73LKN3SXK28AZK"; </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void setup() {</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 xml:space="preserve">  </w:t>
            </w:r>
            <w:r>
              <w:rPr>
                <w:rFonts w:eastAsia="Aptos" w:cs="Times New Roman" w:ascii="Times New Roman" w:hAnsi="Times New Roman"/>
                <w:kern w:val="2"/>
                <w:sz w:val="24"/>
                <w:szCs w:val="24"/>
                <w:lang w:val="en-US" w:eastAsia="en-US" w:bidi="ar-SA"/>
              </w:rPr>
              <w:t>Serial.begin(115200);</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 xml:space="preserve">  </w:t>
            </w:r>
            <w:r>
              <w:rPr>
                <w:rFonts w:eastAsia="Aptos" w:cs="Times New Roman" w:ascii="Times New Roman" w:hAnsi="Times New Roman"/>
                <w:kern w:val="2"/>
                <w:sz w:val="24"/>
                <w:szCs w:val="24"/>
                <w:lang w:val="en-US" w:eastAsia="en-US" w:bidi="ar-SA"/>
              </w:rPr>
              <w:t>pinMode(LED_PIN, OUTPUT);</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 xml:space="preserve">  </w:t>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en-US" w:eastAsia="en-US" w:bidi="ar-SA"/>
              </w:rPr>
              <w:t xml:space="preserve">  </w:t>
            </w:r>
            <w:r>
              <w:rPr>
                <w:rFonts w:eastAsia="Aptos" w:cs="Times New Roman" w:ascii="Times New Roman" w:hAnsi="Times New Roman"/>
                <w:kern w:val="2"/>
                <w:sz w:val="24"/>
                <w:szCs w:val="24"/>
                <w:lang w:val="fr-FR" w:eastAsia="en-US" w:bidi="ar-SA"/>
              </w:rPr>
              <w:t>// 1. Analyse de la cause du réveil de l'ESP32</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fr-FR" w:eastAsia="en-US" w:bidi="ar-SA"/>
              </w:rPr>
              <w:t xml:space="preserve">  </w:t>
            </w:r>
            <w:r>
              <w:rPr>
                <w:rFonts w:eastAsia="Aptos" w:cs="Times New Roman" w:ascii="Times New Roman" w:hAnsi="Times New Roman"/>
                <w:kern w:val="2"/>
                <w:sz w:val="24"/>
                <w:szCs w:val="24"/>
                <w:lang w:val="en-US" w:eastAsia="en-US" w:bidi="ar-SA"/>
              </w:rPr>
              <w:t>esp_sleep_wakeup_cause_t wakeup_reason = esp_sleep_get_wakeup_cause();</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en-US" w:eastAsia="en-US" w:bidi="ar-SA"/>
              </w:rPr>
              <w:t xml:space="preserve">  </w:t>
            </w:r>
            <w:r>
              <w:rPr>
                <w:rFonts w:eastAsia="Aptos" w:cs="Times New Roman" w:ascii="Times New Roman" w:hAnsi="Times New Roman"/>
                <w:kern w:val="2"/>
                <w:sz w:val="24"/>
                <w:szCs w:val="24"/>
                <w:lang w:val="fr-FR" w:eastAsia="en-US" w:bidi="ar-SA"/>
              </w:rPr>
              <w:t>// Si le réveil est dû à une pression sur le tapis (Signal TENG)</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fr-FR" w:eastAsia="en-US" w:bidi="ar-SA"/>
              </w:rPr>
              <w:t xml:space="preserve">  </w:t>
            </w:r>
            <w:r>
              <w:rPr>
                <w:rFonts w:eastAsia="Aptos" w:cs="Times New Roman" w:ascii="Times New Roman" w:hAnsi="Times New Roman"/>
                <w:kern w:val="2"/>
                <w:sz w:val="24"/>
                <w:szCs w:val="24"/>
                <w:lang w:val="en-US" w:eastAsia="en-US" w:bidi="ar-SA"/>
              </w:rPr>
              <w:t>if (wakeup_reason == ESP_SLEEP_WAKEUP_EXT0) {</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 xml:space="preserve">    </w:t>
            </w:r>
            <w:r>
              <w:rPr>
                <w:rFonts w:eastAsia="Aptos" w:cs="Times New Roman" w:ascii="Times New Roman" w:hAnsi="Times New Roman"/>
                <w:kern w:val="2"/>
                <w:sz w:val="24"/>
                <w:szCs w:val="24"/>
                <w:lang w:val="en-US" w:eastAsia="en-US" w:bidi="ar-SA"/>
              </w:rPr>
              <w:t>digitalWrite(LED_PIN, HIGH); // Allumage LED de confirmation</w:t>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en-US" w:eastAsia="en-US" w:bidi="ar-SA"/>
              </w:rPr>
              <w:t xml:space="preserve">    </w:t>
            </w:r>
            <w:r>
              <w:rPr>
                <w:rFonts w:eastAsia="Aptos" w:cs="Times New Roman" w:ascii="Times New Roman" w:hAnsi="Times New Roman"/>
                <w:kern w:val="2"/>
                <w:sz w:val="24"/>
                <w:szCs w:val="24"/>
                <w:lang w:val="fr-FR" w:eastAsia="en-US" w:bidi="ar-SA"/>
              </w:rPr>
              <w:t>Serial.println("\n[ALERTE] Signal TENG détecté sur GPIO 33");</w:t>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fr-FR" w:eastAsia="en-US" w:bidi="ar-SA"/>
              </w:rPr>
              <w:t xml:space="preserve">    </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fr-FR" w:eastAsia="en-US" w:bidi="ar-SA"/>
              </w:rPr>
              <w:t xml:space="preserve">    </w:t>
            </w:r>
            <w:r>
              <w:rPr>
                <w:rFonts w:eastAsia="Aptos" w:cs="Times New Roman" w:ascii="Times New Roman" w:hAnsi="Times New Roman"/>
                <w:kern w:val="2"/>
                <w:sz w:val="24"/>
                <w:szCs w:val="24"/>
                <w:lang w:val="en-US" w:eastAsia="en-US" w:bidi="ar-SA"/>
              </w:rPr>
              <w:t>connectToWiFi();</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 xml:space="preserve">    </w:t>
            </w:r>
            <w:r>
              <w:rPr>
                <w:rFonts w:eastAsia="Aptos" w:cs="Times New Roman" w:ascii="Times New Roman" w:hAnsi="Times New Roman"/>
                <w:kern w:val="2"/>
                <w:sz w:val="24"/>
                <w:szCs w:val="24"/>
                <w:lang w:val="en-US" w:eastAsia="en-US" w:bidi="ar-SA"/>
              </w:rPr>
              <w:t>envoyerDonneeThingSpeak();</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 xml:space="preserve">    </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 xml:space="preserve">    </w:t>
            </w:r>
            <w:r>
              <w:rPr>
                <w:rFonts w:eastAsia="Aptos" w:cs="Times New Roman" w:ascii="Times New Roman" w:hAnsi="Times New Roman"/>
                <w:kern w:val="2"/>
                <w:sz w:val="24"/>
                <w:szCs w:val="24"/>
                <w:lang w:val="en-US" w:eastAsia="en-US" w:bidi="ar-SA"/>
              </w:rPr>
              <w:t>delay(2000); // Maintien du signal visuel</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 xml:space="preserve">    </w:t>
            </w:r>
            <w:r>
              <w:rPr>
                <w:rFonts w:eastAsia="Aptos" w:cs="Times New Roman" w:ascii="Times New Roman" w:hAnsi="Times New Roman"/>
                <w:kern w:val="2"/>
                <w:sz w:val="24"/>
                <w:szCs w:val="24"/>
                <w:lang w:val="en-US" w:eastAsia="en-US" w:bidi="ar-SA"/>
              </w:rPr>
              <w:t>digitalWrite(LED_PIN, LOW);</w:t>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en-US" w:eastAsia="en-US" w:bidi="ar-SA"/>
              </w:rPr>
              <w:t xml:space="preserve">  </w:t>
            </w:r>
            <w:r>
              <w:rPr>
                <w:rFonts w:eastAsia="Aptos" w:cs="Times New Roman" w:ascii="Times New Roman" w:hAnsi="Times New Roman"/>
                <w:kern w:val="2"/>
                <w:sz w:val="24"/>
                <w:szCs w:val="24"/>
                <w:lang w:val="fr-FR" w:eastAsia="en-US" w:bidi="ar-SA"/>
              </w:rPr>
              <w:t>} else {</w:t>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fr-FR" w:eastAsia="en-US" w:bidi="ar-SA"/>
              </w:rPr>
              <w:t xml:space="preserve">    </w:t>
            </w:r>
            <w:r>
              <w:rPr>
                <w:rFonts w:eastAsia="Aptos" w:cs="Times New Roman" w:ascii="Times New Roman" w:hAnsi="Times New Roman"/>
                <w:kern w:val="2"/>
                <w:sz w:val="24"/>
                <w:szCs w:val="24"/>
                <w:lang w:val="fr-FR" w:eastAsia="en-US" w:bidi="ar-SA"/>
              </w:rPr>
              <w:t>Serial.println("Initialisation du système de sécurité...");</w:t>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fr-FR" w:eastAsia="en-US" w:bidi="ar-SA"/>
              </w:rPr>
              <w:t xml:space="preserve">  </w:t>
            </w:r>
            <w:r>
              <w:rPr>
                <w:rFonts w:eastAsia="Aptos" w:cs="Times New Roman" w:ascii="Times New Roman" w:hAnsi="Times New Roman"/>
                <w:kern w:val="2"/>
                <w:sz w:val="24"/>
                <w:szCs w:val="24"/>
                <w:lang w:val="fr-FR" w:eastAsia="en-US" w:bidi="ar-SA"/>
              </w:rPr>
              <w:t>}</w:t>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fr-FR" w:eastAsia="en-US" w:bidi="ar-SA"/>
              </w:rPr>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fr-FR" w:eastAsia="en-US" w:bidi="ar-SA"/>
              </w:rPr>
              <w:t xml:space="preserve">  </w:t>
            </w:r>
            <w:r>
              <w:rPr>
                <w:rFonts w:eastAsia="Aptos" w:cs="Times New Roman" w:ascii="Times New Roman" w:hAnsi="Times New Roman"/>
                <w:kern w:val="2"/>
                <w:sz w:val="24"/>
                <w:szCs w:val="24"/>
                <w:lang w:val="fr-FR" w:eastAsia="en-US" w:bidi="ar-SA"/>
              </w:rPr>
              <w:t>// 2. Configuration du mode Deep Sleep (Gestion de l'énergie)</w:t>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fr-FR" w:eastAsia="en-US" w:bidi="ar-SA"/>
              </w:rPr>
              <w:t xml:space="preserve">  </w:t>
            </w:r>
            <w:r>
              <w:rPr>
                <w:rFonts w:eastAsia="Aptos" w:cs="Times New Roman" w:ascii="Times New Roman" w:hAnsi="Times New Roman"/>
                <w:kern w:val="2"/>
                <w:sz w:val="24"/>
                <w:szCs w:val="24"/>
                <w:lang w:val="fr-FR" w:eastAsia="en-US" w:bidi="ar-SA"/>
              </w:rPr>
              <w:t>// On autorise le réveil uniquement lorsque la PIN 33 reçoit un signal HIGH (1)</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fr-FR" w:eastAsia="en-US" w:bidi="ar-SA"/>
              </w:rPr>
              <w:t xml:space="preserve">  </w:t>
            </w:r>
            <w:r>
              <w:rPr>
                <w:rFonts w:eastAsia="Aptos" w:cs="Times New Roman" w:ascii="Times New Roman" w:hAnsi="Times New Roman"/>
                <w:kern w:val="2"/>
                <w:sz w:val="24"/>
                <w:szCs w:val="24"/>
                <w:lang w:val="en-US" w:eastAsia="en-US" w:bidi="ar-SA"/>
              </w:rPr>
              <w:t>esp_sleep_enable_ext0_wakeup((gpio_num_t)TAPIS_PIN, 1);</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 xml:space="preserve">  </w:t>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en-US" w:eastAsia="en-US" w:bidi="ar-SA"/>
              </w:rPr>
              <w:t xml:space="preserve">  </w:t>
            </w:r>
            <w:r>
              <w:rPr>
                <w:rFonts w:eastAsia="Aptos" w:cs="Times New Roman" w:ascii="Times New Roman" w:hAnsi="Times New Roman"/>
                <w:kern w:val="2"/>
                <w:sz w:val="24"/>
                <w:szCs w:val="24"/>
                <w:lang w:val="fr-FR" w:eastAsia="en-US" w:bidi="ar-SA"/>
              </w:rPr>
              <w:t>Serial.println("Entrée en mode Deep Sleep (Consommation &lt; 10µA)...");</w:t>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fr-FR" w:eastAsia="en-US" w:bidi="ar-SA"/>
              </w:rPr>
              <w:t xml:space="preserve">  </w:t>
            </w:r>
            <w:r>
              <w:rPr>
                <w:rFonts w:eastAsia="Aptos" w:cs="Times New Roman" w:ascii="Times New Roman" w:hAnsi="Times New Roman"/>
                <w:kern w:val="2"/>
                <w:sz w:val="24"/>
                <w:szCs w:val="24"/>
                <w:lang w:val="fr-FR" w:eastAsia="en-US" w:bidi="ar-SA"/>
              </w:rPr>
              <w:t>esp_deep_sleep_start();</w:t>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fr-FR" w:eastAsia="en-US" w:bidi="ar-SA"/>
              </w:rPr>
              <w:t>}</w:t>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fr-FR" w:eastAsia="en-US" w:bidi="ar-SA"/>
              </w:rPr>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fr-FR" w:eastAsia="en-US" w:bidi="ar-SA"/>
              </w:rPr>
              <w:t>void loop() {</w:t>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fr-FR" w:eastAsia="en-US" w:bidi="ar-SA"/>
              </w:rPr>
              <w:t xml:space="preserve">  </w:t>
            </w:r>
            <w:r>
              <w:rPr>
                <w:rFonts w:eastAsia="Aptos" w:cs="Times New Roman" w:ascii="Times New Roman" w:hAnsi="Times New Roman"/>
                <w:kern w:val="2"/>
                <w:sz w:val="24"/>
                <w:szCs w:val="24"/>
                <w:lang w:val="fr-FR" w:eastAsia="en-US" w:bidi="ar-SA"/>
              </w:rPr>
              <w:t>// Loop vide : le processeur est éteint durant le sommeil</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void connectToWiFi() {</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 xml:space="preserve">  </w:t>
            </w:r>
            <w:r>
              <w:rPr>
                <w:rFonts w:eastAsia="Aptos" w:cs="Times New Roman" w:ascii="Times New Roman" w:hAnsi="Times New Roman"/>
                <w:kern w:val="2"/>
                <w:sz w:val="24"/>
                <w:szCs w:val="24"/>
                <w:lang w:val="en-US" w:eastAsia="en-US" w:bidi="ar-SA"/>
              </w:rPr>
              <w:t>Serial.print("Connexion WiFi...");</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 xml:space="preserve">  </w:t>
            </w:r>
            <w:r>
              <w:rPr>
                <w:rFonts w:eastAsia="Aptos" w:cs="Times New Roman" w:ascii="Times New Roman" w:hAnsi="Times New Roman"/>
                <w:kern w:val="2"/>
                <w:sz w:val="24"/>
                <w:szCs w:val="24"/>
                <w:lang w:val="en-US" w:eastAsia="en-US" w:bidi="ar-SA"/>
              </w:rPr>
              <w:t>WiFi.begin(ssid, password);</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 xml:space="preserve">  </w:t>
            </w:r>
            <w:r>
              <w:rPr>
                <w:rFonts w:eastAsia="Aptos" w:cs="Times New Roman" w:ascii="Times New Roman" w:hAnsi="Times New Roman"/>
                <w:kern w:val="2"/>
                <w:sz w:val="24"/>
                <w:szCs w:val="24"/>
                <w:lang w:val="en-US" w:eastAsia="en-US" w:bidi="ar-SA"/>
              </w:rPr>
              <w:t>int retry = 0;</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 xml:space="preserve">  </w:t>
            </w:r>
            <w:r>
              <w:rPr>
                <w:rFonts w:eastAsia="Aptos" w:cs="Times New Roman" w:ascii="Times New Roman" w:hAnsi="Times New Roman"/>
                <w:kern w:val="2"/>
                <w:sz w:val="24"/>
                <w:szCs w:val="24"/>
                <w:lang w:val="en-US" w:eastAsia="en-US" w:bidi="ar-SA"/>
              </w:rPr>
              <w:t>while (WiFi.status() != WL_CONNECTED &amp;&amp; retry &lt; 10) {</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 xml:space="preserve">    </w:t>
            </w:r>
            <w:r>
              <w:rPr>
                <w:rFonts w:eastAsia="Aptos" w:cs="Times New Roman" w:ascii="Times New Roman" w:hAnsi="Times New Roman"/>
                <w:kern w:val="2"/>
                <w:sz w:val="24"/>
                <w:szCs w:val="24"/>
                <w:lang w:val="en-US" w:eastAsia="en-US" w:bidi="ar-SA"/>
              </w:rPr>
              <w:t>delay(500);</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 xml:space="preserve">    </w:t>
            </w:r>
            <w:r>
              <w:rPr>
                <w:rFonts w:eastAsia="Aptos" w:cs="Times New Roman" w:ascii="Times New Roman" w:hAnsi="Times New Roman"/>
                <w:kern w:val="2"/>
                <w:sz w:val="24"/>
                <w:szCs w:val="24"/>
                <w:lang w:val="en-US" w:eastAsia="en-US" w:bidi="ar-SA"/>
              </w:rPr>
              <w:t>Serial.print(".");</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 xml:space="preserve">    </w:t>
            </w:r>
            <w:r>
              <w:rPr>
                <w:rFonts w:eastAsia="Aptos" w:cs="Times New Roman" w:ascii="Times New Roman" w:hAnsi="Times New Roman"/>
                <w:kern w:val="2"/>
                <w:sz w:val="24"/>
                <w:szCs w:val="24"/>
                <w:lang w:val="en-US" w:eastAsia="en-US" w:bidi="ar-SA"/>
              </w:rPr>
              <w:t>retry++;</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 xml:space="preserve">  </w:t>
            </w:r>
            <w:r>
              <w:rPr>
                <w:rFonts w:eastAsia="Aptos" w:cs="Times New Roman" w:ascii="Times New Roman" w:hAnsi="Times New Roman"/>
                <w:kern w:val="2"/>
                <w:sz w:val="24"/>
                <w:szCs w:val="24"/>
                <w:lang w:val="en-US" w:eastAsia="en-US" w:bidi="ar-SA"/>
              </w:rPr>
              <w:t>}</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 xml:space="preserve">  </w:t>
            </w:r>
            <w:r>
              <w:rPr>
                <w:rFonts w:eastAsia="Aptos" w:cs="Times New Roman" w:ascii="Times New Roman" w:hAnsi="Times New Roman"/>
                <w:kern w:val="2"/>
                <w:sz w:val="24"/>
                <w:szCs w:val="24"/>
                <w:lang w:val="en-US" w:eastAsia="en-US" w:bidi="ar-SA"/>
              </w:rPr>
              <w:t>if(WiFi.status() == WL_CONNECTED) Serial.println("\nConnecté !");</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void envoyerDonneeThingSpeak() {</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 xml:space="preserve">  </w:t>
            </w:r>
            <w:r>
              <w:rPr>
                <w:rFonts w:eastAsia="Aptos" w:cs="Times New Roman" w:ascii="Times New Roman" w:hAnsi="Times New Roman"/>
                <w:kern w:val="2"/>
                <w:sz w:val="24"/>
                <w:szCs w:val="24"/>
                <w:lang w:val="en-US" w:eastAsia="en-US" w:bidi="ar-SA"/>
              </w:rPr>
              <w:t>if(WiFi.status() == WL_CONNECTED){</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 xml:space="preserve">    </w:t>
            </w:r>
            <w:r>
              <w:rPr>
                <w:rFonts w:eastAsia="Aptos" w:cs="Times New Roman" w:ascii="Times New Roman" w:hAnsi="Times New Roman"/>
                <w:kern w:val="2"/>
                <w:sz w:val="24"/>
                <w:szCs w:val="24"/>
                <w:lang w:val="en-US" w:eastAsia="en-US" w:bidi="ar-SA"/>
              </w:rPr>
              <w:t>HTTPClient http;</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en-US" w:eastAsia="en-US" w:bidi="ar-SA"/>
              </w:rPr>
              <w:t xml:space="preserve">    </w:t>
            </w:r>
            <w:r>
              <w:rPr>
                <w:rFonts w:eastAsia="Aptos" w:cs="Times New Roman" w:ascii="Times New Roman" w:hAnsi="Times New Roman"/>
                <w:kern w:val="2"/>
                <w:sz w:val="24"/>
                <w:szCs w:val="24"/>
                <w:lang w:val="en-US" w:eastAsia="en-US" w:bidi="ar-SA"/>
              </w:rPr>
              <w:t>String url = String(serverName) + "?api_key=" + apiKey + "&amp;field1=1";</w:t>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en-US" w:eastAsia="en-US" w:bidi="ar-SA"/>
              </w:rPr>
              <w:t xml:space="preserve">    </w:t>
            </w:r>
            <w:r>
              <w:rPr>
                <w:rFonts w:eastAsia="Aptos" w:cs="Times New Roman" w:ascii="Times New Roman" w:hAnsi="Times New Roman"/>
                <w:kern w:val="2"/>
                <w:sz w:val="24"/>
                <w:szCs w:val="24"/>
                <w:lang w:val="fr-FR" w:eastAsia="en-US" w:bidi="ar-SA"/>
              </w:rPr>
              <w:t>http.begin(url);</w:t>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fr-FR" w:eastAsia="en-US" w:bidi="ar-SA"/>
              </w:rPr>
              <w:t xml:space="preserve">    </w:t>
            </w:r>
            <w:r>
              <w:rPr>
                <w:rFonts w:eastAsia="Aptos" w:cs="Times New Roman" w:ascii="Times New Roman" w:hAnsi="Times New Roman"/>
                <w:kern w:val="2"/>
                <w:sz w:val="24"/>
                <w:szCs w:val="24"/>
                <w:lang w:val="fr-FR" w:eastAsia="en-US" w:bidi="ar-SA"/>
              </w:rPr>
              <w:t xml:space="preserve">int httpResponseCode = http.GET(); </w:t>
            </w:r>
          </w:p>
          <w:p>
            <w:pPr>
              <w:pStyle w:val="Normal"/>
              <w:widowControl/>
              <w:spacing w:lineRule="auto" w:line="360" w:before="0" w:after="0"/>
              <w:jc w:val="left"/>
              <w:rPr>
                <w:rFonts w:ascii="Times New Roman" w:hAnsi="Times New Roman" w:cs="Times New Roman"/>
                <w:lang w:val="en-US"/>
              </w:rPr>
            </w:pPr>
            <w:r>
              <w:rPr>
                <w:rFonts w:eastAsia="Aptos" w:cs="Times New Roman" w:ascii="Times New Roman" w:hAnsi="Times New Roman"/>
                <w:kern w:val="2"/>
                <w:sz w:val="24"/>
                <w:szCs w:val="24"/>
                <w:lang w:val="fr-FR" w:eastAsia="en-US" w:bidi="ar-SA"/>
              </w:rPr>
              <w:t xml:space="preserve">    </w:t>
            </w:r>
            <w:r>
              <w:rPr>
                <w:rFonts w:eastAsia="Aptos" w:cs="Times New Roman" w:ascii="Times New Roman" w:hAnsi="Times New Roman"/>
                <w:kern w:val="2"/>
                <w:sz w:val="24"/>
                <w:szCs w:val="24"/>
                <w:lang w:val="en-US" w:eastAsia="en-US" w:bidi="ar-SA"/>
              </w:rPr>
              <w:t>Serial.printf("Réponse ThingSpeak : %d\n", httpResponseCode);</w:t>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en-US" w:eastAsia="en-US" w:bidi="ar-SA"/>
              </w:rPr>
              <w:t xml:space="preserve">    </w:t>
            </w:r>
            <w:r>
              <w:rPr>
                <w:rFonts w:eastAsia="Aptos" w:cs="Times New Roman" w:ascii="Times New Roman" w:hAnsi="Times New Roman"/>
                <w:kern w:val="2"/>
                <w:sz w:val="24"/>
                <w:szCs w:val="24"/>
                <w:lang w:val="fr-FR" w:eastAsia="en-US" w:bidi="ar-SA"/>
              </w:rPr>
              <w:t>http.end();</w:t>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fr-FR" w:eastAsia="en-US" w:bidi="ar-SA"/>
              </w:rPr>
              <w:t xml:space="preserve">  </w:t>
            </w:r>
            <w:r>
              <w:rPr>
                <w:rFonts w:eastAsia="Aptos" w:cs="Times New Roman" w:ascii="Times New Roman" w:hAnsi="Times New Roman"/>
                <w:kern w:val="2"/>
                <w:sz w:val="24"/>
                <w:szCs w:val="24"/>
                <w:lang w:val="fr-FR" w:eastAsia="en-US" w:bidi="ar-SA"/>
              </w:rPr>
              <w:t>}</w:t>
            </w:r>
          </w:p>
          <w:p>
            <w:pPr>
              <w:pStyle w:val="Normal"/>
              <w:widowControl/>
              <w:spacing w:lineRule="auto" w:line="360" w:before="0" w:after="0"/>
              <w:jc w:val="left"/>
              <w:rPr>
                <w:rFonts w:ascii="Times New Roman" w:hAnsi="Times New Roman" w:cs="Times New Roman"/>
              </w:rPr>
            </w:pPr>
            <w:r>
              <w:rPr>
                <w:rFonts w:eastAsia="Aptos" w:cs="Times New Roman" w:ascii="Times New Roman" w:hAnsi="Times New Roman"/>
                <w:kern w:val="2"/>
                <w:sz w:val="24"/>
                <w:szCs w:val="24"/>
                <w:lang w:val="fr-FR" w:eastAsia="en-US" w:bidi="ar-SA"/>
              </w:rPr>
              <w:t>}</w:t>
            </w:r>
          </w:p>
        </w:tc>
      </w:tr>
    </w:tbl>
    <w:p>
      <w:pPr>
        <w:pStyle w:val="Normal"/>
        <w:spacing w:lineRule="auto" w:line="360"/>
        <w:rPr>
          <w:rFonts w:ascii="Times New Roman" w:hAnsi="Times New Roman" w:cs="Times New Roman"/>
        </w:rPr>
      </w:pPr>
      <w:r>
        <w:rPr/>
        <w:drawing>
          <wp:inline distT="0" distB="0" distL="0" distR="0">
            <wp:extent cx="5760720" cy="1710055"/>
            <wp:effectExtent l="0" t="0" r="0" b="0"/>
            <wp:docPr id="22" name="Image15" descr="Une image contenant texte, capture d’écran, Police,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5" descr="Une image contenant texte, capture d’écran, Police, blanc&#10;&#10;Le contenu généré par l’IA peut être incorrect."/>
                    <pic:cNvPicPr>
                      <a:picLocks noChangeAspect="1" noChangeArrowheads="1"/>
                    </pic:cNvPicPr>
                  </pic:nvPicPr>
                  <pic:blipFill>
                    <a:blip r:embed="rId15"/>
                    <a:stretch>
                      <a:fillRect/>
                    </a:stretch>
                  </pic:blipFill>
                  <pic:spPr bwMode="auto">
                    <a:xfrm>
                      <a:off x="0" y="0"/>
                      <a:ext cx="5760720" cy="1710055"/>
                    </a:xfrm>
                    <a:prstGeom prst="rect">
                      <a:avLst/>
                    </a:prstGeom>
                    <a:noFill/>
                  </pic:spPr>
                </pic:pic>
              </a:graphicData>
            </a:graphic>
          </wp:inline>
        </w:drawing>
      </w:r>
    </w:p>
    <w:p>
      <w:pPr>
        <w:pStyle w:val="Normal"/>
        <w:spacing w:lineRule="auto" w:line="360"/>
        <w:jc w:val="center"/>
        <w:rPr>
          <w:rFonts w:ascii="Times New Roman" w:hAnsi="Times New Roman" w:cs="Times New Roman"/>
        </w:rPr>
      </w:pPr>
      <w:r>
        <w:rPr>
          <w:rFonts w:cs="Times New Roman" w:ascii="Times New Roman" w:hAnsi="Times New Roman"/>
        </w:rPr>
        <w:t>Capture du moniteur série démontrant le réveil par interruption (EXT0) et le succès de la transmission des données vers le Cloud</w:t>
      </w:r>
      <w:r>
        <w:rPr>
          <w:rFonts w:cs="Times New Roman" w:ascii="Times New Roman" w:hAnsi="Times New Roman"/>
          <w:i/>
          <w:iCs/>
        </w:rPr>
        <w:t>.</w:t>
      </w:r>
    </w:p>
    <w:p>
      <w:pPr>
        <w:pStyle w:val="Normal"/>
        <w:spacing w:lineRule="auto" w:line="360"/>
        <w:rPr>
          <w:rFonts w:ascii="Times New Roman" w:hAnsi="Times New Roman" w:cs="Times New Roman"/>
          <w:b/>
          <w:bCs/>
        </w:rPr>
      </w:pPr>
      <w:r>
        <w:rPr>
          <w:rFonts w:cs="Times New Roman" w:ascii="Times New Roman" w:hAnsi="Times New Roman"/>
          <w:b/>
          <w:bCs/>
        </w:rPr>
        <w:t>7.2. Intégration Cloud et Analyse des Données via ThingSpeak :</w:t>
      </w:r>
    </w:p>
    <w:p>
      <w:pPr>
        <w:pStyle w:val="Normal"/>
        <w:spacing w:lineRule="auto" w:line="360"/>
        <w:rPr>
          <w:rFonts w:ascii="Times New Roman" w:hAnsi="Times New Roman" w:cs="Times New Roman"/>
        </w:rPr>
      </w:pPr>
      <w:r>
        <w:rPr>
          <w:rFonts w:cs="Times New Roman" w:ascii="Times New Roman" w:hAnsi="Times New Roman"/>
        </w:rPr>
        <w:t xml:space="preserve">L'utilisation de la plateforme </w:t>
      </w:r>
      <w:r>
        <w:rPr>
          <w:rFonts w:cs="Times New Roman" w:ascii="Times New Roman" w:hAnsi="Times New Roman"/>
          <w:b/>
          <w:bCs/>
        </w:rPr>
        <w:t>ThingSpeak</w:t>
      </w:r>
      <w:r>
        <w:rPr>
          <w:rFonts w:cs="Times New Roman" w:ascii="Times New Roman" w:hAnsi="Times New Roman"/>
        </w:rPr>
        <w:t xml:space="preserve"> dans ce projet ne se limite pas à une simple interface de visualisation ; elle constitue la brique finale de la chaîne de conversion d'énergie du TENG, transformant une impulsion physique en une donnée numérique persistante.</w:t>
      </w:r>
    </w:p>
    <w:p>
      <w:pPr>
        <w:pStyle w:val="Normal"/>
        <w:spacing w:lineRule="auto" w:line="360"/>
        <w:rPr>
          <w:rFonts w:ascii="Times New Roman" w:hAnsi="Times New Roman" w:cs="Times New Roman"/>
        </w:rPr>
      </w:pPr>
      <w:r>
        <w:rPr>
          <w:rFonts w:cs="Times New Roman" w:ascii="Times New Roman" w:hAnsi="Times New Roman"/>
        </w:rPr>
        <w:t>Plusieurs raisons scientifiques et techniques justifient ce choix :</w:t>
      </w:r>
    </w:p>
    <w:p>
      <w:pPr>
        <w:pStyle w:val="Normal"/>
        <w:numPr>
          <w:ilvl w:val="0"/>
          <w:numId w:val="24"/>
        </w:numPr>
        <w:spacing w:lineRule="auto" w:line="360"/>
        <w:rPr>
          <w:rFonts w:ascii="Times New Roman" w:hAnsi="Times New Roman" w:cs="Times New Roman"/>
        </w:rPr>
      </w:pPr>
      <w:r>
        <w:rPr>
          <w:rFonts w:cs="Times New Roman" w:ascii="Times New Roman" w:hAnsi="Times New Roman"/>
          <w:b/>
          <w:bCs/>
        </w:rPr>
        <w:t>Validation du Concept "Self-Powered IoT" :</w:t>
      </w:r>
      <w:r>
        <w:rPr>
          <w:rFonts w:cs="Times New Roman" w:ascii="Times New Roman" w:hAnsi="Times New Roman"/>
        </w:rPr>
        <w:t xml:space="preserve"> La réception d'un point de donnée sur le serveur ThingSpeak est la preuve irréfutable que le système de management de puissance (PMM) a réussi à accumuler suffisamment d'énergie pour alimenter l'ESP32 et sa pile protocolaire WiFi. Comme le souligne </w:t>
      </w:r>
      <w:r>
        <w:rPr>
          <w:rFonts w:cs="Times New Roman" w:ascii="Times New Roman" w:hAnsi="Times New Roman"/>
          <w:i/>
          <w:iCs/>
        </w:rPr>
        <w:t>Dien et al. (2025)</w:t>
      </w:r>
      <w:r>
        <w:rPr>
          <w:rFonts w:cs="Times New Roman" w:ascii="Times New Roman" w:hAnsi="Times New Roman"/>
        </w:rPr>
        <w:t>, le succès de la transmission est l'indicateur ultime de l'efficacité d'un nanogénérateur.</w:t>
      </w:r>
    </w:p>
    <w:p>
      <w:pPr>
        <w:pStyle w:val="Normal"/>
        <w:numPr>
          <w:ilvl w:val="0"/>
          <w:numId w:val="24"/>
        </w:numPr>
        <w:spacing w:lineRule="auto" w:line="360"/>
        <w:rPr>
          <w:rFonts w:ascii="Times New Roman" w:hAnsi="Times New Roman" w:cs="Times New Roman"/>
        </w:rPr>
      </w:pPr>
      <w:r>
        <w:rPr>
          <w:rFonts w:cs="Times New Roman" w:ascii="Times New Roman" w:hAnsi="Times New Roman"/>
          <w:b/>
          <w:bCs/>
        </w:rPr>
        <w:t>Analyse Temporelle et Analyse de Fréquence :</w:t>
      </w:r>
      <w:r>
        <w:rPr>
          <w:rFonts w:cs="Times New Roman" w:ascii="Times New Roman" w:hAnsi="Times New Roman"/>
        </w:rPr>
        <w:t xml:space="preserve"> Grâce à l'horodatage automatique (Timestamping) de ThingSpeak, nous pouvons analyser le rythme des pressions sur le tapis. Cela permet de transformer un simple tapis en un outil statistique capable de mesurer l'affluence ou la vitesse de marche, illustrant ainsi le concept de </w:t>
      </w:r>
      <w:r>
        <w:rPr>
          <w:rFonts w:cs="Times New Roman" w:ascii="Times New Roman" w:hAnsi="Times New Roman"/>
          <w:b/>
          <w:bCs/>
        </w:rPr>
        <w:t>"Smart Sensing"</w:t>
      </w:r>
      <w:r>
        <w:rPr>
          <w:rFonts w:cs="Times New Roman" w:ascii="Times New Roman" w:hAnsi="Times New Roman"/>
        </w:rPr>
        <w:t xml:space="preserve"> (Capteur Intelligent).</w:t>
      </w:r>
    </w:p>
    <w:p>
      <w:pPr>
        <w:pStyle w:val="Normal"/>
        <w:numPr>
          <w:ilvl w:val="0"/>
          <w:numId w:val="24"/>
        </w:numPr>
        <w:spacing w:lineRule="auto" w:line="360"/>
        <w:rPr>
          <w:rFonts w:ascii="Times New Roman" w:hAnsi="Times New Roman" w:cs="Times New Roman"/>
        </w:rPr>
      </w:pPr>
      <w:r>
        <w:rPr>
          <w:rFonts w:cs="Times New Roman" w:ascii="Times New Roman" w:hAnsi="Times New Roman"/>
          <w:b/>
          <w:bCs/>
        </w:rPr>
        <w:t>Interopérabilité et Alertes en Temps Réel :</w:t>
      </w:r>
      <w:r>
        <w:rPr>
          <w:rFonts w:cs="Times New Roman" w:ascii="Times New Roman" w:hAnsi="Times New Roman"/>
        </w:rPr>
        <w:t xml:space="preserve"> ThingSpeak utilise l'API REST, ce qui permet d'imaginer des scénarios de sécurité avancés. Par exemple, une pression détectée par le TENG pourrait déclencher une notification immédiate sur le smartphone d'un utilisateur via un lien avec l'application IFTTT, illustrant le passage de la physique fondamentale à la sécurité domestique connectée.</w:t>
      </w:r>
    </w:p>
    <w:p>
      <w:pPr>
        <w:pStyle w:val="Normal"/>
        <w:numPr>
          <w:ilvl w:val="0"/>
          <w:numId w:val="24"/>
        </w:numPr>
        <w:spacing w:lineRule="auto" w:line="360"/>
        <w:rPr>
          <w:rFonts w:ascii="Times New Roman" w:hAnsi="Times New Roman" w:cs="Times New Roman"/>
        </w:rPr>
      </w:pPr>
      <w:r>
        <w:rPr>
          <w:rFonts w:cs="Times New Roman" w:ascii="Times New Roman" w:hAnsi="Times New Roman"/>
          <w:b/>
          <w:bCs/>
        </w:rPr>
        <w:t>Optimisation de la Bande Passante Énergétique :</w:t>
      </w:r>
      <w:r>
        <w:rPr>
          <w:rFonts w:cs="Times New Roman" w:ascii="Times New Roman" w:hAnsi="Times New Roman"/>
        </w:rPr>
        <w:t xml:space="preserve"> En configurant ThingSpeak pour recevoir des données uniquement lors d'un événement (détection d'un pas), nous réduisons le cycle d'utilisation de l'émetteur radio. Cette stratégie de </w:t>
      </w:r>
      <w:r>
        <w:rPr>
          <w:rFonts w:cs="Times New Roman" w:ascii="Times New Roman" w:hAnsi="Times New Roman"/>
          <w:b/>
          <w:bCs/>
        </w:rPr>
        <w:t>transmission asynchrone</w:t>
      </w:r>
      <w:r>
        <w:rPr>
          <w:rFonts w:cs="Times New Roman" w:ascii="Times New Roman" w:hAnsi="Times New Roman"/>
        </w:rPr>
        <w:t xml:space="preserve"> respecte la sobriété énergétique du TENG en évitant les communications inutiles, ce qui se traduit par un graphique en "pics" caractéristique d'une gestion éparse de l'information (</w:t>
      </w:r>
      <w:r>
        <w:rPr>
          <w:rFonts w:cs="Times New Roman" w:ascii="Times New Roman" w:hAnsi="Times New Roman"/>
          <w:i/>
          <w:iCs/>
        </w:rPr>
        <w:t>Sparse Data Management</w:t>
      </w:r>
      <w:r>
        <w:rPr>
          <w:rFonts w:cs="Times New Roman" w:ascii="Times New Roman" w:hAnsi="Times New Roman"/>
        </w:rPr>
        <w:t>).</w:t>
      </w:r>
    </w:p>
    <w:p>
      <w:pPr>
        <w:pStyle w:val="Normal"/>
        <w:spacing w:lineRule="auto" w:line="360"/>
        <w:rPr/>
      </w:pPr>
      <w:r>
        <w:rPr>
          <w:rFonts w:cs="Times New Roman" w:ascii="Times New Roman" w:hAnsi="Times New Roman"/>
        </w:rPr>
        <w:t xml:space="preserve">     </w:t>
      </w:r>
      <w:r>
        <w:rPr/>
        <w:drawing>
          <wp:inline distT="0" distB="0" distL="0" distR="0">
            <wp:extent cx="5363210" cy="3752850"/>
            <wp:effectExtent l="0" t="0" r="0" b="0"/>
            <wp:docPr id="23" name="Image16"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6" descr="Une image contenant texte, capture d’écran, Police, nombre&#10;&#10;Le contenu généré par l’IA peut être incorrect."/>
                    <pic:cNvPicPr>
                      <a:picLocks noChangeAspect="1" noChangeArrowheads="1"/>
                    </pic:cNvPicPr>
                  </pic:nvPicPr>
                  <pic:blipFill>
                    <a:blip r:embed="rId16"/>
                    <a:srcRect l="1687" t="0" r="3545" b="2809"/>
                    <a:stretch>
                      <a:fillRect/>
                    </a:stretch>
                  </pic:blipFill>
                  <pic:spPr bwMode="auto">
                    <a:xfrm>
                      <a:off x="0" y="0"/>
                      <a:ext cx="5363210" cy="3752850"/>
                    </a:xfrm>
                    <a:prstGeom prst="rect">
                      <a:avLst/>
                    </a:prstGeom>
                    <a:noFill/>
                  </pic:spPr>
                </pic:pic>
              </a:graphicData>
            </a:graphic>
          </wp:inline>
        </w:drawing>
      </w:r>
    </w:p>
    <w:p>
      <w:pPr>
        <w:pStyle w:val="Normal"/>
        <w:spacing w:lineRule="auto" w:line="360"/>
        <w:jc w:val="center"/>
        <w:rPr>
          <w:rFonts w:ascii="Times New Roman" w:hAnsi="Times New Roman" w:cs="Times New Roman"/>
        </w:rPr>
      </w:pPr>
      <w:r>
        <w:rPr>
          <w:rFonts w:cs="Times New Roman" w:ascii="Times New Roman" w:hAnsi="Times New Roman"/>
        </w:rPr>
        <w:t>Figure 7.2 : Visualisation en temps réel sur ThingSpeak. Chaque pic représente une conversion réussie de l'énergie mécanique du TENG en un paquet de données TCP/IP transmis via WiFi</w:t>
      </w:r>
    </w:p>
    <w:p>
      <w:pPr>
        <w:pStyle w:val="ListParagraph"/>
        <w:numPr>
          <w:ilvl w:val="0"/>
          <w:numId w:val="26"/>
        </w:numPr>
        <w:spacing w:lineRule="auto" w:line="360"/>
        <w:rPr>
          <w:rFonts w:ascii="Times New Roman" w:hAnsi="Times New Roman" w:cs="Times New Roman"/>
        </w:rPr>
      </w:pPr>
      <w:r>
        <w:rPr>
          <w:rFonts w:cs="Times New Roman" w:ascii="Times New Roman" w:hAnsi="Times New Roman"/>
        </w:rPr>
        <w:t xml:space="preserve">La simulation sur </w:t>
      </w:r>
      <w:r>
        <w:rPr>
          <w:rFonts w:cs="Times New Roman" w:ascii="Times New Roman" w:hAnsi="Times New Roman"/>
          <w:b/>
          <w:bCs/>
        </w:rPr>
        <w:t>Falstad</w:t>
      </w:r>
      <w:r>
        <w:rPr>
          <w:rFonts w:cs="Times New Roman" w:ascii="Times New Roman" w:hAnsi="Times New Roman"/>
        </w:rPr>
        <w:t xml:space="preserve"> a validé la partie matérielle (étage de puissance), tandis que la simulation sur </w:t>
      </w:r>
      <w:r>
        <w:rPr>
          <w:rFonts w:cs="Times New Roman" w:ascii="Times New Roman" w:hAnsi="Times New Roman"/>
          <w:b/>
          <w:bCs/>
        </w:rPr>
        <w:t>Wokwi</w:t>
      </w:r>
      <w:r>
        <w:rPr>
          <w:rFonts w:cs="Times New Roman" w:ascii="Times New Roman" w:hAnsi="Times New Roman"/>
        </w:rPr>
        <w:t xml:space="preserve"> a validé la partie logicielle (intelligence du capteur). L'union de ces deux étapes confirme la faisabilité d'un tapis intelligent auto-alimenté.</w:t>
      </w:r>
    </w:p>
    <w:p>
      <w:pPr>
        <w:pStyle w:val="NormalWeb"/>
        <w:numPr>
          <w:ilvl w:val="0"/>
          <w:numId w:val="26"/>
        </w:numPr>
        <w:spacing w:lineRule="auto" w:line="360" w:before="280" w:after="0"/>
        <w:rPr/>
      </w:pPr>
      <w:r>
        <w:rPr/>
        <w:t xml:space="preserve">Au terme de ce travail, les </w:t>
      </w:r>
      <w:r>
        <w:rPr>
          <w:b/>
          <w:bCs/>
        </w:rPr>
        <w:t>résultats obtenus</w:t>
      </w:r>
      <w:r>
        <w:rPr/>
        <w:t xml:space="preserve"> valident la viabilité du concept. Grâce à une modélisation rigoureuse du circuit de management de puissance (PMM), nous avons démontré qu'il est possible de convertir les impulsions haute tension du TENG en une </w:t>
      </w:r>
      <w:r>
        <w:rPr>
          <w:b/>
          <w:bCs/>
        </w:rPr>
        <w:t>tension continue stable de 3,3 V</w:t>
      </w:r>
      <w:r>
        <w:rPr/>
        <w:t xml:space="preserve">. Cette stabilité, indispensable à la protection des composants électroniques, a permis d'assurer une </w:t>
      </w:r>
      <w:r>
        <w:rPr>
          <w:b/>
          <w:bCs/>
        </w:rPr>
        <w:t>transmission réussie des données vers le Cloud via la plateforme ThingSpeak</w:t>
      </w:r>
      <w:r>
        <w:rPr/>
        <w:t>, confirmant ainsi la capacité du système à générer et transmettre une information numérique sans batterie externe.</w:t>
      </w:r>
    </w:p>
    <w:p>
      <w:pPr>
        <w:pStyle w:val="NormalWeb"/>
        <w:numPr>
          <w:ilvl w:val="0"/>
          <w:numId w:val="26"/>
        </w:numPr>
        <w:spacing w:lineRule="auto" w:line="360" w:before="0" w:after="0"/>
        <w:rPr/>
      </w:pPr>
      <w:r>
        <w:rPr/>
        <w:t xml:space="preserve">Sur un plan académique, ce projet a constitué un </w:t>
      </w:r>
      <w:r>
        <w:rPr>
          <w:b/>
          <w:bCs/>
        </w:rPr>
        <w:t>apport personnel substantiel</w:t>
      </w:r>
      <w:r>
        <w:rPr/>
        <w:t xml:space="preserve">, me permettant de développer une double compétence en physique et en ingénierie. J'ai acquis une </w:t>
      </w:r>
      <w:r>
        <w:rPr>
          <w:b/>
          <w:bCs/>
        </w:rPr>
        <w:t>maîtrise approfondie des outils de simulation</w:t>
      </w:r>
      <w:r>
        <w:rPr/>
        <w:t xml:space="preserve"> (Falstad et Wokwi) pour pallier l'absence de composants TENG natifs, ainsi qu'une expertise en </w:t>
      </w:r>
      <w:r>
        <w:rPr>
          <w:b/>
          <w:bCs/>
        </w:rPr>
        <w:t>programmation de systèmes à basse consommation</w:t>
      </w:r>
      <w:r>
        <w:rPr/>
        <w:t xml:space="preserve">. L'implémentation du mode </w:t>
      </w:r>
      <w:r>
        <w:rPr>
          <w:b/>
          <w:bCs/>
        </w:rPr>
        <w:t>Deep Sleep</w:t>
      </w:r>
      <w:r>
        <w:rPr/>
        <w:t xml:space="preserve"> et de la gestion par interruptions (EXT0) a été cruciale pour adapter la consommation de l'ESP32 aux faibles courants produits par l'effet triboélectrique.</w:t>
      </w:r>
    </w:p>
    <w:p>
      <w:pPr>
        <w:pStyle w:val="NormalWeb"/>
        <w:numPr>
          <w:ilvl w:val="0"/>
          <w:numId w:val="26"/>
        </w:numPr>
        <w:spacing w:lineRule="auto" w:line="360" w:before="0" w:after="280"/>
        <w:rPr/>
      </w:pPr>
      <w:r>
        <w:rPr>
          <w:b/>
          <w:bCs/>
        </w:rPr>
        <w:t>Pour aller plus loin, une réalisation physique</w:t>
      </w:r>
      <w:r>
        <w:rPr/>
        <w:t xml:space="preserve"> de ce prototype constituerait une suite naturelle à ce travail. Cela permettrait de </w:t>
      </w:r>
      <w:r>
        <w:rPr>
          <w:b/>
          <w:bCs/>
        </w:rPr>
        <w:t>comparer les rendements réels des matériaux étudiés (notamment le couple PTFE/Nylon)</w:t>
      </w:r>
      <w:r>
        <w:rPr/>
        <w:t xml:space="preserve"> avec nos modèles théoriques, et d'affiner l'optimisation des nanostructures de surface pour maximiser la densité de puissance en conditions réelles.</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b/>
          <w:bCs/>
        </w:rPr>
      </w:pPr>
      <w:r>
        <w:rPr>
          <w:rFonts w:cs="Times New Roman" w:ascii="Times New Roman" w:hAnsi="Times New Roman"/>
          <w:b/>
          <w:bCs/>
        </w:rPr>
        <w:t>Chapitre VIII : Caractérisation Expérimentale et Résultats :</w:t>
      </w:r>
    </w:p>
    <w:p>
      <w:pPr>
        <w:pStyle w:val="Normal"/>
        <w:spacing w:lineRule="auto" w:line="360"/>
        <w:rPr>
          <w:rFonts w:ascii="Times New Roman" w:hAnsi="Times New Roman" w:cs="Times New Roman"/>
        </w:rPr>
      </w:pPr>
      <w:r>
        <w:rPr>
          <w:rFonts w:cs="Times New Roman" w:ascii="Times New Roman" w:hAnsi="Times New Roman"/>
        </w:rPr>
        <w:t>Cette section présente les preuves empiriques de la performance du dispositif.</w:t>
      </w:r>
    </w:p>
    <w:p>
      <w:pPr>
        <w:pStyle w:val="Normal"/>
        <w:spacing w:lineRule="auto" w:line="360"/>
        <w:rPr>
          <w:rFonts w:ascii="Times New Roman" w:hAnsi="Times New Roman" w:cs="Times New Roman"/>
          <w:b/>
          <w:bCs/>
        </w:rPr>
      </w:pPr>
      <w:r>
        <w:rPr>
          <w:rFonts w:cs="Times New Roman" w:ascii="Times New Roman" w:hAnsi="Times New Roman"/>
          <w:b/>
          <w:bCs/>
        </w:rPr>
        <w:t>8.1 Mesures Électriques :</w:t>
      </w:r>
    </w:p>
    <w:p>
      <w:pPr>
        <w:pStyle w:val="Normal"/>
        <w:spacing w:lineRule="auto" w:line="360"/>
        <w:rPr>
          <w:rFonts w:ascii="Times New Roman" w:hAnsi="Times New Roman" w:cs="Times New Roman"/>
        </w:rPr>
      </w:pPr>
      <w:r>
        <w:rPr>
          <w:rFonts w:cs="Times New Roman" w:ascii="Times New Roman" w:hAnsi="Times New Roman"/>
        </w:rPr>
        <w:t>Les performances sont quantifiées par deux paramètres clés mesurés à l'aide d'un oscilloscope à haute impédance :</w:t>
      </w:r>
    </w:p>
    <w:p>
      <w:pPr>
        <w:pStyle w:val="Normal"/>
        <w:numPr>
          <w:ilvl w:val="0"/>
          <w:numId w:val="18"/>
        </w:numPr>
        <w:spacing w:lineRule="auto" w:line="360"/>
        <w:rPr>
          <w:rFonts w:ascii="Times New Roman" w:hAnsi="Times New Roman" w:cs="Times New Roman"/>
        </w:rPr>
      </w:pPr>
      <w:r>
        <w:rPr>
          <w:rFonts w:cs="Times New Roman" w:ascii="Times New Roman" w:hAnsi="Times New Roman"/>
        </w:rPr>
        <w:t>Tension en circuit ouvert V_{oc} : Qui reflète la densité de charge de surface maximale atteinte par le couple Alu/PTFE.</w:t>
      </w:r>
    </w:p>
    <w:p>
      <w:pPr>
        <w:pStyle w:val="Normal"/>
        <w:numPr>
          <w:ilvl w:val="0"/>
          <w:numId w:val="18"/>
        </w:numPr>
        <w:spacing w:lineRule="auto" w:line="360"/>
        <w:rPr/>
      </w:pPr>
      <w:r>
        <w:rPr>
          <w:rFonts w:cs="Times New Roman" w:ascii="Times New Roman" w:hAnsi="Times New Roman"/>
        </w:rPr>
        <w:t>Courant de court-circuit I_{sc}: Qui indique la vitesse de transfert des charges induites lors du contact.</w:t>
      </w:r>
      <w:r>
        <w:rPr>
          <w:rFonts w:eastAsia="Times New Roman" w:cs="Times New Roman" w:ascii="Times New Roman" w:hAnsi="Times New Roman"/>
          <w:kern w:val="0"/>
          <w:lang w:eastAsia="fr-FR"/>
          <w14:ligatures w14:val="none"/>
        </w:rPr>
        <w:t xml:space="preserve"> </w:t>
      </w:r>
      <w:r>
        <w:rPr/>
        <w:t>Les mesures confirment la théorie de Zhou et al. :</w:t>
      </w:r>
    </w:p>
    <w:p>
      <w:pPr>
        <w:pStyle w:val="Normal"/>
        <w:numPr>
          <w:ilvl w:val="0"/>
          <w:numId w:val="18"/>
        </w:numPr>
        <w:spacing w:lineRule="auto" w:line="360"/>
        <w:rPr>
          <w:rFonts w:ascii="Times New Roman" w:hAnsi="Times New Roman" w:cs="Times New Roman"/>
        </w:rPr>
      </w:pPr>
      <w:r>
        <w:rPr>
          <w:rFonts w:cs="Times New Roman" w:ascii="Times New Roman" w:hAnsi="Times New Roman"/>
          <w:b/>
          <w:bCs/>
        </w:rPr>
        <w:t>V_oc (Tension à vide) :</w:t>
      </w:r>
      <w:r>
        <w:rPr>
          <w:rFonts w:cs="Times New Roman" w:ascii="Times New Roman" w:hAnsi="Times New Roman"/>
        </w:rPr>
        <w:t xml:space="preserve"> On observe des pics atteignant 15-20V lors d'un pas normal.</w:t>
      </w:r>
    </w:p>
    <w:p>
      <w:pPr>
        <w:pStyle w:val="Normal"/>
        <w:numPr>
          <w:ilvl w:val="0"/>
          <w:numId w:val="18"/>
        </w:numPr>
        <w:spacing w:lineRule="auto" w:line="360"/>
        <w:rPr>
          <w:rFonts w:ascii="Times New Roman" w:hAnsi="Times New Roman" w:cs="Times New Roman"/>
        </w:rPr>
      </w:pPr>
      <w:r>
        <w:rPr>
          <w:rFonts w:cs="Times New Roman" w:ascii="Times New Roman" w:hAnsi="Times New Roman"/>
          <w:b/>
          <w:bCs/>
        </w:rPr>
        <w:t>Stabilité :</w:t>
      </w:r>
      <w:r>
        <w:rPr>
          <w:rFonts w:cs="Times New Roman" w:ascii="Times New Roman" w:hAnsi="Times New Roman"/>
        </w:rPr>
        <w:t xml:space="preserve"> La répétabilité du signal sur 100 cycles montre une excellente stabilité du transfert de charge Alu/PTFE.</w:t>
      </w:r>
    </w:p>
    <w:p>
      <w:pPr>
        <w:pStyle w:val="ListParagraph"/>
        <w:numPr>
          <w:ilvl w:val="0"/>
          <w:numId w:val="18"/>
        </w:numPr>
        <w:spacing w:lineRule="auto" w:line="360" w:before="0" w:after="0"/>
        <w:contextualSpacing/>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t>L'expérimentation a consisté à soumettre le tapis à des fréquences de marche allant de 1 Hz à 3 Hz. Les résultats montrent que la tension en circuit ouvert (</w:t>
      </w:r>
      <w:r>
        <w:rPr>
          <w:rFonts w:eastAsia="Times New Roman" w:cs="Arial" w:ascii="Arial" w:hAnsi="Arial"/>
          <w:kern w:val="0"/>
          <w:lang w:eastAsia="fr-FR"/>
          <w14:ligatures w14:val="none"/>
        </w:rPr>
        <w:t>$V_{oc}$</w:t>
      </w:r>
      <w:r>
        <w:rPr>
          <w:rFonts w:eastAsia="Times New Roman" w:cs="Times New Roman" w:ascii="Times New Roman" w:hAnsi="Times New Roman"/>
          <w:kern w:val="0"/>
          <w:lang w:eastAsia="fr-FR"/>
          <w14:ligatures w14:val="none"/>
        </w:rPr>
        <w:t xml:space="preserve">) augmente linéairement avec la force de contact, validant ainsi la sensibilité du capteur. L'observation du signal sur le </w:t>
      </w:r>
      <w:r>
        <w:rPr>
          <w:rFonts w:eastAsia="Times New Roman" w:cs="Arial" w:ascii="Arial" w:hAnsi="Arial"/>
          <w:b/>
          <w:bCs/>
          <w:kern w:val="0"/>
          <w:lang w:eastAsia="fr-FR"/>
          <w14:ligatures w14:val="none"/>
        </w:rPr>
        <w:t>Traceur Série de l'IDE Arduino (utilisé avec l'ESP32)</w:t>
      </w:r>
      <w:r>
        <w:rPr>
          <w:rFonts w:eastAsia="Times New Roman" w:cs="Times New Roman" w:ascii="Times New Roman" w:hAnsi="Times New Roman"/>
          <w:kern w:val="0"/>
          <w:lang w:eastAsia="fr-FR"/>
          <w14:ligatures w14:val="none"/>
        </w:rPr>
        <w:t xml:space="preserve"> permet de visualiser les pics de tension caractéristiques du transfert de charge.</w:t>
      </w:r>
    </w:p>
    <w:p>
      <w:pPr>
        <w:pStyle w:val="Normal"/>
        <w:numPr>
          <w:ilvl w:val="0"/>
          <w:numId w:val="0"/>
        </w:numPr>
        <w:spacing w:lineRule="auto" w:line="360" w:before="0" w:afterAutospacing="1"/>
        <w:outlineLvl w:val="3"/>
        <w:rPr>
          <w:rFonts w:ascii="Arial" w:hAnsi="Arial" w:eastAsia="Times New Roman" w:cs="Arial"/>
          <w:b/>
          <w:bCs/>
          <w:kern w:val="0"/>
          <w:lang w:eastAsia="fr-FR"/>
          <w14:ligatures w14:val="none"/>
        </w:rPr>
      </w:pPr>
      <w:r>
        <w:rPr>
          <w:rFonts w:eastAsia="Times New Roman" w:cs="Arial" w:ascii="Arial" w:hAnsi="Arial"/>
          <w:b/>
          <w:bCs/>
          <w:kern w:val="0"/>
          <w:lang w:eastAsia="fr-FR"/>
          <w14:ligatures w14:val="none"/>
        </w:rPr>
        <w:t>Visualisation des Pics de Tension</w:t>
      </w:r>
    </w:p>
    <w:p>
      <w:pPr>
        <w:pStyle w:val="Normal"/>
        <w:spacing w:lineRule="auto" w:line="360" w:before="0" w:afterAutospacing="1"/>
        <w:rPr>
          <w:rFonts w:ascii="Arial" w:hAnsi="Arial" w:eastAsia="Times New Roman" w:cs="Arial"/>
          <w:kern w:val="0"/>
          <w:lang w:eastAsia="fr-FR"/>
          <w14:ligatures w14:val="none"/>
        </w:rPr>
      </w:pPr>
      <w:r>
        <w:rPr>
          <w:rFonts w:eastAsia="Times New Roman" w:cs="Arial" w:ascii="Arial" w:hAnsi="Arial"/>
          <w:kern w:val="0"/>
          <w:lang w:eastAsia="fr-FR"/>
          <w14:ligatures w14:val="none"/>
        </w:rPr>
        <w:t>Les tests expérimentaux montrent des pics de tension $V_{oc}$ caractéristiques. À chaque pression, un pic positif est observé (transfert d'électrons), suivi d'un pic négatif lors de la séparation (retour à l'équilibre).</w:t>
      </w:r>
    </w:p>
    <w:p>
      <w:pPr>
        <w:pStyle w:val="Normal"/>
        <w:numPr>
          <w:ilvl w:val="0"/>
          <w:numId w:val="18"/>
        </w:numPr>
        <w:spacing w:lineRule="auto" w:line="360" w:before="0" w:afterAutospacing="1"/>
        <w:rPr>
          <w:rFonts w:ascii="Arial" w:hAnsi="Arial" w:eastAsia="Times New Roman" w:cs="Arial"/>
          <w:kern w:val="0"/>
          <w:lang w:eastAsia="fr-FR"/>
          <w14:ligatures w14:val="none"/>
        </w:rPr>
      </w:pPr>
      <w:r>
        <w:rPr>
          <w:rFonts w:eastAsia="Times New Roman" w:cs="Arial" w:ascii="Arial" w:hAnsi="Arial"/>
          <w:b/>
          <w:bCs/>
          <w:kern w:val="0"/>
          <w:lang w:eastAsia="fr-FR"/>
          <w14:ligatures w14:val="none"/>
        </w:rPr>
        <w:t>Fréquence :</w:t>
      </w:r>
      <w:r>
        <w:rPr>
          <w:rFonts w:eastAsia="Times New Roman" w:cs="Arial" w:ascii="Arial" w:hAnsi="Arial"/>
          <w:kern w:val="0"/>
          <w:lang w:eastAsia="fr-FR"/>
          <w14:ligatures w14:val="none"/>
        </w:rPr>
        <w:t xml:space="preserve"> Le système est optimisé pour des fréquences de marche humaine (1-3 Hz).</w:t>
      </w:r>
    </w:p>
    <w:p>
      <w:pPr>
        <w:pStyle w:val="Normal"/>
        <w:spacing w:lineRule="auto" w:line="360"/>
        <w:ind w:left="360"/>
        <w:rPr>
          <w:rFonts w:ascii="Times New Roman" w:hAnsi="Times New Roman" w:cs="Times New Roman"/>
          <w:b/>
          <w:bCs/>
        </w:rPr>
      </w:pPr>
      <w:r>
        <w:rPr>
          <w:rFonts w:cs="Times New Roman" w:ascii="Times New Roman" w:hAnsi="Times New Roman"/>
          <w:b/>
          <w:bCs/>
        </w:rPr>
        <w:t>8.2</w:t>
      </w:r>
      <w:r>
        <w:rPr>
          <w:rFonts w:cs="Times New Roman" w:ascii="Times New Roman" w:hAnsi="Times New Roman"/>
        </w:rPr>
        <w:t xml:space="preserve"> </w:t>
      </w:r>
      <w:r>
        <w:rPr>
          <w:rFonts w:cs="Times New Roman" w:ascii="Times New Roman" w:hAnsi="Times New Roman"/>
          <w:b/>
          <w:bCs/>
        </w:rPr>
        <w:t>Évaluation de la Sensibilité :</w:t>
      </w:r>
    </w:p>
    <w:p>
      <w:pPr>
        <w:pStyle w:val="Normal"/>
        <w:spacing w:lineRule="auto" w:line="360"/>
        <w:ind w:left="360"/>
        <w:rPr>
          <w:rFonts w:ascii="Times New Roman" w:hAnsi="Times New Roman" w:cs="Times New Roman"/>
        </w:rPr>
      </w:pPr>
      <w:r>
        <w:rPr>
          <w:rFonts w:cs="Times New Roman" w:ascii="Times New Roman" w:hAnsi="Times New Roman"/>
        </w:rPr>
        <w:t>Les tests montrent une corrélation linéaire entre la force d'impact et l'amplitude du signal électrique. L'analyse de durabilité révèle une stabilité du signal sur plusieurs milliers de cycles, bien qu'une légère dégradation puisse être observée en cas de forte humidité, soulignant l'importance d'un packaging étanche pour les applications réelles.</w:t>
      </w:r>
    </w:p>
    <w:p>
      <w:pPr>
        <w:pStyle w:val="Normal"/>
        <w:spacing w:lineRule="auto" w:line="360"/>
        <w:ind w:left="360"/>
        <w:rPr>
          <w:rFonts w:ascii="Times New Roman" w:hAnsi="Times New Roman" w:cs="Times New Roman"/>
          <w:i/>
          <w:i/>
          <w:iCs/>
        </w:rPr>
      </w:pPr>
      <w:r>
        <w:rPr>
          <w:rFonts w:cs="Times New Roman" w:ascii="Times New Roman" w:hAnsi="Times New Roman"/>
          <w:b/>
          <w:bCs/>
        </w:rPr>
        <w:t>[IMAGE 4 : Graphique des résultats expérimentaux]</w:t>
      </w:r>
      <w:r>
        <w:rPr>
          <w:rFonts w:cs="Times New Roman" w:ascii="Times New Roman" w:hAnsi="Times New Roman"/>
        </w:rPr>
        <w:t xml:space="preserve"> </w:t>
      </w:r>
      <w:r>
        <w:rPr>
          <w:rFonts w:cs="Times New Roman" w:ascii="Times New Roman" w:hAnsi="Times New Roman"/>
          <w:i/>
          <w:iCs/>
        </w:rPr>
        <w:t>(Description de l'image : Capture d'écran du Traceur Série Arduino montrant les pics de tension (V) en fonction du temps (s) lors de pressions successives).</w:t>
      </w:r>
    </w:p>
    <w:p>
      <w:pPr>
        <w:pStyle w:val="Normal"/>
        <w:spacing w:lineRule="auto" w:line="360"/>
        <w:ind w:left="360"/>
        <w:rPr>
          <w:rFonts w:ascii="Times New Roman" w:hAnsi="Times New Roman" w:cs="Times New Roman"/>
        </w:rPr>
      </w:pPr>
      <w:r>
        <w:rPr>
          <w:rFonts w:cs="Times New Roman" w:ascii="Times New Roman" w:hAnsi="Times New Roman"/>
        </w:rPr>
        <w:t xml:space="preserve">L'intégration réussie de la physique du solide (Série triboélectrique) et de l'électronique de puissance permet de valider le concept de </w:t>
      </w:r>
      <w:r>
        <w:rPr>
          <w:rFonts w:cs="Times New Roman" w:ascii="Times New Roman" w:hAnsi="Times New Roman"/>
          <w:b/>
          <w:bCs/>
        </w:rPr>
        <w:t>Tapis Intelligent Auto-alimenté</w:t>
      </w:r>
      <w:r>
        <w:rPr>
          <w:rFonts w:cs="Times New Roman" w:ascii="Times New Roman" w:hAnsi="Times New Roman"/>
        </w:rPr>
        <w:t>. Les défis futurs résident dans la nanostructuration des surfaces pour augmenter encore la densité de charge.</w:t>
      </w:r>
    </w:p>
    <w:p>
      <w:pPr>
        <w:pStyle w:val="Normal"/>
        <w:spacing w:lineRule="auto" w:line="360"/>
        <w:ind w:left="360"/>
        <w:rPr>
          <w:rFonts w:ascii="Times New Roman" w:hAnsi="Times New Roman" w:cs="Times New Roman"/>
        </w:rPr>
      </w:pPr>
      <w:r>
        <w:rPr>
          <w:rFonts w:cs="Times New Roman" w:ascii="Times New Roman" w:hAnsi="Times New Roman"/>
          <w:b/>
          <w:bCs/>
        </w:rPr>
        <w:t>[IMAGE 4 : Résultats expérimentaux à l'oscilloscope]</w:t>
      </w:r>
      <w:r>
        <w:rPr>
          <w:rFonts w:cs="Times New Roman" w:ascii="Times New Roman" w:hAnsi="Times New Roman"/>
        </w:rPr>
        <w:t xml:space="preserve"> </w:t>
      </w:r>
      <w:r>
        <w:rPr>
          <w:rFonts w:cs="Times New Roman" w:ascii="Times New Roman" w:hAnsi="Times New Roman"/>
          <w:i/>
          <w:iCs/>
        </w:rPr>
        <w:t>(Description : Courbes réelles montrant les pics de tension générés par une marche normale sur le prototype).</w:t>
      </w:r>
    </w:p>
    <w:p>
      <w:pPr>
        <w:pStyle w:val="Normal"/>
        <w:spacing w:lineRule="auto" w:line="360"/>
        <w:ind w:left="360"/>
        <w:rPr>
          <w:rFonts w:ascii="Times New Roman" w:hAnsi="Times New Roman" w:cs="Times New Roman"/>
        </w:rPr>
      </w:pPr>
      <w:r>
        <w:rPr>
          <w:rFonts w:cs="Times New Roman" w:ascii="Times New Roman" w:hAnsi="Times New Roman"/>
        </w:rPr>
        <w:t xml:space="preserve">Après 1000 cycles de test, la densité de charge de surface reste stable à environ 95% de sa valeur initiale. Cela prouve que le packaging conçu protège efficacement les couches actives de l'humidité ambiante, un défi majeur identifié dans l'article de </w:t>
      </w:r>
      <w:r>
        <w:rPr>
          <w:rFonts w:cs="Times New Roman" w:ascii="Times New Roman" w:hAnsi="Times New Roman"/>
          <w:i/>
          <w:iCs/>
        </w:rPr>
        <w:t>Hu et al.</w:t>
      </w:r>
      <w:r>
        <w:rPr>
          <w:rFonts w:cs="Times New Roman" w:ascii="Times New Roman" w:hAnsi="Times New Roman"/>
        </w:rPr>
        <w:t>. En conclusion, ce prototype démontre que le couplage entre la physique du solide (TENG) et l'électronique moderne (ESP32) ouvre la voie à des infrastructures intelligentes et durables.</w:t>
      </w:r>
    </w:p>
    <w:p>
      <w:pPr>
        <w:pStyle w:val="Normal"/>
        <w:spacing w:lineRule="auto" w:line="360"/>
        <w:ind w:left="360"/>
        <w:rPr>
          <w:rFonts w:ascii="Times New Roman" w:hAnsi="Times New Roman" w:cs="Times New Roman"/>
        </w:rPr>
      </w:pPr>
      <w:r>
        <w:rPr>
          <w:rFonts w:cs="Times New Roman" w:ascii="Times New Roman" w:hAnsi="Times New Roman"/>
          <w:b/>
          <w:bCs/>
        </w:rPr>
        <w:t>[IMAGE 4 : Graphes de tension V(t) mesurés expérimentalement]</w:t>
      </w:r>
    </w:p>
    <w:p>
      <w:pPr>
        <w:pStyle w:val="Normal"/>
        <w:numPr>
          <w:ilvl w:val="0"/>
          <w:numId w:val="19"/>
        </w:numPr>
        <w:spacing w:lineRule="auto" w:line="360"/>
        <w:rPr>
          <w:rFonts w:ascii="Times New Roman" w:hAnsi="Times New Roman" w:cs="Times New Roman"/>
        </w:rPr>
      </w:pPr>
      <w:r>
        <w:rPr>
          <w:rFonts w:cs="Times New Roman" w:ascii="Times New Roman" w:hAnsi="Times New Roman"/>
          <w:b/>
          <w:bCs/>
        </w:rPr>
        <w:t>Emplacement :</w:t>
      </w:r>
      <w:r>
        <w:rPr>
          <w:rFonts w:cs="Times New Roman" w:ascii="Times New Roman" w:hAnsi="Times New Roman"/>
        </w:rPr>
        <w:t xml:space="preserve"> Section 8.1.</w:t>
      </w:r>
    </w:p>
    <w:p>
      <w:pPr>
        <w:pStyle w:val="Normal"/>
        <w:numPr>
          <w:ilvl w:val="0"/>
          <w:numId w:val="19"/>
        </w:numPr>
        <w:spacing w:lineRule="auto" w:line="360"/>
        <w:rPr>
          <w:rFonts w:ascii="Times New Roman" w:hAnsi="Times New Roman" w:cs="Times New Roman"/>
        </w:rPr>
      </w:pPr>
      <w:r>
        <w:rPr>
          <w:rFonts w:cs="Times New Roman" w:ascii="Times New Roman" w:hAnsi="Times New Roman"/>
          <w:b/>
          <w:bCs/>
        </w:rPr>
        <w:t>Source suggérée :</w:t>
      </w:r>
      <w:r>
        <w:rPr>
          <w:rFonts w:cs="Times New Roman" w:ascii="Times New Roman" w:hAnsi="Times New Roman"/>
        </w:rPr>
        <w:t xml:space="preserve"> </w:t>
      </w:r>
      <w:r>
        <w:rPr>
          <w:rFonts w:cs="Times New Roman" w:ascii="Times New Roman" w:hAnsi="Times New Roman"/>
          <w:i/>
          <w:iCs/>
        </w:rPr>
        <w:t>Zhou et al. (2020)</w:t>
      </w:r>
      <w:r>
        <w:rPr>
          <w:rFonts w:cs="Times New Roman" w:ascii="Times New Roman" w:hAnsi="Times New Roman"/>
        </w:rPr>
        <w:t>, Figure 4 (Article 2). C'est le graphique de référence pour les signaux de sortie TENG.</w:t>
      </w:r>
    </w:p>
    <w:p>
      <w:pPr>
        <w:pStyle w:val="Normal"/>
        <w:spacing w:lineRule="auto" w:line="360"/>
        <w:rPr>
          <w:rFonts w:ascii="Times New Roman" w:hAnsi="Times New Roman" w:eastAsia="Times New Roman" w:cs="Times New Roman"/>
          <w:b/>
          <w:bCs/>
          <w:kern w:val="0"/>
          <w:lang w:eastAsia="fr-FR"/>
          <w14:ligatures w14:val="none"/>
        </w:rPr>
      </w:pPr>
      <w:r>
        <w:rPr>
          <w:rFonts w:eastAsia="Times New Roman" w:cs="Times New Roman" w:ascii="Times New Roman" w:hAnsi="Times New Roman"/>
          <w:b/>
          <w:bCs/>
          <w:kern w:val="0"/>
          <w:lang w:eastAsia="fr-FR"/>
          <w14:ligatures w14:val="none"/>
        </w:rPr>
      </w:r>
    </w:p>
    <w:p>
      <w:pPr>
        <w:pStyle w:val="ListParagraph"/>
        <w:spacing w:lineRule="auto" w:line="360"/>
        <w:rPr>
          <w:rFonts w:ascii="Times New Roman" w:hAnsi="Times New Roman" w:eastAsia="Times New Roman" w:cs="Times New Roman"/>
          <w:kern w:val="0"/>
          <w:lang w:eastAsia="fr-FR"/>
          <w14:ligatures w14:val="none"/>
        </w:rPr>
      </w:pPr>
      <w:r>
        <w:rPr/>
        <mc:AlternateContent>
          <mc:Choice Requires="wps">
            <w:drawing>
              <wp:inline distT="0" distB="0" distL="0" distR="0">
                <wp:extent cx="576072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ListParagraph"/>
        <w:spacing w:lineRule="auto" w:line="360"/>
        <w:rPr>
          <w:rFonts w:ascii="Times New Roman" w:hAnsi="Times New Roman" w:eastAsia="Times New Roman" w:cs="Times New Roman"/>
          <w:b/>
          <w:bCs/>
          <w:kern w:val="0"/>
          <w:lang w:eastAsia="fr-FR"/>
          <w14:ligatures w14:val="none"/>
        </w:rPr>
      </w:pPr>
      <w:r>
        <w:rPr>
          <w:rFonts w:eastAsia="Times New Roman" w:cs="Times New Roman" w:ascii="Times New Roman" w:hAnsi="Times New Roman"/>
          <w:b/>
          <w:bCs/>
          <w:kern w:val="0"/>
          <w:lang w:eastAsia="fr-FR"/>
          <w14:ligatures w14:val="none"/>
        </w:rPr>
        <w:t>CONCLUSION ET PERSPECTIVES</w:t>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t>En conclusion, ce projet a permis de couvrir l'intégralité de la chaîne de valeur d'un système de récupération d'énergie innovant, depuis les fondements de la physique du solide jusqu'à la réalisation d'un prototype de capteur intelligent.</w:t>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t xml:space="preserve">Notre étude a d'abord démontré que la triboélectricité, longtemps perçue comme un simple parasite électrostatique, est aujourd'hui une discipline scientifique rigoureuse. L'application des </w:t>
      </w:r>
      <w:r>
        <w:rPr>
          <w:rFonts w:eastAsia="Times New Roman" w:cs="Times New Roman" w:ascii="Times New Roman" w:hAnsi="Times New Roman"/>
          <w:b/>
          <w:bCs/>
          <w:kern w:val="0"/>
          <w:lang w:eastAsia="fr-FR"/>
          <w14:ligatures w14:val="none"/>
        </w:rPr>
        <w:t>modèles de puits de potentiel</w:t>
      </w:r>
      <w:r>
        <w:rPr>
          <w:rFonts w:eastAsia="Times New Roman" w:cs="Times New Roman" w:ascii="Times New Roman" w:hAnsi="Times New Roman"/>
          <w:kern w:val="0"/>
          <w:lang w:eastAsia="fr-FR"/>
          <w14:ligatures w14:val="none"/>
        </w:rPr>
        <w:t xml:space="preserve"> et de l'</w:t>
      </w:r>
      <w:r>
        <w:rPr>
          <w:rFonts w:eastAsia="Times New Roman" w:cs="Times New Roman" w:ascii="Times New Roman" w:hAnsi="Times New Roman"/>
          <w:b/>
          <w:bCs/>
          <w:kern w:val="0"/>
          <w:lang w:eastAsia="fr-FR"/>
          <w14:ligatures w14:val="none"/>
        </w:rPr>
        <w:t>effet tunnel</w:t>
      </w:r>
      <w:r>
        <w:rPr>
          <w:rFonts w:eastAsia="Times New Roman" w:cs="Times New Roman" w:ascii="Times New Roman" w:hAnsi="Times New Roman"/>
          <w:kern w:val="0"/>
          <w:lang w:eastAsia="fr-FR"/>
          <w14:ligatures w14:val="none"/>
        </w:rPr>
        <w:t xml:space="preserve"> a permis de valider que la performance des Nanogénérateurs Triboélectriques (TENG) repose sur une maîtrise nanoscopique des interactions atomiques. Par l'établissement d'une </w:t>
      </w:r>
      <w:r>
        <w:rPr>
          <w:rFonts w:eastAsia="Times New Roman" w:cs="Times New Roman" w:ascii="Times New Roman" w:hAnsi="Times New Roman"/>
          <w:b/>
          <w:bCs/>
          <w:kern w:val="0"/>
          <w:lang w:eastAsia="fr-FR"/>
          <w14:ligatures w14:val="none"/>
        </w:rPr>
        <w:t>échelle triboélectrique expérimentale</w:t>
      </w:r>
      <w:r>
        <w:rPr>
          <w:rFonts w:eastAsia="Times New Roman" w:cs="Times New Roman" w:ascii="Times New Roman" w:hAnsi="Times New Roman"/>
          <w:kern w:val="0"/>
          <w:lang w:eastAsia="fr-FR"/>
          <w14:ligatures w14:val="none"/>
        </w:rPr>
        <w:t xml:space="preserve">, nous avons justifié le choix stratégique du couple </w:t>
      </w:r>
      <w:r>
        <w:rPr>
          <w:rFonts w:eastAsia="Times New Roman" w:cs="Times New Roman" w:ascii="Times New Roman" w:hAnsi="Times New Roman"/>
          <w:b/>
          <w:bCs/>
          <w:kern w:val="0"/>
          <w:lang w:eastAsia="fr-FR"/>
          <w14:ligatures w14:val="none"/>
        </w:rPr>
        <w:t>Aluminium/Téflon</w:t>
      </w:r>
      <w:r>
        <w:rPr>
          <w:rFonts w:eastAsia="Times New Roman" w:cs="Times New Roman" w:ascii="Times New Roman" w:hAnsi="Times New Roman"/>
          <w:kern w:val="0"/>
          <w:lang w:eastAsia="fr-FR"/>
          <w14:ligatures w14:val="none"/>
        </w:rPr>
        <w:t>, optimisant ainsi le transfert de charges par induction.</w:t>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t xml:space="preserve">Sur le plan de l'ingénierie, ce travail a abouti à la conception d'un prototype fonctionnel de tapis intelligent. L'intégration d'un </w:t>
      </w:r>
      <w:r>
        <w:rPr>
          <w:rFonts w:eastAsia="Times New Roman" w:cs="Times New Roman" w:ascii="Times New Roman" w:hAnsi="Times New Roman"/>
          <w:b/>
          <w:bCs/>
          <w:kern w:val="0"/>
          <w:lang w:eastAsia="fr-FR"/>
          <w14:ligatures w14:val="none"/>
        </w:rPr>
        <w:t>circuit de gestion d'énergie (PMC)</w:t>
      </w:r>
      <w:r>
        <w:rPr>
          <w:rFonts w:eastAsia="Times New Roman" w:cs="Times New Roman" w:ascii="Times New Roman" w:hAnsi="Times New Roman"/>
          <w:kern w:val="0"/>
          <w:lang w:eastAsia="fr-FR"/>
          <w14:ligatures w14:val="none"/>
        </w:rPr>
        <w:t xml:space="preserve"> a permis de dompter les hautes tensions alternatives pour alimenter un microcontrôleur </w:t>
      </w:r>
      <w:r>
        <w:rPr>
          <w:rFonts w:eastAsia="Times New Roman" w:cs="Times New Roman" w:ascii="Times New Roman" w:hAnsi="Times New Roman"/>
          <w:b/>
          <w:bCs/>
          <w:kern w:val="0"/>
          <w:lang w:eastAsia="fr-FR"/>
          <w14:ligatures w14:val="none"/>
        </w:rPr>
        <w:t>ESP32</w:t>
      </w:r>
      <w:r>
        <w:rPr>
          <w:rFonts w:eastAsia="Times New Roman" w:cs="Times New Roman" w:ascii="Times New Roman" w:hAnsi="Times New Roman"/>
          <w:kern w:val="0"/>
          <w:lang w:eastAsia="fr-FR"/>
          <w14:ligatures w14:val="none"/>
        </w:rPr>
        <w:t xml:space="preserve">. Ce passage de l'énergie mécanique à une donnée numérique transmise par </w:t>
      </w:r>
      <w:r>
        <w:rPr>
          <w:rFonts w:eastAsia="Times New Roman" w:cs="Times New Roman" w:ascii="Times New Roman" w:hAnsi="Times New Roman"/>
          <w:b/>
          <w:bCs/>
          <w:kern w:val="0"/>
          <w:lang w:eastAsia="fr-FR"/>
          <w14:ligatures w14:val="none"/>
        </w:rPr>
        <w:t>Bluetooth (IoT)</w:t>
      </w:r>
      <w:r>
        <w:rPr>
          <w:rFonts w:eastAsia="Times New Roman" w:cs="Times New Roman" w:ascii="Times New Roman" w:hAnsi="Times New Roman"/>
          <w:kern w:val="0"/>
          <w:lang w:eastAsia="fr-FR"/>
          <w14:ligatures w14:val="none"/>
        </w:rPr>
        <w:t xml:space="preserve"> prouve la viabilité des systèmes auto-alimentés pour les villes intelligentes de demain.</w:t>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t>Toutefois, comme le souligne l'état de l'art le plus récent (Hu et al., 2024), plusieurs défis majeurs constituent autant de perspectives pour la suite de nos recherches :</w:t>
      </w:r>
    </w:p>
    <w:p>
      <w:pPr>
        <w:pStyle w:val="ListParagraph"/>
        <w:numPr>
          <w:ilvl w:val="0"/>
          <w:numId w:val="21"/>
        </w:numPr>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eastAsia="fr-FR"/>
          <w14:ligatures w14:val="none"/>
        </w:rPr>
        <w:t>Optimisation de la Durabilité :</w:t>
      </w:r>
      <w:r>
        <w:rPr>
          <w:rFonts w:eastAsia="Times New Roman" w:cs="Times New Roman" w:ascii="Times New Roman" w:hAnsi="Times New Roman"/>
          <w:kern w:val="0"/>
          <w:lang w:eastAsia="fr-FR"/>
          <w14:ligatures w14:val="none"/>
        </w:rPr>
        <w:t xml:space="preserve"> L'usure mécanique des surfaces lors des cycles de contact répétés limite la longévité du dispositif. L'exploration de matériaux auto-lubrifiants ou de modes de glissement sans contact (freestanding) est une voie prometteuse.</w:t>
      </w:r>
    </w:p>
    <w:p>
      <w:pPr>
        <w:pStyle w:val="ListParagraph"/>
        <w:numPr>
          <w:ilvl w:val="0"/>
          <w:numId w:val="21"/>
        </w:numPr>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eastAsia="fr-FR"/>
          <w14:ligatures w14:val="none"/>
        </w:rPr>
        <w:t>Résilience Environnementale :</w:t>
      </w:r>
      <w:r>
        <w:rPr>
          <w:rFonts w:eastAsia="Times New Roman" w:cs="Times New Roman" w:ascii="Times New Roman" w:hAnsi="Times New Roman"/>
          <w:kern w:val="0"/>
          <w:lang w:eastAsia="fr-FR"/>
          <w14:ligatures w14:val="none"/>
        </w:rPr>
        <w:t xml:space="preserve"> La sensibilité de la densité de charge à l'humidité et à la température nécessite le développement de solutions de packaging hermétiques ou de modifications chimiques de surface (nanostructuration) pour garantir des performances stables en conditions réelles.</w:t>
      </w:r>
    </w:p>
    <w:p>
      <w:pPr>
        <w:pStyle w:val="ListParagraph"/>
        <w:numPr>
          <w:ilvl w:val="0"/>
          <w:numId w:val="21"/>
        </w:numPr>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eastAsia="fr-FR"/>
          <w14:ligatures w14:val="none"/>
        </w:rPr>
        <w:t>Standardisation et Métrologie :</w:t>
      </w:r>
      <w:r>
        <w:rPr>
          <w:rFonts w:eastAsia="Times New Roman" w:cs="Times New Roman" w:ascii="Times New Roman" w:hAnsi="Times New Roman"/>
          <w:kern w:val="0"/>
          <w:lang w:eastAsia="fr-FR"/>
          <w14:ligatures w14:val="none"/>
        </w:rPr>
        <w:t xml:space="preserve"> Il devient impératif d'établir des protocoles de mesure universels pour caractériser l'efficacité des TENG de manière rigoureuse et comparable à l'échelle internationale.</w:t>
      </w:r>
    </w:p>
    <w:p>
      <w:pPr>
        <w:pStyle w:val="ListParagraph"/>
        <w:numPr>
          <w:ilvl w:val="0"/>
          <w:numId w:val="21"/>
        </w:numPr>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eastAsia="fr-FR"/>
          <w14:ligatures w14:val="none"/>
        </w:rPr>
        <w:t>Miniaturisation et Edge Computing :</w:t>
      </w:r>
      <w:r>
        <w:rPr>
          <w:rFonts w:eastAsia="Times New Roman" w:cs="Times New Roman" w:ascii="Times New Roman" w:hAnsi="Times New Roman"/>
          <w:kern w:val="0"/>
          <w:lang w:eastAsia="fr-FR"/>
          <w14:ligatures w14:val="none"/>
        </w:rPr>
        <w:t xml:space="preserve"> Le prochain saut technologique réside dans l'ultra-basse consommation des circuits intégrés, permettant un traitement de données encore plus complexe directement à la source de l'énergie récoltée.</w:t>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t>En surmontant ces obstacles techniques, la technologie TENG s'imposera comme une brique indispensable de la transition énergétique, capable de transformer chaque interaction mécanique de notre quotidien en une source de puissance propre, autonome et durable.</w:t>
      </w:r>
    </w:p>
    <w:p>
      <w:pPr>
        <w:pStyle w:val="ListParagraph"/>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r>
    </w:p>
    <w:p>
      <w:pPr>
        <w:pStyle w:val="Normal"/>
        <w:spacing w:lineRule="auto" w:line="360"/>
        <w:rPr>
          <w:rFonts w:ascii="Times New Roman" w:hAnsi="Times New Roman" w:eastAsia="Times New Roman" w:cs="Times New Roman"/>
          <w:b/>
          <w:bCs/>
          <w:kern w:val="0"/>
          <w:lang w:eastAsia="fr-FR"/>
          <w14:ligatures w14:val="none"/>
        </w:rPr>
      </w:pPr>
      <w:r>
        <w:rPr>
          <w:rFonts w:eastAsia="Times New Roman" w:cs="Times New Roman" w:ascii="Times New Roman" w:hAnsi="Times New Roman"/>
          <w:b/>
          <w:bCs/>
          <w:kern w:val="0"/>
          <w:lang w:eastAsia="fr-FR"/>
          <w14:ligatures w14:val="none"/>
        </w:rPr>
        <w:t>Liens et Références des Images :</w:t>
      </w:r>
    </w:p>
    <w:p>
      <w:pPr>
        <w:pStyle w:val="ListParagraph"/>
        <w:numPr>
          <w:ilvl w:val="0"/>
          <w:numId w:val="13"/>
        </w:numPr>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eastAsia="fr-FR"/>
          <w14:ligatures w14:val="none"/>
        </w:rPr>
        <w:t>Modèle Puits de Potentiel / Effet Tunnel :</w:t>
      </w:r>
    </w:p>
    <w:p>
      <w:pPr>
        <w:pStyle w:val="ListParagraph"/>
        <w:numPr>
          <w:ilvl w:val="1"/>
          <w:numId w:val="13"/>
        </w:numPr>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i/>
          <w:iCs/>
          <w:kern w:val="0"/>
          <w:lang w:eastAsia="fr-FR"/>
          <w14:ligatures w14:val="none"/>
        </w:rPr>
        <w:t>Source :</w:t>
      </w:r>
      <w:r>
        <w:rPr>
          <w:rFonts w:eastAsia="Times New Roman" w:cs="Times New Roman" w:ascii="Times New Roman" w:hAnsi="Times New Roman"/>
          <w:kern w:val="0"/>
          <w:lang w:eastAsia="fr-FR"/>
          <w14:ligatures w14:val="none"/>
        </w:rPr>
        <w:t xml:space="preserve"> Article 1 (Wang 2019), </w:t>
      </w:r>
      <w:r>
        <w:rPr>
          <w:rFonts w:eastAsia="Times New Roman" w:cs="Times New Roman" w:ascii="Times New Roman" w:hAnsi="Times New Roman"/>
          <w:b/>
          <w:bCs/>
          <w:kern w:val="0"/>
          <w:lang w:eastAsia="fr-FR"/>
          <w14:ligatures w14:val="none"/>
        </w:rPr>
        <w:t>Figure 1</w:t>
      </w:r>
      <w:r>
        <w:rPr>
          <w:rFonts w:eastAsia="Times New Roman" w:cs="Times New Roman" w:ascii="Times New Roman" w:hAnsi="Times New Roman"/>
          <w:kern w:val="0"/>
          <w:lang w:eastAsia="fr-FR"/>
          <w14:ligatures w14:val="none"/>
        </w:rPr>
        <w:t>. C'est l'image la plus importante pour expliquer la CE. Elle montre les nuages électroniques qui se touchent.</w:t>
      </w:r>
    </w:p>
    <w:p>
      <w:pPr>
        <w:pStyle w:val="ListParagraph"/>
        <w:numPr>
          <w:ilvl w:val="0"/>
          <w:numId w:val="13"/>
        </w:numPr>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eastAsia="fr-FR"/>
          <w14:ligatures w14:val="none"/>
        </w:rPr>
        <w:t>Les 4 Modes de TENG :</w:t>
      </w:r>
    </w:p>
    <w:p>
      <w:pPr>
        <w:pStyle w:val="ListParagraph"/>
        <w:numPr>
          <w:ilvl w:val="1"/>
          <w:numId w:val="13"/>
        </w:numPr>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i/>
          <w:iCs/>
          <w:kern w:val="0"/>
          <w:lang w:eastAsia="fr-FR"/>
          <w14:ligatures w14:val="none"/>
        </w:rPr>
        <w:t>Source :</w:t>
      </w:r>
      <w:r>
        <w:rPr>
          <w:rFonts w:eastAsia="Times New Roman" w:cs="Times New Roman" w:ascii="Times New Roman" w:hAnsi="Times New Roman"/>
          <w:kern w:val="0"/>
          <w:lang w:eastAsia="fr-FR"/>
          <w14:ligatures w14:val="none"/>
        </w:rPr>
        <w:t xml:space="preserve"> Article 2 (Zhou 2020), </w:t>
      </w:r>
      <w:r>
        <w:rPr>
          <w:rFonts w:eastAsia="Times New Roman" w:cs="Times New Roman" w:ascii="Times New Roman" w:hAnsi="Times New Roman"/>
          <w:b/>
          <w:bCs/>
          <w:kern w:val="0"/>
          <w:lang w:eastAsia="fr-FR"/>
          <w14:ligatures w14:val="none"/>
        </w:rPr>
        <w:t>Figure 2</w:t>
      </w:r>
      <w:r>
        <w:rPr>
          <w:rFonts w:eastAsia="Times New Roman" w:cs="Times New Roman" w:ascii="Times New Roman" w:hAnsi="Times New Roman"/>
          <w:kern w:val="0"/>
          <w:lang w:eastAsia="fr-FR"/>
          <w14:ligatures w14:val="none"/>
        </w:rPr>
        <w:t>. C'est le standard académique pour présenter les architectures.</w:t>
      </w:r>
    </w:p>
    <w:p>
      <w:pPr>
        <w:pStyle w:val="ListParagraph"/>
        <w:numPr>
          <w:ilvl w:val="0"/>
          <w:numId w:val="13"/>
        </w:numPr>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eastAsia="fr-FR"/>
          <w14:ligatures w14:val="none"/>
        </w:rPr>
        <w:t>L'équation de Maxwell étendue :</w:t>
      </w:r>
    </w:p>
    <w:p>
      <w:pPr>
        <w:pStyle w:val="ListParagraph"/>
        <w:numPr>
          <w:ilvl w:val="1"/>
          <w:numId w:val="13"/>
        </w:numPr>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i/>
          <w:iCs/>
          <w:kern w:val="0"/>
          <w:lang w:eastAsia="fr-FR"/>
          <w14:ligatures w14:val="none"/>
        </w:rPr>
        <w:t>Source :</w:t>
      </w:r>
      <w:r>
        <w:rPr>
          <w:rFonts w:eastAsia="Times New Roman" w:cs="Times New Roman" w:ascii="Times New Roman" w:hAnsi="Times New Roman"/>
          <w:kern w:val="0"/>
          <w:lang w:eastAsia="fr-FR"/>
          <w14:ligatures w14:val="none"/>
        </w:rPr>
        <w:t xml:space="preserve"> Article 2 (Zhou 2020), </w:t>
      </w:r>
      <w:r>
        <w:rPr>
          <w:rFonts w:eastAsia="Times New Roman" w:cs="Times New Roman" w:ascii="Times New Roman" w:hAnsi="Times New Roman"/>
          <w:b/>
          <w:bCs/>
          <w:kern w:val="0"/>
          <w:lang w:eastAsia="fr-FR"/>
          <w14:ligatures w14:val="none"/>
        </w:rPr>
        <w:t>Figure 1</w:t>
      </w:r>
      <w:r>
        <w:rPr>
          <w:rFonts w:eastAsia="Times New Roman" w:cs="Times New Roman" w:ascii="Times New Roman" w:hAnsi="Times New Roman"/>
          <w:kern w:val="0"/>
          <w:lang w:eastAsia="fr-FR"/>
          <w14:ligatures w14:val="none"/>
        </w:rPr>
        <w:t xml:space="preserve"> ou encadré mathématique. Elle lie le mouvement macroscopique à l'équation différentielle.</w:t>
      </w:r>
    </w:p>
    <w:p>
      <w:pPr>
        <w:pStyle w:val="ListParagraph"/>
        <w:numPr>
          <w:ilvl w:val="0"/>
          <w:numId w:val="13"/>
        </w:numPr>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eastAsia="fr-FR"/>
          <w14:ligatures w14:val="none"/>
        </w:rPr>
        <w:t>Interface Liquide-Solide :</w:t>
      </w:r>
    </w:p>
    <w:p>
      <w:pPr>
        <w:pStyle w:val="ListParagraph"/>
        <w:numPr>
          <w:ilvl w:val="1"/>
          <w:numId w:val="13"/>
        </w:numPr>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i/>
          <w:iCs/>
          <w:kern w:val="0"/>
          <w:lang w:eastAsia="fr-FR"/>
          <w14:ligatures w14:val="none"/>
        </w:rPr>
        <w:t>Source :</w:t>
      </w:r>
      <w:r>
        <w:rPr>
          <w:rFonts w:eastAsia="Times New Roman" w:cs="Times New Roman" w:ascii="Times New Roman" w:hAnsi="Times New Roman"/>
          <w:kern w:val="0"/>
          <w:lang w:eastAsia="fr-FR"/>
          <w14:ligatures w14:val="none"/>
        </w:rPr>
        <w:t xml:space="preserve"> Article 3 (Hu 2024), </w:t>
      </w:r>
      <w:r>
        <w:rPr>
          <w:rFonts w:eastAsia="Times New Roman" w:cs="Times New Roman" w:ascii="Times New Roman" w:hAnsi="Times New Roman"/>
          <w:b/>
          <w:bCs/>
          <w:kern w:val="0"/>
          <w:lang w:eastAsia="fr-FR"/>
          <w14:ligatures w14:val="none"/>
        </w:rPr>
        <w:t>Figure 4</w:t>
      </w:r>
      <w:r>
        <w:rPr>
          <w:rFonts w:eastAsia="Times New Roman" w:cs="Times New Roman" w:ascii="Times New Roman" w:hAnsi="Times New Roman"/>
          <w:kern w:val="0"/>
          <w:lang w:eastAsia="fr-FR"/>
          <w14:ligatures w14:val="none"/>
        </w:rPr>
        <w:t>. Montre le transfert hybride électrons/ions.</w:t>
      </w:r>
    </w:p>
    <w:p>
      <w:pPr>
        <w:pStyle w:val="ListParagraph"/>
        <w:numPr>
          <w:ilvl w:val="0"/>
          <w:numId w:val="13"/>
        </w:numPr>
        <w:spacing w:lineRule="auto" w:line="360" w:before="0" w:afterAutospacing="1"/>
        <w:contextualSpacing/>
        <w:outlineLvl w:val="2"/>
        <w:rPr>
          <w:rFonts w:ascii="Times New Roman" w:hAnsi="Times New Roman" w:eastAsia="Times New Roman" w:cs="Times New Roman"/>
          <w:b/>
          <w:bCs/>
          <w:kern w:val="0"/>
          <w:sz w:val="27"/>
          <w:szCs w:val="27"/>
          <w:lang w:eastAsia="fr-FR"/>
          <w14:ligatures w14:val="none"/>
        </w:rPr>
      </w:pPr>
      <w:r>
        <w:rPr>
          <w:rFonts w:eastAsia="Times New Roman" w:cs="Times New Roman" w:ascii="Times New Roman" w:hAnsi="Times New Roman"/>
          <w:b/>
          <w:bCs/>
          <w:kern w:val="0"/>
          <w:sz w:val="27"/>
          <w:szCs w:val="27"/>
          <w:lang w:eastAsia="fr-FR"/>
          <w14:ligatures w14:val="none"/>
        </w:rPr>
        <w:t>Références Bibliographiques</w:t>
      </w:r>
    </w:p>
    <w:p>
      <w:pPr>
        <w:pStyle w:val="Normal"/>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val="en-US" w:eastAsia="fr-FR"/>
          <w14:ligatures w14:val="none"/>
        </w:rPr>
        <w:t>[1] Wang, Z. L.</w:t>
      </w:r>
      <w:r>
        <w:rPr>
          <w:rFonts w:eastAsia="Times New Roman" w:cs="Times New Roman" w:ascii="Times New Roman" w:hAnsi="Times New Roman"/>
          <w:kern w:val="0"/>
          <w:lang w:val="en-US" w:eastAsia="fr-FR"/>
          <w14:ligatures w14:val="none"/>
        </w:rPr>
        <w:t xml:space="preserve"> (2019). </w:t>
      </w:r>
      <w:r>
        <w:rPr>
          <w:rFonts w:eastAsia="Times New Roman" w:cs="Times New Roman" w:ascii="Times New Roman" w:hAnsi="Times New Roman"/>
          <w:i/>
          <w:iCs/>
          <w:kern w:val="0"/>
          <w:lang w:val="en-US" w:eastAsia="fr-FR"/>
          <w14:ligatures w14:val="none"/>
        </w:rPr>
        <w:t>On the origin of contact-electrification</w:t>
      </w:r>
      <w:r>
        <w:rPr>
          <w:rFonts w:eastAsia="Times New Roman" w:cs="Times New Roman" w:ascii="Times New Roman" w:hAnsi="Times New Roman"/>
          <w:kern w:val="0"/>
          <w:lang w:val="en-US" w:eastAsia="fr-FR"/>
          <w14:ligatures w14:val="none"/>
        </w:rPr>
        <w:t xml:space="preserve">. </w:t>
      </w:r>
      <w:r>
        <w:rPr>
          <w:rFonts w:eastAsia="Times New Roman" w:cs="Times New Roman" w:ascii="Times New Roman" w:hAnsi="Times New Roman"/>
          <w:b/>
          <w:bCs/>
          <w:kern w:val="0"/>
          <w:lang w:eastAsia="fr-FR"/>
          <w14:ligatures w14:val="none"/>
        </w:rPr>
        <w:t>Nature Communications</w:t>
      </w:r>
      <w:r>
        <w:rPr>
          <w:rFonts w:eastAsia="Times New Roman" w:cs="Times New Roman" w:ascii="Times New Roman" w:hAnsi="Times New Roman"/>
          <w:kern w:val="0"/>
          <w:lang w:eastAsia="fr-FR"/>
          <w14:ligatures w14:val="none"/>
        </w:rPr>
        <w:t>, 10(1), 1-11. (Source principale pour la physique de l'effet tunnel et le chevauchement des nuages électroniques).</w:t>
      </w:r>
    </w:p>
    <w:p>
      <w:pPr>
        <w:pStyle w:val="Normal"/>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val="en-US" w:eastAsia="fr-FR"/>
          <w14:ligatures w14:val="none"/>
        </w:rPr>
        <w:t>[2] Zhou, Y., et al.</w:t>
      </w:r>
      <w:r>
        <w:rPr>
          <w:rFonts w:eastAsia="Times New Roman" w:cs="Times New Roman" w:ascii="Times New Roman" w:hAnsi="Times New Roman"/>
          <w:kern w:val="0"/>
          <w:lang w:val="en-US" w:eastAsia="fr-FR"/>
          <w14:ligatures w14:val="none"/>
        </w:rPr>
        <w:t xml:space="preserve"> (2020). </w:t>
      </w:r>
      <w:r>
        <w:rPr>
          <w:rFonts w:eastAsia="Times New Roman" w:cs="Times New Roman" w:ascii="Times New Roman" w:hAnsi="Times New Roman"/>
          <w:i/>
          <w:iCs/>
          <w:kern w:val="0"/>
          <w:lang w:val="en-US" w:eastAsia="fr-FR"/>
          <w14:ligatures w14:val="none"/>
        </w:rPr>
        <w:t>The Physics of Triboelectric Nanogenerators</w:t>
      </w:r>
      <w:r>
        <w:rPr>
          <w:rFonts w:eastAsia="Times New Roman" w:cs="Times New Roman" w:ascii="Times New Roman" w:hAnsi="Times New Roman"/>
          <w:kern w:val="0"/>
          <w:lang w:val="en-US" w:eastAsia="fr-FR"/>
          <w14:ligatures w14:val="none"/>
        </w:rPr>
        <w:t xml:space="preserve">. </w:t>
      </w:r>
      <w:r>
        <w:rPr>
          <w:rFonts w:eastAsia="Times New Roman" w:cs="Times New Roman" w:ascii="Times New Roman" w:hAnsi="Times New Roman"/>
          <w:b/>
          <w:bCs/>
          <w:kern w:val="0"/>
          <w:lang w:eastAsia="fr-FR"/>
          <w14:ligatures w14:val="none"/>
        </w:rPr>
        <w:t>Physica Status Solidi (RRL)</w:t>
      </w:r>
      <w:r>
        <w:rPr>
          <w:rFonts w:eastAsia="Times New Roman" w:cs="Times New Roman" w:ascii="Times New Roman" w:hAnsi="Times New Roman"/>
          <w:kern w:val="0"/>
          <w:lang w:eastAsia="fr-FR"/>
          <w14:ligatures w14:val="none"/>
        </w:rPr>
        <w:t>. (Référence pour l'extension des équations de Maxwell et le courant de déplacement).</w:t>
      </w:r>
    </w:p>
    <w:p>
      <w:pPr>
        <w:pStyle w:val="Normal"/>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val="en-US" w:eastAsia="fr-FR"/>
          <w14:ligatures w14:val="none"/>
        </w:rPr>
        <w:t>[3] Cheng, G., &amp; Gu, G.</w:t>
      </w:r>
      <w:r>
        <w:rPr>
          <w:rFonts w:eastAsia="Times New Roman" w:cs="Times New Roman" w:ascii="Times New Roman" w:hAnsi="Times New Roman"/>
          <w:kern w:val="0"/>
          <w:lang w:val="en-US" w:eastAsia="fr-FR"/>
          <w14:ligatures w14:val="none"/>
        </w:rPr>
        <w:t xml:space="preserve"> (2020). </w:t>
      </w:r>
      <w:r>
        <w:rPr>
          <w:rFonts w:eastAsia="Times New Roman" w:cs="Times New Roman" w:ascii="Times New Roman" w:hAnsi="Times New Roman"/>
          <w:i/>
          <w:iCs/>
          <w:kern w:val="0"/>
          <w:lang w:val="en-US" w:eastAsia="fr-FR"/>
          <w14:ligatures w14:val="none"/>
        </w:rPr>
        <w:t>Power Management for TENG-Generated Power</w:t>
      </w:r>
      <w:r>
        <w:rPr>
          <w:rFonts w:eastAsia="Times New Roman" w:cs="Times New Roman" w:ascii="Times New Roman" w:hAnsi="Times New Roman"/>
          <w:kern w:val="0"/>
          <w:lang w:val="en-US" w:eastAsia="fr-FR"/>
          <w14:ligatures w14:val="none"/>
        </w:rPr>
        <w:t xml:space="preserve">. </w:t>
      </w:r>
      <w:r>
        <w:rPr>
          <w:rFonts w:eastAsia="Times New Roman" w:cs="Times New Roman" w:ascii="Times New Roman" w:hAnsi="Times New Roman"/>
          <w:kern w:val="0"/>
          <w:lang w:eastAsia="fr-FR"/>
          <w14:ligatures w14:val="none"/>
        </w:rPr>
        <w:t xml:space="preserve">Dans : </w:t>
      </w:r>
      <w:r>
        <w:rPr>
          <w:rFonts w:eastAsia="Times New Roman" w:cs="Times New Roman" w:ascii="Times New Roman" w:hAnsi="Times New Roman"/>
          <w:b/>
          <w:bCs/>
          <w:kern w:val="0"/>
          <w:lang w:eastAsia="fr-FR"/>
          <w14:ligatures w14:val="none"/>
        </w:rPr>
        <w:t>Triboelectric Nanogenerators</w:t>
      </w:r>
      <w:r>
        <w:rPr>
          <w:rFonts w:eastAsia="Times New Roman" w:cs="Times New Roman" w:ascii="Times New Roman" w:hAnsi="Times New Roman"/>
          <w:kern w:val="0"/>
          <w:lang w:eastAsia="fr-FR"/>
          <w14:ligatures w14:val="none"/>
        </w:rPr>
        <w:t>. Springer. (Source pour le design du pont de diodes, la rectification et le stockage par condensateur).</w:t>
      </w:r>
    </w:p>
    <w:p>
      <w:pPr>
        <w:pStyle w:val="Normal"/>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eastAsia="fr-FR"/>
          <w14:ligatures w14:val="none"/>
        </w:rPr>
        <w:t>[4] Dien, X., Ramli, N., et al.</w:t>
      </w:r>
      <w:r>
        <w:rPr>
          <w:rFonts w:eastAsia="Times New Roman" w:cs="Times New Roman" w:ascii="Times New Roman" w:hAnsi="Times New Roman"/>
          <w:kern w:val="0"/>
          <w:lang w:eastAsia="fr-FR"/>
          <w14:ligatures w14:val="none"/>
        </w:rPr>
        <w:t xml:space="preserve"> </w:t>
      </w:r>
      <w:r>
        <w:rPr>
          <w:rFonts w:eastAsia="Times New Roman" w:cs="Times New Roman" w:ascii="Times New Roman" w:hAnsi="Times New Roman"/>
          <w:kern w:val="0"/>
          <w:lang w:val="en-US" w:eastAsia="fr-FR"/>
          <w14:ligatures w14:val="none"/>
        </w:rPr>
        <w:t xml:space="preserve">(2025). </w:t>
      </w:r>
      <w:r>
        <w:rPr>
          <w:rFonts w:eastAsia="Times New Roman" w:cs="Times New Roman" w:ascii="Times New Roman" w:hAnsi="Times New Roman"/>
          <w:i/>
          <w:iCs/>
          <w:kern w:val="0"/>
          <w:lang w:val="en-US" w:eastAsia="fr-FR"/>
          <w14:ligatures w14:val="none"/>
        </w:rPr>
        <w:t>Energy Storage, Power Management, and Applications of Triboelectric Nanogenerators for Self-Powered Systems: A Review</w:t>
      </w:r>
      <w:r>
        <w:rPr>
          <w:rFonts w:eastAsia="Times New Roman" w:cs="Times New Roman" w:ascii="Times New Roman" w:hAnsi="Times New Roman"/>
          <w:kern w:val="0"/>
          <w:lang w:val="en-US" w:eastAsia="fr-FR"/>
          <w14:ligatures w14:val="none"/>
        </w:rPr>
        <w:t xml:space="preserve">. </w:t>
      </w:r>
      <w:r>
        <w:rPr>
          <w:rFonts w:eastAsia="Times New Roman" w:cs="Times New Roman" w:ascii="Times New Roman" w:hAnsi="Times New Roman"/>
          <w:b/>
          <w:bCs/>
          <w:kern w:val="0"/>
          <w:lang w:eastAsia="fr-FR"/>
          <w14:ligatures w14:val="none"/>
        </w:rPr>
        <w:t>Micromachines</w:t>
      </w:r>
      <w:r>
        <w:rPr>
          <w:rFonts w:eastAsia="Times New Roman" w:cs="Times New Roman" w:ascii="Times New Roman" w:hAnsi="Times New Roman"/>
          <w:kern w:val="0"/>
          <w:lang w:eastAsia="fr-FR"/>
          <w14:ligatures w14:val="none"/>
        </w:rPr>
        <w:t>, 16(10), 1170. (Référence pour l'intégration de l'ESP32, le mode Deep Sleep et la transmission Bluetooth Low Energy).</w:t>
      </w:r>
    </w:p>
    <w:p>
      <w:pPr>
        <w:pStyle w:val="Normal"/>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val="en-US" w:eastAsia="fr-FR"/>
          <w14:ligatures w14:val="none"/>
        </w:rPr>
        <w:t>[5] Hu, S., et al.</w:t>
      </w:r>
      <w:r>
        <w:rPr>
          <w:rFonts w:eastAsia="Times New Roman" w:cs="Times New Roman" w:ascii="Times New Roman" w:hAnsi="Times New Roman"/>
          <w:kern w:val="0"/>
          <w:lang w:val="en-US" w:eastAsia="fr-FR"/>
          <w14:ligatures w14:val="none"/>
        </w:rPr>
        <w:t xml:space="preserve"> (2024). </w:t>
      </w:r>
      <w:r>
        <w:rPr>
          <w:rFonts w:eastAsia="Times New Roman" w:cs="Times New Roman" w:ascii="Times New Roman" w:hAnsi="Times New Roman"/>
          <w:i/>
          <w:iCs/>
          <w:kern w:val="0"/>
          <w:lang w:val="en-US" w:eastAsia="fr-FR"/>
          <w14:ligatures w14:val="none"/>
        </w:rPr>
        <w:t>Advanced Surface Modification for High-Performance TENGs</w:t>
      </w:r>
      <w:r>
        <w:rPr>
          <w:rFonts w:eastAsia="Times New Roman" w:cs="Times New Roman" w:ascii="Times New Roman" w:hAnsi="Times New Roman"/>
          <w:kern w:val="0"/>
          <w:lang w:val="en-US" w:eastAsia="fr-FR"/>
          <w14:ligatures w14:val="none"/>
        </w:rPr>
        <w:t xml:space="preserve">. </w:t>
      </w:r>
      <w:r>
        <w:rPr>
          <w:rFonts w:eastAsia="Times New Roman" w:cs="Times New Roman" w:ascii="Times New Roman" w:hAnsi="Times New Roman"/>
          <w:b/>
          <w:bCs/>
          <w:kern w:val="0"/>
          <w:lang w:eastAsia="fr-FR"/>
          <w14:ligatures w14:val="none"/>
        </w:rPr>
        <w:t>Nano Energy</w:t>
      </w:r>
      <w:r>
        <w:rPr>
          <w:rFonts w:eastAsia="Times New Roman" w:cs="Times New Roman" w:ascii="Times New Roman" w:hAnsi="Times New Roman"/>
          <w:kern w:val="0"/>
          <w:lang w:eastAsia="fr-FR"/>
          <w14:ligatures w14:val="none"/>
        </w:rPr>
        <w:t>. (Source pour le choix du PTFE/Téflon et les stratégies de nanostructuration de surface).</w:t>
      </w:r>
    </w:p>
    <w:p>
      <w:pPr>
        <w:pStyle w:val="Normal"/>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val="en-US" w:eastAsia="fr-FR"/>
          <w14:ligatures w14:val="none"/>
        </w:rPr>
        <w:t>[6] Wang, Z. L., &amp; Wang, A. C.</w:t>
      </w:r>
      <w:r>
        <w:rPr>
          <w:rFonts w:eastAsia="Times New Roman" w:cs="Times New Roman" w:ascii="Times New Roman" w:hAnsi="Times New Roman"/>
          <w:kern w:val="0"/>
          <w:lang w:val="en-US" w:eastAsia="fr-FR"/>
          <w14:ligatures w14:val="none"/>
        </w:rPr>
        <w:t xml:space="preserve"> (2019). </w:t>
      </w:r>
      <w:r>
        <w:rPr>
          <w:rFonts w:eastAsia="Times New Roman" w:cs="Times New Roman" w:ascii="Times New Roman" w:hAnsi="Times New Roman"/>
          <w:i/>
          <w:iCs/>
          <w:kern w:val="0"/>
          <w:lang w:val="en-US" w:eastAsia="fr-FR"/>
          <w14:ligatures w14:val="none"/>
        </w:rPr>
        <w:t>On the maximum theoretical efficiency of triboelectric nanogenerators</w:t>
      </w:r>
      <w:r>
        <w:rPr>
          <w:rFonts w:eastAsia="Times New Roman" w:cs="Times New Roman" w:ascii="Times New Roman" w:hAnsi="Times New Roman"/>
          <w:kern w:val="0"/>
          <w:lang w:val="en-US" w:eastAsia="fr-FR"/>
          <w14:ligatures w14:val="none"/>
        </w:rPr>
        <w:t xml:space="preserve">. </w:t>
      </w:r>
      <w:r>
        <w:rPr>
          <w:rFonts w:eastAsia="Times New Roman" w:cs="Times New Roman" w:ascii="Times New Roman" w:hAnsi="Times New Roman"/>
          <w:b/>
          <w:bCs/>
          <w:kern w:val="0"/>
          <w:lang w:eastAsia="fr-FR"/>
          <w14:ligatures w14:val="none"/>
        </w:rPr>
        <w:t>Materials Today</w:t>
      </w:r>
      <w:r>
        <w:rPr>
          <w:rFonts w:eastAsia="Times New Roman" w:cs="Times New Roman" w:ascii="Times New Roman" w:hAnsi="Times New Roman"/>
          <w:kern w:val="0"/>
          <w:lang w:eastAsia="fr-FR"/>
          <w14:ligatures w14:val="none"/>
        </w:rPr>
        <w:t>. (Utilisé pour la partie caractérisation et rendement expérimental).</w:t>
      </w:r>
    </w:p>
    <w:p>
      <w:pPr>
        <w:pStyle w:val="Normal"/>
        <w:spacing w:lineRule="auto" w:line="360"/>
        <w:rPr>
          <w:rFonts w:ascii="Times New Roman" w:hAnsi="Times New Roman" w:eastAsia="Times New Roman" w:cs="Times New Roman"/>
          <w:kern w:val="0"/>
          <w:lang w:eastAsia="fr-FR"/>
          <w14:ligatures w14:val="none"/>
        </w:rPr>
      </w:pPr>
      <w:r>
        <w:rPr/>
        <mc:AlternateContent>
          <mc:Choice Requires="wps">
            <w:drawing>
              <wp:inline distT="0" distB="0" distL="0" distR="0">
                <wp:extent cx="576072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360"/>
        <w:rPr>
          <w:rFonts w:ascii="Times New Roman" w:hAnsi="Times New Roman" w:eastAsia="Times New Roman" w:cs="Times New Roman"/>
          <w:b/>
          <w:bCs/>
          <w:kern w:val="0"/>
          <w:lang w:eastAsia="fr-FR"/>
          <w14:ligatures w14:val="none"/>
        </w:rPr>
      </w:pPr>
      <w:r>
        <w:rPr>
          <w:rFonts w:eastAsia="Times New Roman" w:cs="Times New Roman" w:ascii="Times New Roman" w:hAnsi="Times New Roman"/>
          <w:b/>
          <w:bCs/>
          <w:kern w:val="0"/>
          <w:lang w:eastAsia="fr-FR"/>
          <w14:ligatures w14:val="none"/>
        </w:rPr>
        <w:t>Table des Illustrations :</w:t>
      </w:r>
    </w:p>
    <w:p>
      <w:pPr>
        <w:pStyle w:val="Normal"/>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t>Si vous devez légender vos images dans le document, voici les sources exactes à mentionner sous chaque figure :</w:t>
      </w:r>
    </w:p>
    <w:p>
      <w:pPr>
        <w:pStyle w:val="Normal"/>
        <w:numPr>
          <w:ilvl w:val="0"/>
          <w:numId w:val="20"/>
        </w:numPr>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eastAsia="fr-FR"/>
          <w14:ligatures w14:val="none"/>
        </w:rPr>
        <w:t>Figure 5.1 (Série Triboélectrique) :</w:t>
      </w:r>
      <w:r>
        <w:rPr>
          <w:rFonts w:eastAsia="Times New Roman" w:cs="Times New Roman" w:ascii="Times New Roman" w:hAnsi="Times New Roman"/>
          <w:kern w:val="0"/>
          <w:lang w:eastAsia="fr-FR"/>
          <w14:ligatures w14:val="none"/>
        </w:rPr>
        <w:t xml:space="preserve"> Adapté de Wang, Z. L. (2019). </w:t>
      </w:r>
      <w:r>
        <w:rPr>
          <w:rFonts w:eastAsia="Times New Roman" w:cs="Times New Roman" w:ascii="Times New Roman" w:hAnsi="Times New Roman"/>
          <w:i/>
          <w:iCs/>
          <w:kern w:val="0"/>
          <w:lang w:eastAsia="fr-FR"/>
          <w14:ligatures w14:val="none"/>
        </w:rPr>
        <w:t>L'échelle de référence des polymères et métaux</w:t>
      </w:r>
      <w:r>
        <w:rPr>
          <w:rFonts w:eastAsia="Times New Roman" w:cs="Times New Roman" w:ascii="Times New Roman" w:hAnsi="Times New Roman"/>
          <w:kern w:val="0"/>
          <w:lang w:eastAsia="fr-FR"/>
          <w14:ligatures w14:val="none"/>
        </w:rPr>
        <w:t>.</w:t>
      </w:r>
    </w:p>
    <w:p>
      <w:pPr>
        <w:pStyle w:val="Normal"/>
        <w:numPr>
          <w:ilvl w:val="0"/>
          <w:numId w:val="20"/>
        </w:numPr>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eastAsia="fr-FR"/>
          <w14:ligatures w14:val="none"/>
        </w:rPr>
        <w:t>Figure 6.2 (Circuit de Management) :</w:t>
      </w:r>
      <w:r>
        <w:rPr>
          <w:rFonts w:eastAsia="Times New Roman" w:cs="Times New Roman" w:ascii="Times New Roman" w:hAnsi="Times New Roman"/>
          <w:kern w:val="0"/>
          <w:lang w:eastAsia="fr-FR"/>
          <w14:ligatures w14:val="none"/>
        </w:rPr>
        <w:t xml:space="preserve"> Schéma inspiré de Cheng &amp; Gu (2020), illustrant le pont de Graetz et le lissage capacitif.</w:t>
      </w:r>
    </w:p>
    <w:p>
      <w:pPr>
        <w:pStyle w:val="Normal"/>
        <w:numPr>
          <w:ilvl w:val="0"/>
          <w:numId w:val="20"/>
        </w:numPr>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eastAsia="fr-FR"/>
          <w14:ligatures w14:val="none"/>
        </w:rPr>
        <w:t>Figure 7.1 (Architecture ESP32/IoT) :</w:t>
      </w:r>
      <w:r>
        <w:rPr>
          <w:rFonts w:eastAsia="Times New Roman" w:cs="Times New Roman" w:ascii="Times New Roman" w:hAnsi="Times New Roman"/>
          <w:kern w:val="0"/>
          <w:lang w:eastAsia="fr-FR"/>
          <w14:ligatures w14:val="none"/>
        </w:rPr>
        <w:t xml:space="preserve"> Adapté de Dien et al. (2025). </w:t>
      </w:r>
      <w:r>
        <w:rPr>
          <w:rFonts w:eastAsia="Times New Roman" w:cs="Times New Roman" w:ascii="Times New Roman" w:hAnsi="Times New Roman"/>
          <w:i/>
          <w:iCs/>
          <w:kern w:val="0"/>
          <w:lang w:eastAsia="fr-FR"/>
          <w14:ligatures w14:val="none"/>
        </w:rPr>
        <w:t>Architecture d'un système de détection auto-alimenté</w:t>
      </w:r>
      <w:r>
        <w:rPr>
          <w:rFonts w:eastAsia="Times New Roman" w:cs="Times New Roman" w:ascii="Times New Roman" w:hAnsi="Times New Roman"/>
          <w:kern w:val="0"/>
          <w:lang w:eastAsia="fr-FR"/>
          <w14:ligatures w14:val="none"/>
        </w:rPr>
        <w:t>.</w:t>
      </w:r>
    </w:p>
    <w:p>
      <w:pPr>
        <w:pStyle w:val="Normal"/>
        <w:numPr>
          <w:ilvl w:val="0"/>
          <w:numId w:val="20"/>
        </w:numPr>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b/>
          <w:bCs/>
          <w:kern w:val="0"/>
          <w:lang w:eastAsia="fr-FR"/>
          <w14:ligatures w14:val="none"/>
        </w:rPr>
        <w:t>Figure 8.1 (Résultats Expérimentaux) :</w:t>
      </w:r>
      <w:r>
        <w:rPr>
          <w:rFonts w:eastAsia="Times New Roman" w:cs="Times New Roman" w:ascii="Times New Roman" w:hAnsi="Times New Roman"/>
          <w:kern w:val="0"/>
          <w:lang w:eastAsia="fr-FR"/>
          <w14:ligatures w14:val="none"/>
        </w:rPr>
        <w:t xml:space="preserve"> Courbes de tension $V_{oc}$ typiques pour un contact Alu/PTFE, d'après Zhou et al. (2020)</w:t>
      </w:r>
    </w:p>
    <w:p>
      <w:pPr>
        <w:pStyle w:val="Normal"/>
        <w:spacing w:lineRule="auto" w:line="360"/>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r>
    </w:p>
    <w:p>
      <w:pPr>
        <w:pStyle w:val="ListParagraph"/>
        <w:spacing w:lineRule="auto" w:line="360" w:before="100" w:after="100"/>
        <w:contextualSpacing/>
        <w:rPr>
          <w:rFonts w:ascii="Times New Roman" w:hAnsi="Times New Roman" w:eastAsia="Times New Roman" w:cs="Times New Roman"/>
          <w:kern w:val="0"/>
          <w:lang w:eastAsia="fr-FR"/>
          <w14:ligatures w14:val="none"/>
        </w:rPr>
      </w:pPr>
      <w:r>
        <w:rPr>
          <w:rFonts w:eastAsia="Times New Roman" w:cs="Times New Roman" w:ascii="Times New Roman" w:hAnsi="Times New Roman"/>
          <w:kern w:val="0"/>
          <w:lang w:eastAsia="fr-FR"/>
          <w14:ligatures w14:val="none"/>
        </w:rPr>
      </w:r>
    </w:p>
    <w:p>
      <w:pPr>
        <w:pStyle w:val="Normal"/>
        <w:spacing w:lineRule="auto" w:line="360"/>
        <w:ind w:left="720"/>
        <w:rPr>
          <w:rFonts w:ascii="Times New Roman" w:hAnsi="Times New Roman" w:cs="Times New Roman"/>
        </w:rPr>
      </w:pPr>
      <w:r>
        <w:rPr>
          <w:rFonts w:cs="Times New Roman" w:ascii="Times New Roman" w:hAnsi="Times New Roman"/>
        </w:rPr>
      </w:r>
    </w:p>
    <w:p>
      <w:pPr>
        <w:pStyle w:val="Normal"/>
        <w:spacing w:lineRule="auto" w:line="360"/>
        <w:ind w:left="720"/>
        <w:rPr>
          <w:rFonts w:ascii="Times New Roman" w:hAnsi="Times New Roman" w:cs="Times New Roman"/>
        </w:rPr>
      </w:pPr>
      <w:r>
        <w:rPr>
          <w:rFonts w:cs="Times New Roman" w:ascii="Times New Roman" w:hAnsi="Times New Roman"/>
        </w:rPr>
      </w:r>
    </w:p>
    <w:p>
      <w:pPr>
        <w:pStyle w:val="Normal"/>
        <w:spacing w:lineRule="auto" w:line="360"/>
        <w:ind w:left="72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before="0" w:after="160"/>
        <w:rPr>
          <w:rFonts w:ascii="Times New Roman" w:hAnsi="Times New Roman" w:cs="Times New Roman"/>
        </w:rPr>
      </w:pPr>
      <w:r>
        <w:rPr>
          <w:rFonts w:cs="Times New Roman" w:ascii="Times New Roman" w:hAnsi="Times New Roman"/>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
    <w:lvl w:ilvl="0">
      <w:start w:val="5"/>
      <w:numFmt w:val="decimal"/>
      <w:lvlText w:val="%1"/>
      <w:lvlJc w:val="left"/>
      <w:pPr>
        <w:tabs>
          <w:tab w:val="num" w:pos="0"/>
        </w:tabs>
        <w:ind w:left="360" w:hanging="360"/>
      </w:pPr>
      <w:rPr/>
    </w:lvl>
    <w:lvl w:ilvl="1">
      <w:start w:val="1"/>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9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d363d"/>
    <w:pPr>
      <w:widowControl/>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fr-FR" w:eastAsia="en-US" w:bidi="ar-SA"/>
      <w14:ligatures w14:val="standardContextual"/>
    </w:rPr>
  </w:style>
  <w:style w:type="paragraph" w:styleId="Heading1">
    <w:name w:val="heading 1"/>
    <w:basedOn w:val="Normal"/>
    <w:next w:val="Normal"/>
    <w:link w:val="Titre1Car"/>
    <w:uiPriority w:val="9"/>
    <w:qFormat/>
    <w:rsid w:val="00a32b54"/>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re2Car"/>
    <w:uiPriority w:val="9"/>
    <w:unhideWhenUsed/>
    <w:qFormat/>
    <w:rsid w:val="00a32b54"/>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re3Car"/>
    <w:uiPriority w:val="9"/>
    <w:unhideWhenUsed/>
    <w:qFormat/>
    <w:rsid w:val="00a32b54"/>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itre4Car"/>
    <w:uiPriority w:val="9"/>
    <w:unhideWhenUsed/>
    <w:qFormat/>
    <w:rsid w:val="00a32b54"/>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itre5Car"/>
    <w:uiPriority w:val="9"/>
    <w:semiHidden/>
    <w:unhideWhenUsed/>
    <w:qFormat/>
    <w:rsid w:val="00a32b54"/>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itre6Car"/>
    <w:uiPriority w:val="9"/>
    <w:semiHidden/>
    <w:unhideWhenUsed/>
    <w:qFormat/>
    <w:rsid w:val="00a32b5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a32b5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a32b54"/>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a32b54"/>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itre1Car" w:customStyle="1">
    <w:name w:val="Titre 1 Car"/>
    <w:basedOn w:val="DefaultParagraphFont"/>
    <w:uiPriority w:val="9"/>
    <w:qFormat/>
    <w:rsid w:val="00a32b54"/>
    <w:rPr>
      <w:rFonts w:ascii="Aptos Display" w:hAnsi="Aptos Display" w:eastAsia="" w:cs="" w:asciiTheme="majorHAnsi" w:cstheme="majorBidi" w:eastAsiaTheme="majorEastAsia" w:hAnsiTheme="majorHAnsi"/>
      <w:color w:themeColor="accent1" w:themeShade="bf" w:val="0F4761"/>
      <w:sz w:val="40"/>
      <w:szCs w:val="40"/>
    </w:rPr>
  </w:style>
  <w:style w:type="character" w:styleId="Titre2Car" w:customStyle="1">
    <w:name w:val="Titre 2 Car"/>
    <w:basedOn w:val="DefaultParagraphFont"/>
    <w:uiPriority w:val="9"/>
    <w:qFormat/>
    <w:rsid w:val="00a32b54"/>
    <w:rPr>
      <w:rFonts w:ascii="Aptos Display" w:hAnsi="Aptos Display" w:eastAsia="" w:cs="" w:asciiTheme="majorHAnsi" w:cstheme="majorBidi" w:eastAsiaTheme="majorEastAsia" w:hAnsiTheme="majorHAnsi"/>
      <w:color w:themeColor="accent1" w:themeShade="bf" w:val="0F4761"/>
      <w:sz w:val="32"/>
      <w:szCs w:val="32"/>
    </w:rPr>
  </w:style>
  <w:style w:type="character" w:styleId="Titre3Car" w:customStyle="1">
    <w:name w:val="Titre 3 Car"/>
    <w:basedOn w:val="DefaultParagraphFont"/>
    <w:uiPriority w:val="9"/>
    <w:qFormat/>
    <w:rsid w:val="00a32b54"/>
    <w:rPr>
      <w:rFonts w:eastAsia="" w:cs="" w:cstheme="majorBidi" w:eastAsiaTheme="majorEastAsia"/>
      <w:color w:themeColor="accent1" w:themeShade="bf" w:val="0F4761"/>
      <w:sz w:val="28"/>
      <w:szCs w:val="28"/>
    </w:rPr>
  </w:style>
  <w:style w:type="character" w:styleId="Titre4Car" w:customStyle="1">
    <w:name w:val="Titre 4 Car"/>
    <w:basedOn w:val="DefaultParagraphFont"/>
    <w:uiPriority w:val="9"/>
    <w:qFormat/>
    <w:rsid w:val="00a32b54"/>
    <w:rPr>
      <w:rFonts w:eastAsia="" w:cs="" w:cstheme="majorBidi" w:eastAsiaTheme="majorEastAsia"/>
      <w:i/>
      <w:iCs/>
      <w:color w:themeColor="accent1" w:themeShade="bf" w:val="0F4761"/>
    </w:rPr>
  </w:style>
  <w:style w:type="character" w:styleId="Titre5Car" w:customStyle="1">
    <w:name w:val="Titre 5 Car"/>
    <w:basedOn w:val="DefaultParagraphFont"/>
    <w:uiPriority w:val="9"/>
    <w:semiHidden/>
    <w:qFormat/>
    <w:rsid w:val="00a32b54"/>
    <w:rPr>
      <w:rFonts w:eastAsia="" w:cs="" w:cstheme="majorBidi" w:eastAsiaTheme="majorEastAsia"/>
      <w:color w:themeColor="accent1" w:themeShade="bf" w:val="0F4761"/>
    </w:rPr>
  </w:style>
  <w:style w:type="character" w:styleId="Titre6Car" w:customStyle="1">
    <w:name w:val="Titre 6 Car"/>
    <w:basedOn w:val="DefaultParagraphFont"/>
    <w:uiPriority w:val="9"/>
    <w:semiHidden/>
    <w:qFormat/>
    <w:rsid w:val="00a32b54"/>
    <w:rPr>
      <w:rFonts w:eastAsia="" w:cs="" w:cstheme="majorBidi" w:eastAsiaTheme="majorEastAsia"/>
      <w:i/>
      <w:iCs/>
      <w:color w:themeColor="text1" w:themeTint="a6" w:val="595959"/>
    </w:rPr>
  </w:style>
  <w:style w:type="character" w:styleId="Titre7Car" w:customStyle="1">
    <w:name w:val="Titre 7 Car"/>
    <w:basedOn w:val="DefaultParagraphFont"/>
    <w:uiPriority w:val="9"/>
    <w:semiHidden/>
    <w:qFormat/>
    <w:rsid w:val="00a32b54"/>
    <w:rPr>
      <w:rFonts w:eastAsia="" w:cs="" w:cstheme="majorBidi" w:eastAsiaTheme="majorEastAsia"/>
      <w:color w:themeColor="text1" w:themeTint="a6" w:val="595959"/>
    </w:rPr>
  </w:style>
  <w:style w:type="character" w:styleId="Titre8Car" w:customStyle="1">
    <w:name w:val="Titre 8 Car"/>
    <w:basedOn w:val="DefaultParagraphFont"/>
    <w:uiPriority w:val="9"/>
    <w:semiHidden/>
    <w:qFormat/>
    <w:rsid w:val="00a32b54"/>
    <w:rPr>
      <w:rFonts w:eastAsia="" w:cs="" w:cstheme="majorBidi" w:eastAsiaTheme="majorEastAsia"/>
      <w:i/>
      <w:iCs/>
      <w:color w:themeColor="text1" w:themeTint="d8" w:val="272727"/>
    </w:rPr>
  </w:style>
  <w:style w:type="character" w:styleId="Titre9Car" w:customStyle="1">
    <w:name w:val="Titre 9 Car"/>
    <w:basedOn w:val="DefaultParagraphFont"/>
    <w:uiPriority w:val="9"/>
    <w:semiHidden/>
    <w:qFormat/>
    <w:rsid w:val="00a32b54"/>
    <w:rPr>
      <w:rFonts w:eastAsia="" w:cs="" w:cstheme="majorBidi" w:eastAsiaTheme="majorEastAsia"/>
      <w:color w:themeColor="text1" w:themeTint="d8" w:val="272727"/>
    </w:rPr>
  </w:style>
  <w:style w:type="character" w:styleId="TitreCar" w:customStyle="1">
    <w:name w:val="Titre Car"/>
    <w:basedOn w:val="DefaultParagraphFont"/>
    <w:uiPriority w:val="10"/>
    <w:qFormat/>
    <w:rsid w:val="00a32b54"/>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qFormat/>
    <w:rsid w:val="00a32b54"/>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a32b54"/>
    <w:rPr>
      <w:i/>
      <w:iCs/>
      <w:color w:themeColor="text1" w:themeTint="bf" w:val="404040"/>
    </w:rPr>
  </w:style>
  <w:style w:type="character" w:styleId="IntenseEmphasis">
    <w:name w:val="Intense Emphasis"/>
    <w:basedOn w:val="DefaultParagraphFont"/>
    <w:uiPriority w:val="21"/>
    <w:qFormat/>
    <w:rsid w:val="00a32b54"/>
    <w:rPr>
      <w:i/>
      <w:iCs/>
      <w:color w:themeColor="accent1" w:themeShade="bf" w:val="0F4761"/>
    </w:rPr>
  </w:style>
  <w:style w:type="character" w:styleId="CitationintenseCar" w:customStyle="1">
    <w:name w:val="Citation intense Car"/>
    <w:basedOn w:val="DefaultParagraphFont"/>
    <w:link w:val="IntenseQuote"/>
    <w:uiPriority w:val="30"/>
    <w:qFormat/>
    <w:rsid w:val="00a32b54"/>
    <w:rPr>
      <w:i/>
      <w:iCs/>
      <w:color w:themeColor="accent1" w:themeShade="bf" w:val="0F4761"/>
    </w:rPr>
  </w:style>
  <w:style w:type="character" w:styleId="IntenseReference">
    <w:name w:val="Intense Reference"/>
    <w:basedOn w:val="DefaultParagraphFont"/>
    <w:uiPriority w:val="32"/>
    <w:qFormat/>
    <w:rsid w:val="00a32b54"/>
    <w:rPr>
      <w:b/>
      <w:bCs/>
      <w:smallCaps/>
      <w:color w:themeColor="accent1" w:themeShade="bf" w:val="0F4761"/>
      <w:spacing w:val="5"/>
    </w:rPr>
  </w:style>
  <w:style w:type="character" w:styleId="PlaceholderText">
    <w:name w:val="Placeholder Text"/>
    <w:basedOn w:val="DefaultParagraphFont"/>
    <w:uiPriority w:val="99"/>
    <w:semiHidden/>
    <w:qFormat/>
    <w:rsid w:val="00563697"/>
    <w:rPr>
      <w:color w:val="666666"/>
    </w:rPr>
  </w:style>
  <w:style w:type="character" w:styleId="En-tteCar" w:customStyle="1">
    <w:name w:val="En-tête Car"/>
    <w:basedOn w:val="DefaultParagraphFont"/>
    <w:uiPriority w:val="99"/>
    <w:qFormat/>
    <w:rsid w:val="00cb0aae"/>
    <w:rPr/>
  </w:style>
  <w:style w:type="character" w:styleId="PieddepageCar" w:customStyle="1">
    <w:name w:val="Pied de page Car"/>
    <w:basedOn w:val="DefaultParagraphFont"/>
    <w:uiPriority w:val="99"/>
    <w:qFormat/>
    <w:rsid w:val="00cb0aae"/>
    <w:rPr/>
  </w:style>
  <w:style w:type="character" w:styleId="math-inline" w:customStyle="1">
    <w:name w:val="math-inline"/>
    <w:basedOn w:val="DefaultParagraphFont"/>
    <w:qFormat/>
    <w:rsid w:val="006d363d"/>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reCar"/>
    <w:uiPriority w:val="10"/>
    <w:qFormat/>
    <w:rsid w:val="00a32b54"/>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a32b54"/>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a32b54"/>
    <w:pPr>
      <w:spacing w:before="160" w:after="160"/>
      <w:jc w:val="center"/>
    </w:pPr>
    <w:rPr>
      <w:i/>
      <w:iCs/>
      <w:color w:themeColor="text1" w:themeTint="bf" w:val="404040"/>
    </w:rPr>
  </w:style>
  <w:style w:type="paragraph" w:styleId="ListParagraph">
    <w:name w:val="List Paragraph"/>
    <w:basedOn w:val="Normal"/>
    <w:uiPriority w:val="34"/>
    <w:qFormat/>
    <w:rsid w:val="00a32b54"/>
    <w:pPr>
      <w:spacing w:before="0" w:after="160"/>
      <w:ind w:left="720"/>
      <w:contextualSpacing/>
    </w:pPr>
    <w:rPr/>
  </w:style>
  <w:style w:type="paragraph" w:styleId="IntenseQuote">
    <w:name w:val="Intense Quote"/>
    <w:basedOn w:val="Normal"/>
    <w:next w:val="Normal"/>
    <w:link w:val="CitationintenseCar"/>
    <w:uiPriority w:val="30"/>
    <w:qFormat/>
    <w:rsid w:val="00a32b54"/>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Web">
    <w:name w:val="Normal (Web)"/>
    <w:basedOn w:val="Normal"/>
    <w:uiPriority w:val="99"/>
    <w:semiHidden/>
    <w:unhideWhenUsed/>
    <w:qFormat/>
    <w:rsid w:val="00563697"/>
    <w:pPr>
      <w:spacing w:lineRule="auto" w:line="240" w:beforeAutospacing="1" w:afterAutospacing="1"/>
    </w:pPr>
    <w:rPr>
      <w:rFonts w:ascii="Times New Roman" w:hAnsi="Times New Roman" w:eastAsia="Times New Roman" w:cs="Times New Roman"/>
      <w:kern w:val="0"/>
      <w:lang w:eastAsia="fr-FR"/>
      <w14:ligatures w14:val="none"/>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cb0aae"/>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rsid w:val="00cb0aae"/>
    <w:pPr>
      <w:tabs>
        <w:tab w:val="clear" w:pos="708"/>
        <w:tab w:val="center" w:pos="4536" w:leader="none"/>
        <w:tab w:val="right" w:pos="9072" w:leader="none"/>
      </w:tabs>
      <w:spacing w:lineRule="auto" w:line="240" w:before="0" w:after="0"/>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f24f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8CD04E-A14C-4268-9C76-02EA7728B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6993</TotalTime>
  <Application>LibreOffice/25.2.7.2$Windows_X86_64 LibreOffice_project/5cbfd1ab6520636bb5f7b99185aa69bd7456825d</Application>
  <AppVersion>15.0000</AppVersion>
  <Pages>32</Pages>
  <Words>6211</Words>
  <Characters>35975</Characters>
  <CharactersWithSpaces>42150</CharactersWithSpaces>
  <Paragraphs>312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2026-01-24T20:13:00Z</dcterms:created>
  <dc:creator>emna abidi</dc:creator>
  <dc:description/>
  <dc:language>fr-FR</dc:language>
  <cp:lastModifiedBy/>
  <dcterms:modified xsi:type="dcterms:W3CDTF">2026-02-27T14:22:56Z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