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Seluruh 5 transisi antar tahun terkonfirmasi sebagai structural break (ARI &lt; 0,30; kisaran −0,0102 hingga −0,0037), membuktikan bahwa asumsi segmentasi statis tidak berlaku di lingkungan pendidikan tinggi.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 xml:space="preserve">Penelitian ini mengajukan tiga hipotesis yang diuji secara empiris. Hipotesis 1 (H1): ARI &lt; 0,30 pada transisi 2019→2020 sebagai indikator structural break yang diukur dengan ARI. Hipotesis 2 (H2): Cosine similarity rata-rata antar entitas identik &gt; 0,70 pada semua transisi, membuktikan stabilitas representasi IndoBERT. </w:t>
      </w:r>
      <w:r>
        <w:lastRenderedPageBreak/>
        <w:t>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FABIANPEDREGOSA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FABIANPEDREGOSA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t>Desain validasi Dua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pipeline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0,9973</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Moderat</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Di atas threshold 0,70  perubahan klaster mencerminkan data, bukan artefak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0,8024</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fase COVID Crisis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1,0000</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Nilai tertinggi; transisi Recovery paling konsisten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0,8009</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terjaga meski lonjakan volume 2023</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0,8095</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menuju stabilisasi 2024</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0,8820</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Moderat</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di atas threshold 0,70; fluktuasi 0,80–1,00 menunjukkan stabilitas substansial meski variasi antar transisi</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rsidRPr="00903014">
        <w:rPr>
          <w:color w:val="000000"/>
        </w:rPr>
        <w:t xml:space="preserve">Tabel 4.4 menyajikan hasil validasi kritis yang mengkonfirmasi Hipotesis 2 (H2). Nilai </w:t>
      </w:r>
      <w:r w:rsidRPr="00903014">
        <w:rPr>
          <w:i/>
          <w:color w:val="000000"/>
        </w:rPr>
        <w:t>cosine similarity</w:t>
      </w:r>
      <w:r w:rsidRPr="00903014">
        <w:rPr>
          <w:color w:val="000000"/>
        </w:rPr>
        <w:t xml:space="preserve"> rata-rata 0,8820 pada seluruh 5 transisi berada di atas threshold 0,70 yang ditetapkan. Dua temuan penting dari tabel ini. Pertama, nilai terendah justru terjadi pada transisi 2019→2020 (0,9973) yaitu transisi yang secara struktural mengalami perubahan paling dramatis (</w:t>
      </w:r>
      <w:r w:rsidRPr="00903014">
        <w:rPr>
          <w:i/>
          <w:color w:val="000000"/>
        </w:rPr>
        <w:t>structural break</w:t>
      </w:r>
      <w:r w:rsidRPr="00903014">
        <w:rPr>
          <w:color w:val="000000"/>
        </w:rPr>
        <w:t xml:space="preserve"> dengan ARI = −0,0102 dan centroid drift 20,35). Ini membuktikan bahwa perbedaan yang terdeteksi pada analisis GMM benar-benar mencerminkan perubahan substantif populasi pendaftar, bukan ketidakstabilan teknis model. Kedua, nilai tertinggi pada </w:t>
      </w:r>
      <w:r w:rsidRPr="00903014">
        <w:rPr>
          <w:color w:val="000000"/>
        </w:rPr>
        <w:lastRenderedPageBreak/>
        <w:t>transisi 2021→2022 (1,0000) konsisten dengan fakta bahwa perpindahan dari fase COVID Crisis ke Recovery melibatkan entitas institusional (sekolah asal, wilayah) yang sebagian besar sama, meskipun distribusinya berubah. Temuan ini memvalidasi strategi frozen weights IndoBERT yang dipilih (</w:t>
      </w:r>
      <w:sdt>
        <w:sdtPr>
          <w:rPr>
            <w:color w:val="000000"/>
          </w:rPr>
          <w:tag w:val="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846441562"/>
          <w:placeholder>
            <w:docPart w:val="DefaultPlaceholder_-1854013440"/>
          </w:placeholder>
        </w:sdtPr>
        <w:sdtEndPr/>
        <w:sdtContent>
          <w:r w:rsidR="0053243F" w:rsidRPr="0053243F">
            <w:rPr>
              <w:color w:val="000000"/>
            </w:rPr>
            <w:t>(Subakti, Murfi, and Hariadi 2022)</w:t>
          </w:r>
        </w:sdtContent>
      </w:sdt>
      <w:r w:rsidRPr="00903014">
        <w:rPr>
          <w:color w:val="000000"/>
        </w:rPr>
        <w:t>;</w:t>
      </w:r>
      <w:r w:rsidR="00903014">
        <w:rPr>
          <w:color w:val="000000"/>
          <w:lang w:val="en-US"/>
        </w:rPr>
        <w:t xml:space="preserve"> </w:t>
      </w:r>
      <w:sdt>
        <w:sdtPr>
          <w:rPr>
            <w:color w:val="000000"/>
            <w:lang w:val="en-US"/>
          </w:rPr>
          <w:tag w:val="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
          <w:id w:val="-1487934711"/>
          <w:placeholder>
            <w:docPart w:val="DefaultPlaceholder_-1854013440"/>
          </w:placeholder>
        </w:sdtPr>
        <w:sdtEndPr/>
        <w:sdtContent>
          <w:r w:rsidR="0053243F" w:rsidRPr="0053243F">
            <w:rPr>
              <w:color w:val="000000"/>
              <w:lang w:val="en-US"/>
            </w:rPr>
            <w:t>Reimers and Gurevych n.d.)</w:t>
          </w:r>
        </w:sdtContent>
      </w:sdt>
      <w:r w:rsidRPr="00903014">
        <w:rPr>
          <w:color w:val="000000"/>
        </w:rPr>
        <w:t>).</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60,205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52,152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52,231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60,462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51,979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60,354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51,657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60,617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51,705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51,536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0.0041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83,523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93,679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83,667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-0.0394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83,447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96,259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96,670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96,897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86,358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146,703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135,708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147,585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135,852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215,153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202,948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215,623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0.0095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216,092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203,236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156,602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157,050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145,355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157,498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-0.0260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yang mengungkap pola utama: seluruh periode 2019–2024 menghasilkan K optimal = 2 berdasarkan minimum BIC. 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w:t>
      </w:r>
      <w:r w:rsidRPr="00971323">
        <w:rPr>
          <w:color w:val="000000"/>
        </w:rPr>
        <w:lastRenderedPageBreak/>
        <w:t>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-0.0102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0.9726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14.25</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-0.0037</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0.9927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0.9801</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0.9847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3.32</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0.0239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temuan paling signifikan dalam penelitian ini: seluruh 5 transisi antar periode dikonfirmasi sebagai Structural Break (ARI &lt; 0,30), </w:t>
      </w:r>
      <w:r w:rsidRPr="00971323">
        <w:rPr>
          <w:color w:val="000000"/>
        </w:rPr>
        <w:lastRenderedPageBreak/>
        <w:t>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rPr>
          <w:color w:val="000000"/>
        </w:rPr>
        <w:t xml:space="preserve">Gambar 4.3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−0,0037)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w:t>
      </w:r>
      <w:r w:rsidR="007C1716" w:rsidRPr="00903014">
        <w:rPr>
          <w:color w:val="000000"/>
        </w:rPr>
        <w:t xml:space="preserve"> </w:t>
      </w:r>
      <w:r w:rsidRPr="00903014">
        <w:rPr>
          <w:color w:val="000000"/>
        </w:rPr>
        <w:t xml:space="preserve">Means: (1) menghasilkan posterior probability yang menjadi basis reasoning kausal LLM; (2) mendukung proyeksi komposisi segmen 2025 (592 pendaftar); dan (3) memfasilitasi otomasi persona per klaster. Tiga kemampuan </w:t>
      </w:r>
      <w:r w:rsidRPr="00903014">
        <w:rPr>
          <w:color w:val="000000"/>
        </w:rPr>
        <w:lastRenderedPageBreak/>
        <w:t xml:space="preserve">inilah yang menjadi nilai tambah utama penelitian ini, konsisten dengan argumentasi Scrucca et al. (2016) bahwa nilai metrik GMM yang lebih rendah dari K-Means mencerminkan sifat </w:t>
      </w:r>
      <w:r w:rsidRPr="00903014">
        <w:rPr>
          <w:i/>
          <w:color w:val="000000"/>
        </w:rPr>
        <w:t>soft clustering</w:t>
      </w:r>
      <w:r w:rsidRPr="00903014">
        <w:rPr>
          <w:color w:val="000000"/>
        </w:rPr>
        <w:t xml:space="preserve"> yang lebih realistis, bukan inferioritas model.</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97.9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informatika(53); sarjana teknologi informasi(41)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pekalongan(110); kota pekalongan(21)</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 sarjana teknik industri(1)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batang(2); kabupaten pekalongan(1)</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rsidRPr="00903014">
        <w:rPr>
          <w:color w:val="000000"/>
        </w:rP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w:t>
      </w:r>
      <w:r w:rsidRPr="00903014">
        <w:rPr>
          <w:color w:val="000000"/>
        </w:rPr>
        <w:lastRenderedPageBreak/>
        <w:t>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4.5a menampilkan distribusi 146 pendaftar 2019 dalam ruang PCA 2D dengan tiga warna klaster (merah, biru, hijau) dan simbol bintang (★) sebagai </w:t>
      </w:r>
      <w:r>
        <w:rPr>
          <w:color w:val="000000"/>
        </w:rPr>
        <w:lastRenderedPageBreak/>
        <w:t>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99.6</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0.605</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informatika(128); sarjana teknologi informasi(93)</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pekalongan(210); kota pekalongan(32)</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0.711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cirebon(1)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0.624</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informatika(112); sarjana teknologi informasi(107)</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pekalongan(243); kota pekalongan(24)</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0.672</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98.9</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informasi(130); sarjana informatika(120)</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pekalongan(316); kota pekalongan(91)</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0.530</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teknik industri(3); diploma tiga administrasi perkan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676</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0.532</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informatika(210); sarjana teknologi informasi(178)</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pekalongan(447); kota pekalongan(110)</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0.6</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0.521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akuntansi(1); sarjana teknologi informasi(1)</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494</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98.2</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0.527</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informasi(110); diploma tiga akuntansi(104</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pekalongan(350); kota pekalongan(90)</w:t>
            </w:r>
          </w:p>
        </w:tc>
      </w:tr>
      <w:tr w:rsidR="00707891" w:rsidRPr="00707891" w:rsidTr="00707891">
        <w:trPr>
          <w:trHeight w:val="463"/>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0.514</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informasi(3); diploma tiga akuntansi(2)</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pekalongan(6); kota pekalongan(2)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rsidRPr="006D3EAF">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validasi pakar 4,0/5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rsidRPr="00893B44">
        <w:rPr>
          <w:rStyle w:val="MdStrong"/>
          <w:b w:val="0"/>
          <w:bCs w:val="0"/>
        </w:rPr>
        <w:lastRenderedPageBreak/>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rPr>
          <w:bCs/>
          <w:color w:val="000000"/>
        </w:rPr>
        <w:t>Hipotesis 1 (H1) dikonfirmasi melampaui ekspektasi</w:t>
      </w:r>
    </w:p>
    <w:p w:rsidR="002316A4" w:rsidRDefault="00C02299">
      <w:pPr>
        <w:spacing w:line="480" w:lineRule="auto"/>
        <w:ind w:firstLine="720"/>
        <w:jc w:val="both"/>
      </w:pPr>
      <w:r>
        <w:rPr>
          <w:color w:val="000000"/>
        </w:rPr>
        <w:t xml:space="preserve">Seluruh 5 transisi antar periode menghasilkan ARI &lt; 0,30 </w:t>
      </w:r>
      <w:sdt>
        <w:sdtPr>
          <w:rPr>
            <w:color w:val="000000"/>
          </w:rPr>
          <w:tag w:val="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
          <w:id w:val="-178969913"/>
          <w:placeholder>
            <w:docPart w:val="DefaultPlaceholder_-1854013440"/>
          </w:placeholder>
        </w:sdtPr>
        <w:sdtContent>
          <w:r w:rsidR="0053243F" w:rsidRPr="0053243F">
            <w:rPr>
              <w:color w:val="000000"/>
            </w:rPr>
            <w:t>(Steinley 2004)</w:t>
          </w:r>
        </w:sdtContent>
      </w:sdt>
      <w:r w:rsidR="0053243F">
        <w:rPr>
          <w:color w:val="000000"/>
          <w:lang w:val="en-US"/>
        </w:rPr>
        <w:t xml:space="preserve"> </w:t>
      </w:r>
      <w:r>
        <w:rPr>
          <w:color w:val="000000"/>
        </w:rPr>
        <w:t>(kisaran −0,0102 hingga −0,0037).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53243F" w:rsidRPr="0053243F">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53243F" w:rsidRPr="0053243F">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Cosine similarity rata-rata 0,9990 (kisaran 0,9973–1,0000) membuktikan stabilitas representasi IndoBERT di atas threshold 0,70 pada seluruh transisi, memvalidasi bahwa perubahan klaster yang terdeteksi mencerminkan perubahan substantif populasi pendaftar, bukan artefak teknis.</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bookmarkStart w:id="129" w:name="_Toc234695738"/>
      <w:r>
        <w:t>4.</w:t>
      </w:r>
      <w:r w:rsidR="00315A07">
        <w:rPr>
          <w:lang w:val="en-US"/>
        </w:rPr>
        <w:t>10</w:t>
      </w:r>
      <w:r>
        <w:t>.2 Implikasi Fenomena Structural Break Universal</w:t>
      </w:r>
      <w:bookmarkEnd w:id="129"/>
    </w:p>
    <w:p w:rsidR="002316A4" w:rsidRPr="000D6197" w:rsidRDefault="00C02299">
      <w:pPr>
        <w:spacing w:line="480" w:lineRule="auto"/>
        <w:ind w:firstLine="720"/>
        <w:jc w:val="both"/>
      </w:pPr>
      <w:r>
        <w:t>Temuan bahwa seluruh 5 transisi merupakan structural break memiliki implikasi strategis kritis: sistem rekrutmen yang mengandalkan profil segmen dari tahun sebelumnya akan selalu ketinggalan satu siklus perubahan struktural.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memerlukan pembaruan segmentasi tahunan (bukan 3–5 tahun), menjadikan pipeline otomatis yang dikembangkan ini sangat relevan secara praktis.</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Perubahan Struktural Pendaftar (Structural Breaks)</w:t>
      </w:r>
      <w:r>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(kisaran −0,0102 hingga −0,0037), di mana seluruh transisi menunjukkan nilai ARI negatif yang mengindikasikan perubahan struktural sangat fundamental. Centroid drift mengkonfirmasi tren stabilisasi dari 14,25 (2019→2020) menjadi 3,32 (2022→2023), namun peningkatan kembali menjadi 5,63 pada 2023→2024 menandakan bahwa proses stabilisasi belum sepenuhnya selesai. Temuan ini memiliki implikasi kritis: sistem rekrutmen yang mengandalkan profil segmen tahun sebelumnya akan selalu tertinggal satu siklus perubahan struktural.</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Ani, Hendryadi, Sri Widyastuti, and Suryani. 2022. “COVID-19, Emergency Remote Teaching Evaluation: The Case of Indonesia.” </w:t>
          </w:r>
          <w:r w:rsidRPr="0053243F">
            <w:rPr>
              <w:rFonts w:eastAsia="Times New Roman"/>
              <w:i/>
              <w:iCs/>
              <w:color w:val="000000"/>
            </w:rPr>
            <w:t>Education and Information Technologies</w:t>
          </w:r>
          <w:r w:rsidRPr="0053243F">
            <w:rPr>
              <w:rFonts w:eastAsia="Times New Roman"/>
              <w:color w:val="000000"/>
            </w:rPr>
            <w:t xml:space="preserve"> 27(2): 2165–79. doi:10.1007/s10639-021-10680-3.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Cristóbal Romero, Sebastián Ventura. 2000. “Educational Data Mining Review.”</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 N M Laird, and ; D B Rubin. 1977. 39 Journal of the Royal Statistical Society. Series B (Methodological) </w:t>
          </w:r>
          <w:r w:rsidRPr="0053243F">
            <w:rPr>
              <w:rFonts w:eastAsia="Times New Roman"/>
              <w:i/>
              <w:iCs/>
              <w:color w:val="000000"/>
            </w:rPr>
            <w:t>Maximum Likelihood from Incomplete Data via the EM Algorithm</w:t>
          </w:r>
          <w:r w:rsidRPr="0053243F">
            <w:rPr>
              <w:rFonts w:eastAsia="Times New Roman"/>
              <w:color w:val="000000"/>
            </w:rPr>
            <w:t>.</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Jacob, Ming-Wei Chang, Kenton Lee, Kristina Toutanova Google, and A I Language. </w:t>
          </w:r>
          <w:r w:rsidRPr="0053243F">
            <w:rPr>
              <w:rFonts w:eastAsia="Times New Roman"/>
              <w:i/>
              <w:iCs/>
              <w:color w:val="000000"/>
            </w:rPr>
            <w:t>BERT: Pre-Training of Deep Bidirectional Transformers for Language Understanding</w:t>
          </w:r>
          <w:r w:rsidRPr="0053243F">
            <w:rPr>
              <w:rFonts w:eastAsia="Times New Roman"/>
              <w:color w:val="000000"/>
            </w:rPr>
            <w:t>. https://github.com/tensorflow/tensor2tensor.</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Lijimol, and P Sumathy. 2022a. “An Integrated Clustering and BERT Framework for Improved Topic Modeling.” doi:10.21203/rs.3.rs-1986180/v1.</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George, Lijimol, and P Sumathy. 2022b. “An Integrated Clustering and BERT Framework for Improved Topic Modeling.” doi:10.21203/rs.3.rs-1986180/v1.</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Helske, Jouni, Satu Helske, Mohammed Saqr, Sonsoles López-Pernas, and Keefe Murphy. 2024. “A Modern Approach to Transition Analysis and Process Mining with Markov Models in Education.” In </w:t>
          </w:r>
          <w:r w:rsidRPr="0053243F">
            <w:rPr>
              <w:rFonts w:eastAsia="Times New Roman"/>
              <w:i/>
              <w:iCs/>
              <w:color w:val="000000"/>
            </w:rPr>
            <w:t>Learning Analytics Methods and Tutorials</w:t>
          </w:r>
          <w:r w:rsidRPr="0053243F">
            <w:rPr>
              <w:rFonts w:eastAsia="Times New Roman"/>
              <w:color w:val="000000"/>
            </w:rPr>
            <w:t>, Cham: Springer Nature Switzerland, 381–427. doi:10.1007/978-3-031-54464-4_12.</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Hossler, D., &amp; Bean, J. P. 1990. </w:t>
          </w:r>
          <w:r w:rsidRPr="0053243F">
            <w:rPr>
              <w:rFonts w:eastAsia="Times New Roman"/>
              <w:i/>
              <w:iCs/>
              <w:color w:val="000000"/>
            </w:rPr>
            <w:t xml:space="preserve">The Strategic Management of College Enrollments. </w:t>
          </w:r>
          <w:r w:rsidRPr="0053243F">
            <w:rPr>
              <w:rFonts w:eastAsia="Times New Roman"/>
              <w:color w:val="000000"/>
            </w:rPr>
            <w:t>. Jossey Bass.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Lawrence, and Phipps Arabic. 1985. 2 Journal of Classification </w:t>
          </w:r>
          <w:r w:rsidRPr="0053243F">
            <w:rPr>
              <w:rFonts w:eastAsia="Times New Roman"/>
              <w:i/>
              <w:iCs/>
              <w:color w:val="000000"/>
            </w:rPr>
            <w:t>Comparing Partitions</w:t>
          </w:r>
          <w:r w:rsidRPr="0053243F">
            <w:rPr>
              <w:rFonts w:eastAsia="Times New Roman"/>
              <w:color w:val="000000"/>
            </w:rPr>
            <w:t>.</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Leonard, and Peter J Rousseeuw. </w:t>
          </w:r>
          <w:r w:rsidRPr="0053243F">
            <w:rPr>
              <w:rFonts w:eastAsia="Times New Roman"/>
              <w:i/>
              <w:iCs/>
              <w:color w:val="000000"/>
            </w:rPr>
            <w:t>Finding Groups in Data An Introduction to Cluster Analysis</w:t>
          </w:r>
          <w:r w:rsidRPr="0053243F">
            <w:rPr>
              <w:rFonts w:eastAsia="Times New Roman"/>
              <w:color w:val="000000"/>
            </w:rPr>
            <w:t>.</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and Armstrong. 2012. </w:t>
          </w:r>
          <w:r w:rsidRPr="0053243F">
            <w:rPr>
              <w:rFonts w:eastAsia="Times New Roman"/>
              <w:i/>
              <w:iCs/>
              <w:color w:val="000000"/>
            </w:rPr>
            <w:t>Principles of Marketing</w:t>
          </w:r>
          <w:r w:rsidRPr="0053243F">
            <w:rPr>
              <w:rFonts w:eastAsia="Times New Roman"/>
              <w:color w:val="000000"/>
            </w:rPr>
            <w:t>. New Jersey: Prentice Hall.</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w:t>
          </w:r>
          <w:r w:rsidRPr="0053243F">
            <w:rPr>
              <w:rFonts w:eastAsia="Times New Roman"/>
              <w:i/>
              <w:iCs/>
              <w:color w:val="000000"/>
            </w:rPr>
            <w:t xml:space="preserve">Marketing Management (15th Ed.). </w:t>
          </w:r>
          <w:r w:rsidRPr="0053243F">
            <w:rPr>
              <w:rFonts w:eastAsia="Times New Roman"/>
              <w:color w:val="000000"/>
            </w:rPr>
            <w:t>. Pearson Education.</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Kotler, Philip., and Kevin Lane. Keller. 2016. </w:t>
          </w:r>
          <w:r w:rsidRPr="0053243F">
            <w:rPr>
              <w:rFonts w:eastAsia="Times New Roman"/>
              <w:i/>
              <w:iCs/>
              <w:color w:val="000000"/>
            </w:rPr>
            <w:t>Marketing Management</w:t>
          </w:r>
          <w:r w:rsidRPr="0053243F">
            <w:rPr>
              <w:rFonts w:eastAsia="Times New Roman"/>
              <w:color w:val="000000"/>
            </w:rPr>
            <w:t>. Pearson.</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Michael J., Caitlin Anderson, Claire Stone, and Yea Rim Oh. 2025a.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Parker, Michael J., Caitlin Anderson, Claire Stone, and Yea Rim Oh. 2025b.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FABIANPEDREGOSA, Fabian, Vincent Michel, Olivier Grisel OLIVIERGRISEL, Mathieu Blondel, Peter Prettenhofer, Ron Weiss, Jake Vanderplas, et al. 2011. 12 Journal of Machine Learning Research </w:t>
          </w:r>
          <w:r w:rsidRPr="0053243F">
            <w:rPr>
              <w:rFonts w:eastAsia="Times New Roman"/>
              <w:i/>
              <w:iCs/>
              <w:color w:val="000000"/>
            </w:rPr>
            <w:t>Scikit-Learn: Machine Learning in Python Gaël Varoquaux Bertrand Thirion Vincent Dubourg Alexandre Passos PEDREGOSA, VAROQUAUX, GRAMFORT ET AL. Matthieu Perrot</w:t>
          </w:r>
          <w:r w:rsidRPr="0053243F">
            <w:rPr>
              <w:rFonts w:eastAsia="Times New Roman"/>
              <w:color w:val="000000"/>
            </w:rPr>
            <w:t>. http://scikit-learn.sourceforge.net.</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Wendy M., and Julio Lumbreras. 2021. “Higher Education and the COVID-19 Pandemic: Navigating Disruption Using the Sustainable Development Goals.” </w:t>
          </w:r>
          <w:r w:rsidRPr="0053243F">
            <w:rPr>
              <w:rFonts w:eastAsia="Times New Roman"/>
              <w:i/>
              <w:iCs/>
              <w:color w:val="000000"/>
            </w:rPr>
            <w:t>Discover Sustainability</w:t>
          </w:r>
          <w:r w:rsidRPr="0053243F">
            <w:rPr>
              <w:rFonts w:eastAsia="Times New Roman"/>
              <w:color w:val="000000"/>
            </w:rPr>
            <w:t xml:space="preserve"> 2(1): 6. doi:10.1007/s43621-021-00013-2.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Nils, and Iryna Gurevych. </w:t>
          </w:r>
          <w:r w:rsidRPr="0053243F">
            <w:rPr>
              <w:rFonts w:eastAsia="Times New Roman"/>
              <w:i/>
              <w:iCs/>
              <w:color w:val="000000"/>
            </w:rPr>
            <w:t>Sentence-BERT: Sentence Embeddings Using Siamese BERT-Networks</w:t>
          </w:r>
          <w:r w:rsidRPr="0053243F">
            <w:rPr>
              <w:rFonts w:eastAsia="Times New Roman"/>
              <w:color w:val="000000"/>
            </w:rPr>
            <w:t>. https://github.com/UKPLab/.</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Ghada Refaat. 2021a.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El Said, Ghada Refaat. 2021b.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Luca, Michael Fop, T Brendan Murphy, and Adrian E Raftery. </w:t>
          </w:r>
          <w:r w:rsidRPr="0053243F">
            <w:rPr>
              <w:rFonts w:eastAsia="Times New Roman"/>
              <w:i/>
              <w:iCs/>
              <w:color w:val="000000"/>
            </w:rPr>
            <w:t>Mclust 5: Clustering, Classification and Density Estimation Using Gaussian Finite Mixture Models</w:t>
          </w:r>
          <w:r w:rsidRPr="0053243F">
            <w:rPr>
              <w:rFonts w:eastAsia="Times New Roman"/>
              <w:color w:val="000000"/>
            </w:rPr>
            <w:t>. http://cran-logs.rstudio.com.</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Shen, Jiancheng, David D. Selover, Chao Li, and Hamed Yousefi. 2022. “An Ocean Apart? The Effects of US Business Cycles on Chinese Business Cycles.” </w:t>
          </w:r>
          <w:r w:rsidRPr="0053243F">
            <w:rPr>
              <w:rFonts w:eastAsia="Times New Roman"/>
              <w:i/>
              <w:iCs/>
              <w:color w:val="000000"/>
            </w:rPr>
            <w:t>International Review of Economics &amp; Finance</w:t>
          </w:r>
          <w:r w:rsidRPr="0053243F">
            <w:rPr>
              <w:rFonts w:eastAsia="Times New Roman"/>
              <w:color w:val="000000"/>
            </w:rPr>
            <w:t xml:space="preserve"> 82: 677–98. doi:10.1016/j.iref.2022.07.014.</w:t>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2024a.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2024b.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Ashish, Google Brain, Noam Shazeer, Niki Parmar, Jakob Uszkoreit, Llion Jones, Aidan N Gomez, Łukasz Kaiser, and Illia Polosukhin. </w:t>
          </w:r>
          <w:r w:rsidRPr="0053243F">
            <w:rPr>
              <w:rFonts w:eastAsia="Times New Roman"/>
              <w:i/>
              <w:iCs/>
              <w:color w:val="000000"/>
            </w:rPr>
            <w:t>Attention Is All You Need</w:t>
          </w:r>
          <w:r w:rsidRPr="0053243F">
            <w:rPr>
              <w:rFonts w:eastAsia="Times New Roman"/>
              <w:color w:val="000000"/>
            </w:rPr>
            <w:t>.</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Jason, Xuezhi Wang, Dale Schuurmans, Maarten Bosma, Brian Ichter, Fei Xia, Ed Chi, Quoc Le, and Denny Zhou. 2023. “Chain-of-Thought Prompting Elicits Reasoning in Large Language Models.” http://arxiv.org/abs/2201.11903.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