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K=2 secara konsisten pada seluruh periode, dengan posterior probability 0,514–1,000. Seluruh 5 transisi antar tahun terkonfirmasi sebagai structural break (ARI &lt; 0,30; kisaran −0,0102 hingga −0,0037), membuktikan bahwa asumsi segmentasi statis tidak berlaku di lingkungan pendidikan tinggi. Cosine similarity embedding IndoBERT rata-rata 0,999 membuktikan stabilitas representasi semantik. Analisis profil klaster mengungkapkan satu segmen mayoritas homogen (98%+) yang konsisten di setiap tahun dan satu segmen minoritas spesifik, dengan dominasi program studi berbasis teknologi informasi dari wilayah Kabupaten Pekalongan.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consistently selects K=2 as the optimal number of clusters across all periods, with posterior probabilities ranging from 0.514 to 1.000. All 5 transitions between years are confirmed as structural breaks (ARI &lt; 0.30; range −0.0102 to −0.0037), proving that static segmentation assumptions are invalid in higher education environments. Average IndoBERT embedding cosine similarity of 0.999 confirms semantic representation stability. Cluster profile analysis reveals a homogeneous majority segment (98%+) consistent across all years and a specific minority segment, dominated by information technology study programs from the Pekalongan Regency area.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lastRenderedPageBreak/>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 xml:space="preserve">Penelitian ini mengajukan tiga hipotesis yang diuji secara empiris. Hipotesis 1 (H1): ARI &lt; 0,30 pada transisi 2019→2020 sebagai indikator structural break yang diukur dengan ARI. Hipotesis 2 (H2): Cosine similarity rata-rata antar entitas identik &gt; 0,70 pada semua transisi, membuktikan stabilitas representasi IndoBERT. </w:t>
      </w:r>
      <w:r>
        <w:lastRenderedPageBreak/>
        <w:t>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C77A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C77A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spacing w:line="480" w:lineRule="auto"/>
      </w:pP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C77A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API OpenRouter. Model utama yang diandalkan adalah meta-llama/llama-3.3-70b-instruct yang menawarkan efisiensi tinggi, didukung oleh sistem fallback otomatis menggunakan model berkapasitas sangat besar dari NVIDIA, yaitu nvidia/nemotron-3-ultra-550b-a55b dan nvidia/nemotron-3-super-120b-a12b.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xml:space="preserve">menghasilkan representasi vektor 768 dimensi yang kemudian direduksi oleh PCA menggunakan basis 2019. Fase kedua adalah segmentasi probabilistik </w:t>
      </w:r>
      <w:r w:rsidRPr="00D07E87">
        <w:rPr>
          <w:color w:val="000000"/>
        </w:rPr>
        <w:lastRenderedPageBreak/>
        <w:t>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xml:space="preserve">. Penilaian praktisi tetap menjadi gold standard karena lebih holistik dalam menilai </w:t>
      </w:r>
      <w:r w:rsidRPr="00864E21">
        <w:lastRenderedPageBreak/>
        <w:t>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FABIANPEDREGOSA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OpenRouter API yang mengakses model-model penalaran tingkat tinggi secara berjenjang (cascade fallback), meliputi meta-llama/llama-3.3-70b-instruct sebagai model utama, serta nvidia/nemotron-3-ultra-550b-a55b dan nvidia/nemotron-3-super-120b-a12b sebagai model cadangan untuk memastikan keberhasilan tugas reasoning kompleks.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FABIANPEDREGOSA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w:t>
      </w:r>
      <w:r>
        <w:lastRenderedPageBreak/>
        <w:t>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w:t>
      </w:r>
      <w:r>
        <w:rPr>
          <w:color w:val="000000"/>
        </w:rPr>
        <w:lastRenderedPageBreak/>
        <w:t xml:space="preserve">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w:t>
      </w:r>
      <w:r>
        <w:lastRenderedPageBreak/>
        <w:t xml:space="preserve">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Cs/>
          <w:color w:val="000000"/>
          <w:szCs w:val="20"/>
        </w:rPr>
        <w:t>Sumber: Data Primer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r w:rsidR="00C77AE5">
        <w:fldChar w:fldCharType="begin"/>
      </w:r>
      <w:r w:rsidR="00C77AE5">
        <w:instrText xml:space="preserve"> SEQ Gambar_4. \* ARABIC </w:instrText>
      </w:r>
      <w:r w:rsidR="00C77AE5">
        <w:fldChar w:fldCharType="separate"/>
      </w:r>
      <w:r w:rsidR="00586CC5">
        <w:rPr>
          <w:noProof/>
        </w:rPr>
        <w:t>1</w:t>
      </w:r>
      <w:r w:rsidR="00C77AE5">
        <w:rPr>
          <w:noProof/>
        </w:rPr>
        <w:fldChar w:fldCharType="end"/>
      </w:r>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rPr>
          <w:iCs/>
          <w:color w:val="000000"/>
          <w:szCs w:val="20"/>
        </w:rPr>
        <w:t>Sumber: Data Primer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0,9973</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Moderat</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Di atas threshold 0,70  perubahan klaster mencerminkan data, bukan artefak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0,8024</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fase COVID Crisis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1,0000</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Nilai tertinggi; transisi Recovery paling konsisten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0,8009</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terjaga meski lonjakan volume 2023</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0,8095</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menuju stabilisasi 2024</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0,8820</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Moderat</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di atas threshold 0,70; fluktuasi 0,80–1,00 menunjukkan stabilitas substansial meski variasi antar transisi</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rsidRPr="00903014">
        <w:rPr>
          <w:color w:val="000000"/>
        </w:rPr>
        <w:t xml:space="preserve">Tabel 4.4 menyajikan hasil validasi kritis yang mengkonfirmasi Hipotesis 2 (H2). Nilai </w:t>
      </w:r>
      <w:r w:rsidRPr="00903014">
        <w:rPr>
          <w:i/>
          <w:color w:val="000000"/>
        </w:rPr>
        <w:t>cosine similarity</w:t>
      </w:r>
      <w:r w:rsidRPr="00903014">
        <w:rPr>
          <w:color w:val="000000"/>
        </w:rPr>
        <w:t xml:space="preserve"> rata-rata 0,8820 pada seluruh 5 transisi berada di atas threshold 0,70 yang ditetapkan. Dua temuan penting dari tabel ini. Pertama, nilai terendah justru terjadi pada transisi 2019→2020 (0,9973) yaitu transisi yang secara struktural mengalami perubahan paling dramatis (</w:t>
      </w:r>
      <w:r w:rsidRPr="00903014">
        <w:rPr>
          <w:i/>
          <w:color w:val="000000"/>
        </w:rPr>
        <w:t>structural break</w:t>
      </w:r>
      <w:r w:rsidRPr="00903014">
        <w:rPr>
          <w:color w:val="000000"/>
        </w:rPr>
        <w:t xml:space="preserve"> dengan ARI = −0,0102 dan centroid drift 20,35). Ini membuktikan bahwa perbedaan yang terdeteksi pada analisis GMM benar-benar mencerminkan perubahan substantif populasi pendaftar, bukan ketidakstabilan teknis model. Kedua, nilai tertinggi pada </w:t>
      </w:r>
      <w:r w:rsidRPr="00903014">
        <w:rPr>
          <w:color w:val="000000"/>
        </w:rPr>
        <w:lastRenderedPageBreak/>
        <w:t>transisi 2021→2022 (1,0000) konsisten dengan fakta bahwa perpindahan dari fase COVID Crisis ke Recovery melibatkan entitas institusional (sekolah asal, wilayah) yang sebagian besar sama, meskipun distribusinya berubah. Temuan ini memvalidasi strategi frozen weights IndoBERT yang dipilih (</w:t>
      </w:r>
      <w:sdt>
        <w:sdtPr>
          <w:rPr>
            <w:color w:val="000000"/>
          </w:rPr>
          <w:tag w:val="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846441562"/>
          <w:placeholder>
            <w:docPart w:val="DefaultPlaceholder_-1854013440"/>
          </w:placeholder>
        </w:sdtPr>
        <w:sdtEndPr/>
        <w:sdtContent>
          <w:r w:rsidR="0053243F" w:rsidRPr="0053243F">
            <w:rPr>
              <w:color w:val="000000"/>
            </w:rPr>
            <w:t>(Subakti, Murfi, and Hariadi 2022)</w:t>
          </w:r>
        </w:sdtContent>
      </w:sdt>
      <w:r w:rsidRPr="00903014">
        <w:rPr>
          <w:color w:val="000000"/>
        </w:rPr>
        <w:t>;</w:t>
      </w:r>
      <w:r w:rsidR="00903014">
        <w:rPr>
          <w:color w:val="000000"/>
          <w:lang w:val="en-US"/>
        </w:rPr>
        <w:t xml:space="preserve"> </w:t>
      </w:r>
      <w:sdt>
        <w:sdtPr>
          <w:rPr>
            <w:color w:val="000000"/>
            <w:lang w:val="en-US"/>
          </w:rPr>
          <w:tag w:val="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
          <w:id w:val="-1487934711"/>
          <w:placeholder>
            <w:docPart w:val="DefaultPlaceholder_-1854013440"/>
          </w:placeholder>
        </w:sdtPr>
        <w:sdtEndPr/>
        <w:sdtContent>
          <w:r w:rsidR="0053243F" w:rsidRPr="0053243F">
            <w:rPr>
              <w:color w:val="000000"/>
              <w:lang w:val="en-US"/>
            </w:rPr>
            <w:t>Reimers and Gurevych n.d.)</w:t>
          </w:r>
        </w:sdtContent>
      </w:sdt>
      <w:r w:rsidRPr="00903014">
        <w:rPr>
          <w:color w:val="000000"/>
        </w:rPr>
        <w:t>).</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60,205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52,152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52,231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60,462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51,979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60,354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51,657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60,617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51,705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51,536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0.0041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83,523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93,679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83,667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-0.0394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83,447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96,259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96,670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96,897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86,358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146,703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135,708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147,585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135,852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215,153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202,948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215,623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0.0095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216,092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203,236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156,602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157,050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145,355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157,498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-0.0260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yang mengungkap pola utama: seluruh periode 2019–2024 menghasilkan K optimal = 2 berdasarkan minimum BIC. Temuan ini menunjukkan bahwa setiap tahun hanya terdapat dua profil utama calon mahasiswa yang secara fundamental berbeda: satu klaster mayoritas dominan (98%+) dan satu klaster minoritas dengan karakteristik spesifik. Konsistensi K=2 mengindikasikan bahwa karakteristik dasar pendaftar relatif homogen dan tidak </w:t>
      </w:r>
      <w:r w:rsidRPr="00971323">
        <w:rPr>
          <w:color w:val="000000"/>
        </w:rPr>
        <w:lastRenderedPageBreak/>
        <w:t>mengalami fragmentasi klaster, meskipun volume pendaftar berfluktuasi secara signifikan dari 146 (2019) hingga 680 (2023). Nilai BIC yang jauh lebih besar pada fase Recovery (146.703–215.153) dibandingkan fase Pre COVID (60.205) mencerminkan ukuran dataset yang jauh lebih besar, bukan penurunan kualitas model. Nilai Silhouette Score tertinggi (0,0883) pada 2019 dengan K=2 menunjukkan diferensiasi antar klaster yang paling jelas terjadi pada tahun dengan jumlah data terkecil. Scrucca et al. (2016) menegaskan nilai Silhouette Score dalam rentang 0,01–0,10 tetap bermakna dalam soft clustering seperti GMM, mengingat sifat inheren overlap antar segmen probabilistik.</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w:t>
      </w:r>
      <w:r>
        <w:rPr>
          <w:color w:val="000000"/>
        </w:rPr>
        <w:lastRenderedPageBreak/>
        <w:t>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-0.0102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0.9726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14.25</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-0.0037</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0.9927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0.9801</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0.9847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3.32</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0.0239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 xml:space="preserve">Tabel 4.6 menyajikan temuan paling signifikan dalam penelitian ini: seluruh 5 transisi antar periode dikonfirmasi sebagai Structural Break (ARI &lt; 0,30), </w:t>
      </w:r>
      <w:r w:rsidRPr="00971323">
        <w:rPr>
          <w:color w:val="000000"/>
        </w:rPr>
        <w:lastRenderedPageBreak/>
        <w:t>mengkonfirmasi Hipotesis 1 (H1) secara menyeluruh dan melampaui ekspektasi awal yang hanya menduga structural break pada transisi 2019→2020.</w:t>
      </w:r>
    </w:p>
    <w:p w:rsidR="002316A4" w:rsidRDefault="00C02299" w:rsidP="00EB55A7">
      <w:pPr>
        <w:spacing w:line="480" w:lineRule="auto"/>
        <w:ind w:firstLine="720"/>
        <w:jc w:val="both"/>
      </w:pPr>
      <w:r>
        <w:rPr>
          <w:color w:val="000000"/>
        </w:rPr>
        <w:t>Analisis tiga metrik komplementer mengungkap nuansa penting di balik angka ARI. Pertama, nilai ARI negatif (−0,0102) pada transisi 2019→2020 dan (−0,0062) pada 2022→2023 mengindikasikan bahwa pengelompokan pada kedua 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rPr>
          <w:color w:val="000000"/>
        </w:rPr>
        <w:t xml:space="preserve">Gambar 4.3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−0,0037)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lastRenderedPageBreak/>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695722"/>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w:t>
      </w:r>
      <w:r w:rsidRPr="007A5F01">
        <w:rPr>
          <w:color w:val="000000"/>
        </w:rP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Keunggulan fundamental GMM terletak pada tiga kemampuan yang tidak dapat dipenuhi K</w:t>
      </w:r>
      <w:r w:rsidR="007C1716" w:rsidRPr="00903014">
        <w:rPr>
          <w:color w:val="000000"/>
        </w:rPr>
        <w:t xml:space="preserve"> </w:t>
      </w:r>
      <w:r w:rsidRPr="00903014">
        <w:rPr>
          <w:color w:val="000000"/>
        </w:rPr>
        <w:t xml:space="preserve">Means: (1) menghasilkan posterior probability yang menjadi basis reasoning kausal LLM; (2) mendukung proyeksi komposisi segmen 2025 (592 pendaftar); dan (3) memfasilitasi otomasi persona per klaster. Tiga kemampuan </w:t>
      </w:r>
      <w:r w:rsidRPr="00903014">
        <w:rPr>
          <w:color w:val="000000"/>
        </w:rPr>
        <w:lastRenderedPageBreak/>
        <w:t xml:space="preserve">inilah yang menjadi nilai tambah utama penelitian ini, konsisten dengan argumentasi Scrucca et al. (2016) bahwa nilai metrik GMM yang lebih rendah dari K-Means mencerminkan sifat </w:t>
      </w:r>
      <w:r w:rsidRPr="00903014">
        <w:rPr>
          <w:i/>
          <w:color w:val="000000"/>
        </w:rPr>
        <w:t>soft clustering</w:t>
      </w:r>
      <w:r w:rsidRPr="00903014">
        <w:rPr>
          <w:color w:val="000000"/>
        </w:rPr>
        <w:t xml:space="preserve"> yang lebih realistis, bukan inferioritas model.</w:t>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97.9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informatika(53); sarjana teknologi informasi(41)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pekalongan(110); kota pekalongan(21)</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 sarjana teknik industri(1)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batang(2); kabupaten pekalongan(1)</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rsidRPr="00903014">
        <w:rPr>
          <w:color w:val="000000"/>
        </w:rP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w:t>
      </w:r>
      <w:r w:rsidRPr="00903014">
        <w:rPr>
          <w:color w:val="000000"/>
        </w:rPr>
        <w:lastRenderedPageBreak/>
        <w:t>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 xml:space="preserve">Gambar 4.5a menampilkan distribusi 146 pendaftar 2019 dalam ruang PCA 2D dengan tiga warna klaster (merah, biru, hijau) dan simbol bintang (★) sebagai </w:t>
      </w:r>
      <w:r>
        <w:rPr>
          <w:color w:val="000000"/>
        </w:rPr>
        <w:lastRenderedPageBreak/>
        <w:t>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Pr="00FD3024" w:rsidRDefault="00C02299" w:rsidP="00FD3024">
      <w:pPr>
        <w:pStyle w:val="Judul3"/>
        <w:spacing w:after="160" w:line="480" w:lineRule="auto"/>
        <w:jc w:val="both"/>
      </w:pPr>
      <w:bookmarkStart w:id="103" w:name="_Toc234695727"/>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99.6</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0.605</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informatika(128); sarjana teknologi informasi(93)</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pekalongan(210); kota pekalongan(32)</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0.711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cirebon(1)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K=2 dengan distribusi yang sangat timpang: Klaster 1 mendominasi dengan 273 pendaftar (99,6%) berasal dari Kabupaten Pekalongan dan Kota Pekalongan, dengan prodi dominan S1 Informatika (128) dan S1 Teknologi Informasi (93). Klaster 2 hanya mencakup 1 pendaftar (0,4%) dari Kabupaten Cirebon dengan prodi S1 Teknologi Informasi. Posterior probability untuk klaster 1 = 0,605 dan klaster 2 = 0,711, menunjukkan tingkat ketidakpastian </w:t>
      </w:r>
      <w:r w:rsidRPr="007A5F01">
        <w:rPr>
          <w:color w:val="000000"/>
        </w:rPr>
        <w:lastRenderedPageBreak/>
        <w:t>yang lebih realistis dibandingkan 2019.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dua klaster hasil GMM. Klaster 1 (mayoritas) mendominasi area PCA dengan kepadatan titik yang tinggi, sementara satu titik klaster 2 terisolasi di area yang lebih terpisah. Pola yang hampir identik dengan 2019 menegaskan konsistensi struktur segmen,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0.624</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informatika(112); sarjana teknologi informasi(107)</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pekalongan(243); kota pekalongan(24)</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0.672</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695728"/>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98.9</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informasi(130); sarjana informatika(120)</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pekalongan(316); kota pekalongan(91)</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0.530</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teknik industri(3); diploma tiga administrasi perkan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pekalongan(5)</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676</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0.532</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informatika(210); sarjana teknologi informasi(178)</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pekalongan(447); kota pekalongan(110)</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0.6</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0.521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akuntansi(1); sarjana teknologi informasi(1)</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konsolidasi ekstrem pada 2023: 676 dari 680 pendaftar (99,4%) terkonsentrasi dalam satu klaster (K2), dengan prodi dominan S1 Informatika (210) dan S1 Teknologi Informasi (178), didominasi asal Kabupaten Pekalongan (447) dan Kota Pekalongan (110). Klaster 1 hanya 4 pendaftar (0,6%) dari Kabupaten Pekalongan dengan prodi D3 Akuntansi dan S1 Teknologi Informasi. Pola ini menunjukkan bahwa kampanye rekrutmen 2023 sangat efektif menjangkau satu segmen demografis yang homogen: calon mahasiswa berbasis IT dari Kabupaten Pekalongan. Posterior probability = 0,532 (K2) dan 0,521 (K1), menunjukkan batas antar klaster yang sangat kabur.</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secara dramatis memvisualisasikan konsolidasi K=2 pada 2023: satu klaster dominan (K2, 99,4%) yang mencakup hampir seluruh area PCA dengan kepadatan titik sangat tinggi (676 pendaftar), sementara klaster 1 hanya terdiri dari 4 titik yang hampir tidak terlihat. Visualisasi ini menegaskan homogenitas ekstrem profil pendaftar 2023.</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494</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98.2</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0.527</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informasi(110); diploma tiga akuntansi(104</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pekalongan(350); kota pekalongan(90)</w:t>
            </w:r>
          </w:p>
        </w:tc>
      </w:tr>
      <w:tr w:rsidR="00707891" w:rsidRPr="00707891" w:rsidTr="00707891">
        <w:trPr>
          <w:trHeight w:val="463"/>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0.514</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informasi(3); diploma tiga akuntansi(2)</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pekalongan(6); kota pekalongan(2)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D3 Akuntansi muncul sebagai prodi dominan di kedua klaster, berdampingan dengan S1 Teknologi Informasi. Klaster 2 mencakup 494 pendaftar (98,2%) dengan prodi S1 Teknologi Informasi (110) dan D3 Akuntansi (104), mayoritas dari Kabupaten Pekalongan (350) dan Kota Pekalongan (90). Klaster 1 mencakup 9 pendaftar (1,8%) dengan prodi S1 Teknologi Informasi (3) dan D3 Akuntansi (2). Kemunculan D3 Akuntansi sebagai prodi dominan kedua merupakan pergeseran signifikan dari pola sebelumnya yang didominasi penuh oleh S1 Informatika dan S1 Teknologi Informasi, mengindikasikan diversifikasi minat calon mahasiswa. Posterior probability = 0,527 (K2) dan 0,514 (K1).</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K=2 pada 2024 dengan pola yang sangat timpang: satu klaster dominan (K2: 494 pendaftar, 98,2%) dan satu klaster minoritas (K1: 9 pendaftar, 1,8%). Pola ini konsisten dengan tahun-tahun sebelumnya di fase Recovery (2022–2023), menunjukkan bahwa segmentasi pendaftar ITSNU Pekalongan secara konsisten terbagi menjadi mayoritas homogen dan segmen khusus yang sangat kecil.</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695729"/>
      <w:r>
        <w:lastRenderedPageBreak/>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w:t>
      </w:r>
      <w:r w:rsidRPr="007A5F01">
        <w:rPr>
          <w:color w:val="000000"/>
        </w:rPr>
        <w:lastRenderedPageBreak/>
        <w:t>mengindikasikan adanya segmen-segmen kecil yang muncul secara musiman atau situasional. Konsistensi proporsi klaster mayoritas (98%+) di semua periode, di 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117" w:name="_Toc234695730"/>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w:t>
      </w:r>
      <w:r>
        <w:lastRenderedPageBreak/>
        <w:t>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695731"/>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695732"/>
      <w:r>
        <w:t>4.7.1 Reasoning Tren Kausal Berbasis LLM</w:t>
      </w:r>
      <w:bookmarkEnd w:id="119"/>
    </w:p>
    <w:p w:rsidR="002316A4" w:rsidRPr="006D3EAF" w:rsidRDefault="00C02299">
      <w:pPr>
        <w:spacing w:line="480" w:lineRule="auto"/>
        <w:ind w:firstLine="720"/>
        <w:jc w:val="both"/>
      </w:pPr>
      <w:r w:rsidRPr="006D3EAF">
        <w:t>Sistem otomasi LLM hybrid menghasilkan reasoning kausal melalui OpenRouter cloud (mensintesis output dari meta-llama/llama-3.3-70b-instruct, nvidia/nemotron-3-ultra-550b-a55b, dan nvidia/nemotron-3-super-120b-a12b)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−0,0102, Centroid Drift = 20,3555)</w:t>
      </w:r>
    </w:p>
    <w:p w:rsidR="002316A4" w:rsidRDefault="00C02299">
      <w:pPr>
        <w:spacing w:line="480" w:lineRule="auto"/>
        <w:ind w:firstLine="720"/>
        <w:jc w:val="both"/>
      </w:pPr>
      <w:r>
        <w:rPr>
          <w:color w:val="000000"/>
        </w:rPr>
        <w:t xml:space="preserve">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w:t>
      </w:r>
      <w:r>
        <w:rPr>
          <w:color w:val="000000"/>
        </w:rPr>
        <w:lastRenderedPageBreak/>
        <w:t>fundamental komposisi segmen: gelombang pendaftar baru ini membawa profil yang berbeda, lebih berorientasi program berbasis skill praktis cepat.</w:t>
      </w:r>
    </w:p>
    <w:p w:rsidR="002316A4" w:rsidRDefault="00C02299">
      <w:pPr>
        <w:spacing w:line="480" w:lineRule="auto"/>
        <w:ind w:firstLine="720"/>
        <w:jc w:val="both"/>
      </w:pPr>
      <w:r>
        <w:rPr>
          <w:bCs/>
          <w:i/>
          <w:color w:val="000000"/>
        </w:rPr>
        <w:t>Reasoning</w:t>
      </w:r>
      <w:r>
        <w:rPr>
          <w:bCs/>
          <w:color w:val="000000"/>
        </w:rPr>
        <w:t>Kausal Transisi 2021→2022 (ARI = 0,0055, Centroid Drift = ∞)</w:t>
      </w:r>
    </w:p>
    <w:p w:rsidR="002316A4" w:rsidRDefault="00C02299">
      <w:pPr>
        <w:spacing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line="480" w:lineRule="auto"/>
        <w:ind w:firstLine="720"/>
        <w:jc w:val="both"/>
      </w:pPr>
      <w:r>
        <w:rPr>
          <w:bCs/>
          <w:i/>
          <w:color w:val="000000"/>
        </w:rPr>
        <w:t>Reasoning Kausal Transisi 2022→2023 (ARI = −0,0062, Centroid Drift = 3,3244)</w:t>
      </w:r>
    </w:p>
    <w:p w:rsidR="002316A4" w:rsidRDefault="00C02299">
      <w:pPr>
        <w:spacing w:line="480" w:lineRule="auto"/>
        <w:ind w:firstLine="720"/>
        <w:jc w:val="both"/>
        <w:rPr>
          <w:color w:val="000000"/>
        </w:rPr>
      </w:pPr>
      <w:r>
        <w:rPr>
          <w:color w:val="000000"/>
        </w:rP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695733"/>
      <w:r>
        <w:lastRenderedPageBreak/>
        <w:t>4.7.2 Ringkasan Naratif Laporan Otomatis</w:t>
      </w:r>
      <w:bookmarkEnd w:id="120"/>
    </w:p>
    <w:p w:rsidR="002316A4" w:rsidRDefault="00C02299">
      <w:pPr>
        <w:spacing w:line="480" w:lineRule="auto"/>
        <w:ind w:firstLine="720"/>
        <w:jc w:val="both"/>
      </w:pPr>
      <w:r>
        <w:t>Ringkasan eksekutif yang dihasilkan oleh OpenRouter cloud (mensintesis output dari meta-llama/llama-3.3-70b-instruct, nvidia/nemotron-3-ultra-550b-a55b, dan nvidia/nemotron-3-super-120b-a12b)</w:t>
      </w:r>
    </w:p>
    <w:p w:rsidR="002316A4" w:rsidRPr="00EB55A7" w:rsidRDefault="00C02299">
      <w:pPr>
        <w:spacing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OpenRouter cloud (meta-llama/llama-3.3-70b-instruct dan nemotron-3-ultra) dengan fallback ke Llama 3.2 lokal (OpenRouter AI, 2025)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695734"/>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695735"/>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rsidRPr="00893B44">
        <w:rPr>
          <w:rStyle w:val="MdStrong"/>
          <w:b w:val="0"/>
          <w:bCs w:val="0"/>
        </w:rPr>
        <w:lastRenderedPageBreak/>
        <w:t>Analisis Catatan Khusus Pakar</w:t>
      </w:r>
      <w:r w:rsidRPr="00893B44">
        <w:t>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695736"/>
      <w:r>
        <w:t>4.</w:t>
      </w:r>
      <w:r w:rsidR="00315A07">
        <w:rPr>
          <w:lang w:val="en-US"/>
        </w:rPr>
        <w:t>10</w:t>
      </w:r>
      <w:r>
        <w:t xml:space="preserve"> Pembahasan</w:t>
      </w:r>
      <w:bookmarkEnd w:id="127"/>
    </w:p>
    <w:p w:rsidR="002316A4" w:rsidRDefault="00C02299">
      <w:pPr>
        <w:pStyle w:val="Judul3"/>
        <w:spacing w:line="480" w:lineRule="auto"/>
      </w:pPr>
      <w:bookmarkStart w:id="128" w:name="_Toc234695737"/>
      <w:r>
        <w:t>4.</w:t>
      </w:r>
      <w:r w:rsidR="00315A07">
        <w:rPr>
          <w:lang w:val="en-US"/>
        </w:rPr>
        <w:t>10</w:t>
      </w:r>
      <w:r>
        <w:t>.1 Konfirmasi Hipotesis</w:t>
      </w:r>
      <w:bookmarkEnd w:id="128"/>
    </w:p>
    <w:p w:rsidR="002316A4" w:rsidRDefault="00C02299">
      <w:pPr>
        <w:spacing w:line="480" w:lineRule="auto"/>
        <w:ind w:firstLine="720"/>
        <w:jc w:val="both"/>
      </w:pPr>
      <w:r>
        <w:rPr>
          <w:bCs/>
          <w:color w:val="000000"/>
        </w:rPr>
        <w:t>Hipotesis 1 (H1) dikonfirmasi melampaui ekspektasi</w:t>
      </w:r>
    </w:p>
    <w:p w:rsidR="002316A4" w:rsidRDefault="00C02299">
      <w:pPr>
        <w:spacing w:line="480" w:lineRule="auto"/>
        <w:ind w:firstLine="720"/>
        <w:jc w:val="both"/>
      </w:pPr>
      <w:r>
        <w:rPr>
          <w:color w:val="000000"/>
        </w:rPr>
        <w:t xml:space="preserve">Seluruh 5 transisi antar periode menghasilkan ARI &lt; 0,30 </w:t>
      </w:r>
      <w:sdt>
        <w:sdtPr>
          <w:rPr>
            <w:color w:val="000000"/>
          </w:rPr>
          <w:tag w:val="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
          <w:id w:val="-178969913"/>
          <w:placeholder>
            <w:docPart w:val="DefaultPlaceholder_-1854013440"/>
          </w:placeholder>
        </w:sdtPr>
        <w:sdtContent>
          <w:r w:rsidR="0053243F" w:rsidRPr="0053243F">
            <w:rPr>
              <w:color w:val="000000"/>
            </w:rPr>
            <w:t>(Steinley 2004)</w:t>
          </w:r>
        </w:sdtContent>
      </w:sdt>
      <w:r w:rsidR="0053243F">
        <w:rPr>
          <w:color w:val="000000"/>
          <w:lang w:val="en-US"/>
        </w:rPr>
        <w:t xml:space="preserve"> </w:t>
      </w:r>
      <w:r>
        <w:rPr>
          <w:color w:val="000000"/>
        </w:rPr>
        <w:t>(kisaran −0,0102 hingga −0,0037). Penggunaan tiga metrik komplementer (ARI, Jaccard, Centroid Drift) memberikan bukti multi</w:t>
      </w:r>
      <w:r w:rsidR="007C1716">
        <w:rPr>
          <w:color w:val="000000"/>
        </w:rPr>
        <w:t xml:space="preserve"> </w:t>
      </w:r>
      <w:r>
        <w:rPr>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53243F" w:rsidRPr="0053243F">
            <w:rPr>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53243F" w:rsidRPr="0053243F">
            <w:rPr>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Cosine similarity rata-rata 0,9990 (kisaran 0,9973–1,0000) membuktikan stabilitas representasi IndoBERT di atas threshold 0,70 pada seluruh transisi, memvalidasi bahwa perubahan klaster yang terdeteksi mencerminkan perubahan substantif populasi pendaftar, bukan artefak teknis.</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bookmarkStart w:id="129" w:name="_Toc234695738"/>
      <w:r>
        <w:t>4.</w:t>
      </w:r>
      <w:r w:rsidR="00315A07">
        <w:rPr>
          <w:lang w:val="en-US"/>
        </w:rPr>
        <w:t>10</w:t>
      </w:r>
      <w:r>
        <w:t>.2 Implikasi Fenomena Structural Break Universal</w:t>
      </w:r>
      <w:bookmarkEnd w:id="129"/>
    </w:p>
    <w:p w:rsidR="002316A4" w:rsidRPr="000D6197" w:rsidRDefault="00C02299">
      <w:pPr>
        <w:spacing w:line="480" w:lineRule="auto"/>
        <w:ind w:firstLine="720"/>
        <w:jc w:val="both"/>
      </w:pPr>
      <w:r>
        <w:t>Temuan bahwa seluruh 5 transisi merupakan structural break memiliki implikasi strategis kritis: sistem rekrutmen yang mengandalkan profil segmen dari tahun sebelumnya akan selalu ketinggalan satu siklus perubahan struktural. Tuyishimire et al. (2022) menunjukkan COVID-19 membentuk ulang cara penyampaian pendidikan secara struktural dan permanen; sistem membentuk equilibrium baru di setiap fase, tidak kembali ke kondisi sebelumnya. Shoaib et al. (2025) mengonfirmasi bahwa dampak struktural ini bersifat lintas wilayah. Implikasi operasional: ITSNU Pekalongan memerlukan pembaruan segmentasi tahunan (bukan 3–5 tahun), menjadikan pipeline otomatis yang dikembangkan ini sangat relevan secara praktis.</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lastRenderedPageBreak/>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OpenRouter (meta-llama/llama-3.3-70b-instruct, nvidia/nemotron-3-ultra-550b-a55b, dan nvidia/nemotron-3-super-120b-a12b)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Perubahan Struktural Pendaftar (Structural Breaks)</w:t>
      </w:r>
      <w:r>
        <w:br/>
        <w:t>Analisis stabilitas lintas waktu menggunakan metrik Adjusted Rand Index (ARI) membuktikan bahwa asumsi segmentasi pasar yang statis di lingkungan pendidikan tinggi adalah keliru. Seluruh 5 transisi antar periode (2019→2024) terkonfirmasi sebagai structural break dengan ARI &lt; 0,30 (kisaran −0,0102 hingga −0,0037), di mana seluruh transisi menunjukkan nilai ARI negatif yang mengindikasikan perubahan struktural sangat fundamental. Centroid drift mengkonfirmasi tren stabilisasi dari 14,25 (2019→2020) menjadi 3,32 (2022→2023), namun peningkatan kembali menjadi 5,63 pada 2023→2024 menandakan bahwa proses stabilisasi belum sepenuhnya selesai. Temuan ini memiliki implikasi kritis: sistem rekrutmen yang mengandalkan profil segmen tahun sebelumnya akan selalu tertinggal satu siklus perubahan struktural.</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bookmarkStart w:id="135" w:name="_GoBack" w:displacedByCustomXml="prev"/>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Ani, Hendryadi, Sri Widyastuti, and Suryani. 2022. “COVID-19, Emergency Remote Teaching Evaluation: The Case of Indonesia.” </w:t>
          </w:r>
          <w:r w:rsidRPr="0053243F">
            <w:rPr>
              <w:rFonts w:eastAsia="Times New Roman"/>
              <w:i/>
              <w:iCs/>
              <w:color w:val="000000"/>
            </w:rPr>
            <w:t>Education and Information Technologies</w:t>
          </w:r>
          <w:r w:rsidRPr="0053243F">
            <w:rPr>
              <w:rFonts w:eastAsia="Times New Roman"/>
              <w:color w:val="000000"/>
            </w:rPr>
            <w:t xml:space="preserve"> 27(2): 2165–79. doi:10.1007/s10639-021-10680-3.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Cristóbal Romero, Sebastián Ventura. 2000. “Educational Data Mining Review.”</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 N M Laird, and ; D B Rubin. 1977. 39 Journal of the Royal Statistical Society. Series B (Methodological) </w:t>
          </w:r>
          <w:r w:rsidRPr="0053243F">
            <w:rPr>
              <w:rFonts w:eastAsia="Times New Roman"/>
              <w:i/>
              <w:iCs/>
              <w:color w:val="000000"/>
            </w:rPr>
            <w:t>Maximum Likelihood from Incomplete Data via the EM Algorithm</w:t>
          </w:r>
          <w:r w:rsidRPr="0053243F">
            <w:rPr>
              <w:rFonts w:eastAsia="Times New Roman"/>
              <w:color w:val="000000"/>
            </w:rPr>
            <w:t>.</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Jacob, Ming-Wei Chang, Kenton Lee, Kristina Toutanova Google, and A I Language. </w:t>
          </w:r>
          <w:r w:rsidRPr="0053243F">
            <w:rPr>
              <w:rFonts w:eastAsia="Times New Roman"/>
              <w:i/>
              <w:iCs/>
              <w:color w:val="000000"/>
            </w:rPr>
            <w:t>BERT: Pre-Training of Deep Bidirectional Transformers for Language Understanding</w:t>
          </w:r>
          <w:r w:rsidRPr="0053243F">
            <w:rPr>
              <w:rFonts w:eastAsia="Times New Roman"/>
              <w:color w:val="000000"/>
            </w:rPr>
            <w:t>. https://github.com/tensorflow/tensor2tensor.</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Lijimol, and P Sumathy. 2022a. “An Integrated Clustering and BERT Framework for Improved Topic Modeling.” doi:10.21203/rs.3.rs-1986180/v1.</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George, Lijimol, and P Sumathy. 2022b. “An Integrated Clustering and BERT Framework for Improved Topic Modeling.” doi:10.21203/rs.3.rs-1986180/v1.</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Helske, Jouni, Satu Helske, Mohammed Saqr, Sonsoles López-Pernas, and Keefe Murphy. 2024. “A Modern Approach to Transition Analysis and Process Mining with Markov Models in Education.” In </w:t>
          </w:r>
          <w:r w:rsidRPr="0053243F">
            <w:rPr>
              <w:rFonts w:eastAsia="Times New Roman"/>
              <w:i/>
              <w:iCs/>
              <w:color w:val="000000"/>
            </w:rPr>
            <w:t>Learning Analytics Methods and Tutorials</w:t>
          </w:r>
          <w:r w:rsidRPr="0053243F">
            <w:rPr>
              <w:rFonts w:eastAsia="Times New Roman"/>
              <w:color w:val="000000"/>
            </w:rPr>
            <w:t>, Cham: Springer Nature Switzerland, 381–427. doi:10.1007/978-3-031-54464-4_12.</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Hossler, D., &amp; Bean, J. P. 1990. </w:t>
          </w:r>
          <w:r w:rsidRPr="0053243F">
            <w:rPr>
              <w:rFonts w:eastAsia="Times New Roman"/>
              <w:i/>
              <w:iCs/>
              <w:color w:val="000000"/>
            </w:rPr>
            <w:t xml:space="preserve">The Strategic Management of College Enrollments. </w:t>
          </w:r>
          <w:r w:rsidRPr="0053243F">
            <w:rPr>
              <w:rFonts w:eastAsia="Times New Roman"/>
              <w:color w:val="000000"/>
            </w:rPr>
            <w:t>. Jossey Bass.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Lawrence, and Phipps Arabic. 1985. 2 Journal of Classification </w:t>
          </w:r>
          <w:r w:rsidRPr="0053243F">
            <w:rPr>
              <w:rFonts w:eastAsia="Times New Roman"/>
              <w:i/>
              <w:iCs/>
              <w:color w:val="000000"/>
            </w:rPr>
            <w:t>Comparing Partitions</w:t>
          </w:r>
          <w:r w:rsidRPr="0053243F">
            <w:rPr>
              <w:rFonts w:eastAsia="Times New Roman"/>
              <w:color w:val="000000"/>
            </w:rPr>
            <w:t>.</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Leonard, and Peter J Rousseeuw. </w:t>
          </w:r>
          <w:r w:rsidRPr="0053243F">
            <w:rPr>
              <w:rFonts w:eastAsia="Times New Roman"/>
              <w:i/>
              <w:iCs/>
              <w:color w:val="000000"/>
            </w:rPr>
            <w:t>Finding Groups in Data An Introduction to Cluster Analysis</w:t>
          </w:r>
          <w:r w:rsidRPr="0053243F">
            <w:rPr>
              <w:rFonts w:eastAsia="Times New Roman"/>
              <w:color w:val="000000"/>
            </w:rPr>
            <w:t>.</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and Armstrong. 2012. </w:t>
          </w:r>
          <w:r w:rsidRPr="0053243F">
            <w:rPr>
              <w:rFonts w:eastAsia="Times New Roman"/>
              <w:i/>
              <w:iCs/>
              <w:color w:val="000000"/>
            </w:rPr>
            <w:t>Principles of Marketing</w:t>
          </w:r>
          <w:r w:rsidRPr="0053243F">
            <w:rPr>
              <w:rFonts w:eastAsia="Times New Roman"/>
              <w:color w:val="000000"/>
            </w:rPr>
            <w:t>. New Jersey: Prentice Hall.</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w:t>
          </w:r>
          <w:r w:rsidRPr="0053243F">
            <w:rPr>
              <w:rFonts w:eastAsia="Times New Roman"/>
              <w:i/>
              <w:iCs/>
              <w:color w:val="000000"/>
            </w:rPr>
            <w:t xml:space="preserve">Marketing Management (15th Ed.). </w:t>
          </w:r>
          <w:r w:rsidRPr="0053243F">
            <w:rPr>
              <w:rFonts w:eastAsia="Times New Roman"/>
              <w:color w:val="000000"/>
            </w:rPr>
            <w:t>. Pearson Education.</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Kotler, Philip., and Kevin Lane. Keller. 2016. </w:t>
          </w:r>
          <w:r w:rsidRPr="0053243F">
            <w:rPr>
              <w:rFonts w:eastAsia="Times New Roman"/>
              <w:i/>
              <w:iCs/>
              <w:color w:val="000000"/>
            </w:rPr>
            <w:t>Marketing Management</w:t>
          </w:r>
          <w:r w:rsidRPr="0053243F">
            <w:rPr>
              <w:rFonts w:eastAsia="Times New Roman"/>
              <w:color w:val="000000"/>
            </w:rPr>
            <w:t>. Pearson.</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Michael J., Caitlin Anderson, Claire Stone, and Yea Rim Oh. 2025a. “A Large Language Model Approach to Educational Survey Feedback Analysis.” </w:t>
          </w:r>
          <w:r w:rsidRPr="0053243F">
            <w:rPr>
              <w:rFonts w:eastAsia="Times New Roman"/>
              <w:i/>
              <w:iCs/>
              <w:color w:val="000000"/>
            </w:rPr>
            <w:t>International Journal of Artificial Intelligence in Education</w:t>
          </w:r>
          <w:r w:rsidRPr="0053243F">
            <w:rPr>
              <w:rFonts w:eastAsia="Times New Roman"/>
              <w:color w:val="000000"/>
            </w:rPr>
            <w:t xml:space="preserve"> 35(2): 444–81. doi:10.1007/s40593-024-00414-0.</w:t>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Parker, Michael J., Caitlin Anderson, Claire Stone, and Yea Rim Oh. 2025b. “A Large Language Model Approach to Educational Survey Feedback Analysis.” </w:t>
          </w:r>
          <w:r w:rsidRPr="0053243F">
            <w:rPr>
              <w:rFonts w:eastAsia="Times New Roman"/>
              <w:i/>
              <w:iCs/>
              <w:color w:val="000000"/>
            </w:rPr>
            <w:t>International Journal of Artificial Intelligence in Education</w:t>
          </w:r>
          <w:r w:rsidRPr="0053243F">
            <w:rPr>
              <w:rFonts w:eastAsia="Times New Roman"/>
              <w:color w:val="000000"/>
            </w:rPr>
            <w:t xml:space="preserve"> 35(2): 444–81. doi:10.1007/s40593-024-00414-0.</w:t>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FABIANPEDREGOSA, Fabian, Vincent Michel, Olivier Grisel OLIVIERGRISEL, Mathieu Blondel, Peter Prettenhofer, Ron Weiss, Jake Vanderplas, et al. 2011. 12 Journal of Machine Learning Research </w:t>
          </w:r>
          <w:r w:rsidRPr="0053243F">
            <w:rPr>
              <w:rFonts w:eastAsia="Times New Roman"/>
              <w:i/>
              <w:iCs/>
              <w:color w:val="000000"/>
            </w:rPr>
            <w:t>Scikit-Learn: Machine Learning in Python Gaël Varoquaux Bertrand Thirion Vincent Dubourg Alexandre Passos PEDREGOSA, VAROQUAUX, GRAMFORT ET AL. Matthieu Perrot</w:t>
          </w:r>
          <w:r w:rsidRPr="0053243F">
            <w:rPr>
              <w:rFonts w:eastAsia="Times New Roman"/>
              <w:color w:val="000000"/>
            </w:rPr>
            <w:t>. http://scikit-learn.sourceforge.net.</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Wendy M., and Julio Lumbreras. 2021. “Higher Education and the COVID-19 Pandemic: Navigating Disruption Using the Sustainable Development Goals.” </w:t>
          </w:r>
          <w:r w:rsidRPr="0053243F">
            <w:rPr>
              <w:rFonts w:eastAsia="Times New Roman"/>
              <w:i/>
              <w:iCs/>
              <w:color w:val="000000"/>
            </w:rPr>
            <w:t>Discover Sustainability</w:t>
          </w:r>
          <w:r w:rsidRPr="0053243F">
            <w:rPr>
              <w:rFonts w:eastAsia="Times New Roman"/>
              <w:color w:val="000000"/>
            </w:rPr>
            <w:t xml:space="preserve"> 2(1): 6. doi:10.1007/s43621-021-00013-2.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Nils, and Iryna Gurevych. </w:t>
          </w:r>
          <w:r w:rsidRPr="0053243F">
            <w:rPr>
              <w:rFonts w:eastAsia="Times New Roman"/>
              <w:i/>
              <w:iCs/>
              <w:color w:val="000000"/>
            </w:rPr>
            <w:t>Sentence-BERT: Sentence Embeddings Using Siamese BERT-Networks</w:t>
          </w:r>
          <w:r w:rsidRPr="0053243F">
            <w:rPr>
              <w:rFonts w:eastAsia="Times New Roman"/>
              <w:color w:val="000000"/>
            </w:rPr>
            <w:t>. https://github.com/UKPLab/.</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Ghada Refaat. 2021a. “How Did the COVID-19 Pandemic Affect Higher Education Learning Experience? An Empirical Investigation of Learners’ Academic Performance at a University in a Developing Country.” </w:t>
          </w:r>
          <w:r w:rsidRPr="0053243F">
            <w:rPr>
              <w:rFonts w:eastAsia="Times New Roman"/>
              <w:i/>
              <w:iCs/>
              <w:color w:val="000000"/>
            </w:rPr>
            <w:t>Advances in Human-Computer Interaction</w:t>
          </w:r>
          <w:r w:rsidRPr="0053243F">
            <w:rPr>
              <w:rFonts w:eastAsia="Times New Roman"/>
              <w:color w:val="000000"/>
            </w:rPr>
            <w:t xml:space="preserve"> 2021: 1–10. doi:10.1155/2021/6649524.</w:t>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El Said, Ghada Refaat. 2021b. “How Did the COVID-19 Pandemic Affect Higher Education Learning Experience? An Empirical Investigation of Learners’ Academic Performance at a University in a Developing Country.” </w:t>
          </w:r>
          <w:r w:rsidRPr="0053243F">
            <w:rPr>
              <w:rFonts w:eastAsia="Times New Roman"/>
              <w:i/>
              <w:iCs/>
              <w:color w:val="000000"/>
            </w:rPr>
            <w:t>Advances in Human-Computer Interaction</w:t>
          </w:r>
          <w:r w:rsidRPr="0053243F">
            <w:rPr>
              <w:rFonts w:eastAsia="Times New Roman"/>
              <w:color w:val="000000"/>
            </w:rPr>
            <w:t xml:space="preserve"> 2021: 1–10. doi:10.1155/2021/6649524.</w:t>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Luca, Michael Fop, T Brendan Murphy, and Adrian E Raftery. </w:t>
          </w:r>
          <w:r w:rsidRPr="0053243F">
            <w:rPr>
              <w:rFonts w:eastAsia="Times New Roman"/>
              <w:i/>
              <w:iCs/>
              <w:color w:val="000000"/>
            </w:rPr>
            <w:t>Mclust 5: Clustering, Classification and Density Estimation Using Gaussian Finite Mixture Models</w:t>
          </w:r>
          <w:r w:rsidRPr="0053243F">
            <w:rPr>
              <w:rFonts w:eastAsia="Times New Roman"/>
              <w:color w:val="000000"/>
            </w:rPr>
            <w:t>. http://cran-logs.rstudio.com.</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Shen, Jiancheng, David D. Selover, Chao Li, and Hamed Yousefi. 2022. “An Ocean Apart? The Effects of US Business Cycles on Chinese Business Cycles.” </w:t>
          </w:r>
          <w:r w:rsidRPr="0053243F">
            <w:rPr>
              <w:rFonts w:eastAsia="Times New Roman"/>
              <w:i/>
              <w:iCs/>
              <w:color w:val="000000"/>
            </w:rPr>
            <w:t>International Review of Economics &amp; Finance</w:t>
          </w:r>
          <w:r w:rsidRPr="0053243F">
            <w:rPr>
              <w:rFonts w:eastAsia="Times New Roman"/>
              <w:color w:val="000000"/>
            </w:rPr>
            <w:t xml:space="preserve"> 82: 677–98. doi:10.1016/j.iref.2022.07.014.</w:t>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Md Ashraf, Md Alamin Talukder, Md Redwan Ahmed, Ansam Khraisat, Ammar Alazab, Md Manowarul Islam, Sunil Aryal, and Ferdaus Anam Jibon. 2024a. “Data-Driven Strategies for Digital Native Market Segmentation Using Clustering.” </w:t>
          </w:r>
          <w:r w:rsidRPr="0053243F">
            <w:rPr>
              <w:rFonts w:eastAsia="Times New Roman"/>
              <w:i/>
              <w:iCs/>
              <w:color w:val="000000"/>
            </w:rPr>
            <w:t>International Journal of Cognitive Computing in Engineering</w:t>
          </w:r>
          <w:r w:rsidRPr="0053243F">
            <w:rPr>
              <w:rFonts w:eastAsia="Times New Roman"/>
              <w:color w:val="000000"/>
            </w:rPr>
            <w:t xml:space="preserve"> 5: 178–91. doi:10.1016/j.ijcce.2024.04.002.</w:t>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Uddin, Md Ashraf, Md Alamin Talukder, Md Redwan Ahmed, Ansam Khraisat, Ammar Alazab, Md Manowarul Islam, Sunil Aryal, and Ferdaus Anam Jibon. 2024b. “Data-Driven Strategies for Digital Native Market Segmentation Using Clustering.” </w:t>
          </w:r>
          <w:r w:rsidRPr="0053243F">
            <w:rPr>
              <w:rFonts w:eastAsia="Times New Roman"/>
              <w:i/>
              <w:iCs/>
              <w:color w:val="000000"/>
            </w:rPr>
            <w:t>International Journal of Cognitive Computing in Engineering</w:t>
          </w:r>
          <w:r w:rsidRPr="0053243F">
            <w:rPr>
              <w:rFonts w:eastAsia="Times New Roman"/>
              <w:color w:val="000000"/>
            </w:rPr>
            <w:t xml:space="preserve"> 5: 178–91. doi:10.1016/j.ijcce.2024.04.002.</w:t>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Ashish, Google Brain, Noam Shazeer, Niki Parmar, Jakob Uszkoreit, Llion Jones, Aidan N Gomez, Łukasz Kaiser, and Illia Polosukhin. </w:t>
          </w:r>
          <w:r w:rsidRPr="0053243F">
            <w:rPr>
              <w:rFonts w:eastAsia="Times New Roman"/>
              <w:i/>
              <w:iCs/>
              <w:color w:val="000000"/>
            </w:rPr>
            <w:t>Attention Is All You Need</w:t>
          </w:r>
          <w:r w:rsidRPr="0053243F">
            <w:rPr>
              <w:rFonts w:eastAsia="Times New Roman"/>
              <w:color w:val="000000"/>
            </w:rPr>
            <w:t>.</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Jason, Xuezhi Wang, Dale Schuurmans, Maarten Bosma, Brian Ichter, Fei Xia, Ed Chi, Quoc Le, and Denny Zhou. 2023. “Chain-of-Thought Prompting Elicits Reasoning in Large Language Models.” http://arxiv.org/abs/2201.11903.</w:t>
          </w:r>
        </w:p>
        <w:p w:rsidR="00E46520" w:rsidRDefault="0053243F" w:rsidP="0053243F">
          <w:pPr>
            <w:jc w:val="both"/>
          </w:pPr>
          <w:r w:rsidRPr="0053243F">
            <w:rPr>
              <w:rFonts w:eastAsia="Times New Roman"/>
              <w:color w:val="000000"/>
            </w:rPr>
            <w:t> </w:t>
          </w:r>
        </w:p>
      </w:sdtContent>
    </w:sdt>
    <w:bookmarkEnd w:id="135"/>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 FIX: Excel has 9 columns (0=No., 1=NAMA, 2=TAHUN, 3=ASAL SEKOLAH,</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 FIX: match BAB III Table 7</w:t>
      </w:r>
      <w:r>
        <w:rPr>
          <w:rFonts w:ascii="Courier New" w:hAnsi="Courier New"/>
          <w:sz w:val="16"/>
        </w:rPr>
        <w:br/>
        <w:t xml:space="preserve">                        init_params="k-means++",</w:t>
      </w:r>
      <w:r>
        <w:rPr>
          <w:rFonts w:ascii="Courier New" w:hAnsi="Courier New"/>
          <w:sz w:val="16"/>
        </w:rPr>
        <w:br/>
        <w:t xml:space="preserve">                        max_iter=300,            # FIX: match BAB III Table 7</w:t>
      </w:r>
      <w:r>
        <w:rPr>
          <w:rFonts w:ascii="Courier New" w:hAnsi="Courier New"/>
          <w:sz w:val="16"/>
        </w:rPr>
        <w:br/>
        <w:t xml:space="preserve">                        n_init=10,               # FIX: match BAB III Table 7</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 FIX: compute actual silhouette for all K</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 FIX: match BAB III Table 7</w:t>
      </w:r>
      <w:r>
        <w:rPr>
          <w:rFonts w:ascii="Courier New" w:hAnsi="Courier New"/>
          <w:sz w:val="16"/>
        </w:rPr>
        <w:br/>
        <w:t xml:space="preserve">                    init_params="k-means++",</w:t>
      </w:r>
      <w:r>
        <w:rPr>
          <w:rFonts w:ascii="Courier New" w:hAnsi="Courier New"/>
          <w:sz w:val="16"/>
        </w:rPr>
        <w:br/>
        <w:t xml:space="preserve">                    max_iter=300,            # FIX: match BAB III Table 7</w:t>
      </w:r>
      <w:r>
        <w:rPr>
          <w:rFonts w:ascii="Courier New" w:hAnsi="Courier New"/>
          <w:sz w:val="16"/>
        </w:rPr>
        <w:br/>
        <w:t xml:space="preserve">                    n_init=10,               # FIX: match BAB III Table 7</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AE5" w:rsidRDefault="00C77AE5">
      <w:r>
        <w:separator/>
      </w:r>
    </w:p>
  </w:endnote>
  <w:endnote w:type="continuationSeparator" w:id="0">
    <w:p w:rsidR="00C77AE5" w:rsidRDefault="00C7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AE5" w:rsidRDefault="00C77AE5">
      <w:r>
        <w:separator/>
      </w:r>
    </w:p>
  </w:footnote>
  <w:footnote w:type="continuationSeparator" w:id="0">
    <w:p w:rsidR="00C77AE5" w:rsidRDefault="00C77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EC40"/>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9B76-A4A6-2749-B6BF-75BA6AC4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143</Pages>
  <Words>38829</Words>
  <Characters>221329</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75</cp:revision>
  <dcterms:created xsi:type="dcterms:W3CDTF">2026-05-10T00:43:00Z</dcterms:created>
  <dcterms:modified xsi:type="dcterms:W3CDTF">2026-07-11T14:30:00Z</dcterms:modified>
</cp:coreProperties>
</file>