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w:t>
      </w:r>
      <w:r w:rsidR="004203E9">
        <w:rPr>
          <w:lang w:val="en-US"/>
        </w:rPr>
        <w:t>......................</w:t>
      </w:r>
      <w:r>
        <w:t>...........,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rsidP="003E43F8">
      <w:pP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3BF9">
              <w:rPr>
                <w:noProof/>
                <w:webHidden/>
              </w:rPr>
              <w:t>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3BF9">
              <w:rPr>
                <w:noProof/>
                <w:webHidden/>
              </w:rPr>
              <w:t>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3BF9">
              <w:rPr>
                <w:noProof/>
                <w:webHidden/>
              </w:rPr>
              <w:t>iii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3BF9">
              <w:rPr>
                <w:noProof/>
                <w:webHidden/>
              </w:rPr>
              <w:t>iv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3BF9">
              <w:rPr>
                <w:noProof/>
                <w:webHidden/>
              </w:rPr>
              <w:t>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3BF9">
              <w:rPr>
                <w:noProof/>
                <w:webHidden/>
              </w:rPr>
              <w:t>vi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3BF9">
              <w:rPr>
                <w:noProof/>
                <w:webHidden/>
              </w:rPr>
              <w:t>ix</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3BF9">
              <w:rPr>
                <w:noProof/>
                <w:webHidden/>
              </w:rPr>
              <w:t>xi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3BF9">
              <w:rPr>
                <w:noProof/>
                <w:webHidden/>
              </w:rPr>
              <w:t>xii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3BF9">
              <w:rPr>
                <w:noProof/>
                <w:webHidden/>
              </w:rPr>
              <w:t>xiii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3BF9">
              <w:rPr>
                <w:noProof/>
                <w:webHidden/>
              </w:rPr>
              <w:t>xiv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3BF9">
              <w:rPr>
                <w:noProof/>
                <w:webHidden/>
              </w:rPr>
              <w:t>xv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3BF9">
              <w:rPr>
                <w:noProof/>
                <w:webHidden/>
              </w:rPr>
              <w:t>xvi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3BF9">
              <w:rPr>
                <w:noProof/>
                <w:webHidden/>
              </w:rPr>
              <w:t>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3BF9">
              <w:rPr>
                <w:noProof/>
                <w:webHidden/>
              </w:rPr>
              <w:t>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3BF9">
              <w:rPr>
                <w:noProof/>
                <w:webHidden/>
              </w:rPr>
              <w:t>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3BF9">
              <w:rPr>
                <w:noProof/>
                <w:webHidden/>
              </w:rPr>
              <w:t>13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3BF9">
              <w:rPr>
                <w:noProof/>
                <w:webHidden/>
              </w:rPr>
              <w:t>15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3BF9">
              <w:rPr>
                <w:noProof/>
                <w:webHidden/>
              </w:rPr>
              <w:t>17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3BF9">
              <w:rPr>
                <w:noProof/>
                <w:webHidden/>
              </w:rPr>
              <w:t>18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3BF9">
              <w:rPr>
                <w:noProof/>
                <w:webHidden/>
              </w:rPr>
              <w:t>19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3BF9">
              <w:rPr>
                <w:noProof/>
                <w:webHidden/>
              </w:rPr>
              <w:t>21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3BF9">
              <w:rPr>
                <w:noProof/>
                <w:webHidden/>
              </w:rPr>
              <w:t>22</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3BF9">
              <w:rPr>
                <w:noProof/>
                <w:webHidden/>
              </w:rPr>
              <w:t>26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3BF9">
              <w:rPr>
                <w:noProof/>
                <w:webHidden/>
              </w:rPr>
              <w:t>29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3BF9">
              <w:rPr>
                <w:noProof/>
                <w:webHidden/>
              </w:rPr>
              <w:t>31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3BF9">
              <w:rPr>
                <w:noProof/>
                <w:webHidden/>
              </w:rPr>
              <w:t>32</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3BF9">
              <w:rPr>
                <w:noProof/>
                <w:webHidden/>
              </w:rPr>
              <w:t>34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3BF9">
              <w:rPr>
                <w:noProof/>
                <w:webHidden/>
              </w:rPr>
              <w:t>39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3BF9">
              <w:rPr>
                <w:noProof/>
                <w:webHidden/>
              </w:rPr>
              <w:t>41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3BF9">
              <w:rPr>
                <w:noProof/>
                <w:webHidden/>
              </w:rPr>
              <w:t>46</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3BF9">
              <w:rPr>
                <w:noProof/>
                <w:webHidden/>
              </w:rPr>
              <w:t>48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3BF9">
              <w:rPr>
                <w:noProof/>
                <w:webHidden/>
              </w:rPr>
              <w:t>51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3BF9">
              <w:rPr>
                <w:noProof/>
                <w:webHidden/>
              </w:rPr>
              <w:t>55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3BF9">
              <w:rPr>
                <w:noProof/>
                <w:webHidden/>
              </w:rPr>
              <w:t>58</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3BF9">
              <w:rPr>
                <w:noProof/>
                <w:webHidden/>
              </w:rPr>
              <w:t>65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3BF9">
              <w:rPr>
                <w:noProof/>
                <w:webHidden/>
              </w:rPr>
              <w:t>66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3BF9">
              <w:rPr>
                <w:noProof/>
                <w:webHidden/>
              </w:rPr>
              <w:t>68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3BF9">
              <w:rPr>
                <w:noProof/>
                <w:webHidden/>
              </w:rPr>
              <w:t>69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3BF9">
              <w:rPr>
                <w:noProof/>
                <w:webHidden/>
              </w:rPr>
              <w:t>72</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3BF9">
              <w:rPr>
                <w:noProof/>
                <w:webHidden/>
              </w:rPr>
              <w:t>81</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3BF9">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F63BF9" w:rsidRDefault="002463AF" w:rsidP="00F63BF9">
      <w:pPr>
        <w:pStyle w:val="TabelGambar"/>
        <w:tabs>
          <w:tab w:val="right" w:leader="dot" w:pos="7927"/>
        </w:tabs>
        <w:jc w:val="both"/>
        <w:rPr>
          <w:rFonts w:asciiTheme="minorHAnsi" w:hAnsiTheme="minorHAnsi" w:cstheme="minorBidi"/>
          <w:noProof/>
        </w:rPr>
      </w:pPr>
      <w:r w:rsidRPr="00F63BF9">
        <w:fldChar w:fldCharType="begin"/>
      </w:r>
      <w:r w:rsidRPr="00F63BF9">
        <w:instrText xml:space="preserve"> TOC \h \z \c "Tabel 1." </w:instrText>
      </w:r>
      <w:r w:rsidRPr="00F63BF9">
        <w:fldChar w:fldCharType="separate"/>
      </w:r>
      <w:hyperlink w:anchor="_Toc234844497" w:history="1">
        <w:r w:rsidR="00F63BF9" w:rsidRPr="00F63BF9">
          <w:rPr>
            <w:rStyle w:val="Hyperlink"/>
            <w:bCs/>
            <w:noProof/>
          </w:rPr>
          <w:t xml:space="preserve">Tabel 1.1 </w:t>
        </w:r>
        <w:r w:rsidR="00F63BF9" w:rsidRPr="00F63BF9">
          <w:rPr>
            <w:rStyle w:val="Hyperlink"/>
            <w:noProof/>
          </w:rPr>
          <w:t>Analisis Kompetisi dan Positioning ITSNU Pekalongan Perspektif Temporal (2019–2024)</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_Toc234844497 \h </w:instrText>
        </w:r>
        <w:r w:rsidR="00F63BF9" w:rsidRPr="00F63BF9">
          <w:rPr>
            <w:noProof/>
            <w:webHidden/>
          </w:rPr>
        </w:r>
        <w:r w:rsidR="00F63BF9" w:rsidRPr="00F63BF9">
          <w:rPr>
            <w:noProof/>
            <w:webHidden/>
          </w:rPr>
          <w:fldChar w:fldCharType="separate"/>
        </w:r>
        <w:r w:rsidR="00F63BF9" w:rsidRPr="00F63BF9">
          <w:rPr>
            <w:noProof/>
            <w:webHidden/>
          </w:rPr>
          <w:t>2</w:t>
        </w:r>
        <w:r w:rsidR="00F63BF9" w:rsidRPr="00F63BF9">
          <w:rPr>
            <w:noProof/>
            <w:webHidden/>
          </w:rPr>
          <w:fldChar w:fldCharType="end"/>
        </w:r>
      </w:hyperlink>
    </w:p>
    <w:p w:rsidR="008174CD" w:rsidRPr="000246D0" w:rsidRDefault="002463AF" w:rsidP="00F63BF9">
      <w:pPr>
        <w:jc w:val="both"/>
      </w:pPr>
      <w:r w:rsidRPr="00F63BF9">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3BF9">
          <w:rPr>
            <w:noProof/>
            <w:webHidden/>
          </w:rPr>
          <w:t>10</w:t>
        </w:r>
        <w:r w:rsidRPr="000246D0">
          <w:rPr>
            <w:noProof/>
            <w:webHidden/>
          </w:rPr>
          <w:fldChar w:fldCharType="end"/>
        </w:r>
      </w:hyperlink>
    </w:p>
    <w:p w:rsidR="003B1E78" w:rsidRPr="000246D0" w:rsidRDefault="00621D82"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3BF9">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621D82"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3BF9">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3BF9">
          <w:rPr>
            <w:noProof/>
            <w:webHidden/>
          </w:rPr>
          <w:t>26</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3BF9">
          <w:rPr>
            <w:noProof/>
            <w:webHidden/>
          </w:rPr>
          <w:t>30</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3BF9">
          <w:rPr>
            <w:noProof/>
            <w:webHidden/>
          </w:rPr>
          <w:t>32</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3BF9">
          <w:rPr>
            <w:noProof/>
            <w:webHidden/>
          </w:rPr>
          <w:t>33</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3BF9">
          <w:rPr>
            <w:noProof/>
            <w:webHidden/>
          </w:rPr>
          <w:t>34</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3BF9">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3BF9">
          <w:rPr>
            <w:noProof/>
            <w:webHidden/>
          </w:rPr>
          <w:t>37</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3BF9">
          <w:rPr>
            <w:noProof/>
            <w:webHidden/>
          </w:rPr>
          <w:t>40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3BF9">
          <w:rPr>
            <w:noProof/>
            <w:webHidden/>
          </w:rPr>
          <w:t>41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3BF9">
          <w:rPr>
            <w:noProof/>
            <w:webHidden/>
          </w:rPr>
          <w:t>42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3BF9">
          <w:rPr>
            <w:noProof/>
            <w:webHidden/>
          </w:rPr>
          <w:t>43</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3BF9">
          <w:rPr>
            <w:noProof/>
            <w:webHidden/>
          </w:rPr>
          <w:t>46</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3BF9">
          <w:rPr>
            <w:noProof/>
            <w:webHidden/>
          </w:rPr>
          <w:t>50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3BF9">
          <w:rPr>
            <w:noProof/>
            <w:webHidden/>
          </w:rPr>
          <w:t>51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3BF9">
          <w:rPr>
            <w:noProof/>
            <w:webHidden/>
          </w:rPr>
          <w:t>53</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3BF9">
          <w:rPr>
            <w:noProof/>
            <w:webHidden/>
          </w:rPr>
          <w:t>55</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3BF9">
          <w:rPr>
            <w:noProof/>
            <w:webHidden/>
          </w:rPr>
          <w:t>57</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3BF9">
          <w:rPr>
            <w:noProof/>
            <w:webHidden/>
          </w:rPr>
          <w:t>59</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3BF9">
          <w:rPr>
            <w:noProof/>
            <w:webHidden/>
          </w:rPr>
          <w:t>61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3BF9">
          <w:rPr>
            <w:noProof/>
            <w:webHidden/>
          </w:rPr>
          <w:t>62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3BF9">
          <w:rPr>
            <w:noProof/>
            <w:webHidden/>
          </w:rPr>
          <w:t>65</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3BF9">
          <w:rPr>
            <w:noProof/>
            <w:webHidden/>
          </w:rPr>
          <w:t>70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3BF9">
          <w:rPr>
            <w:noProof/>
            <w:webHidden/>
          </w:rPr>
          <w:t>71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3BF9">
          <w:rPr>
            <w:noProof/>
            <w:webHidden/>
          </w:rPr>
          <w:t>72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3BF9">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GMM–LLM untuk Optimalisasi Rekrutmen ITSNU Pekalongan</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F63BF9" w:rsidRPr="00F63BF9">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3BF9">
          <w:rPr>
            <w:noProof/>
            <w:webHidden/>
          </w:rPr>
          <w:t>25</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3BF9">
          <w:rPr>
            <w:noProof/>
            <w:webHidden/>
          </w:rPr>
          <w:t>39</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3BF9">
          <w:rPr>
            <w:noProof/>
            <w:webHidden/>
          </w:rPr>
          <w:t>45</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3BF9">
          <w:rPr>
            <w:noProof/>
            <w:webHidden/>
          </w:rPr>
          <w:t>48</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3BF9">
          <w:rPr>
            <w:noProof/>
            <w:webHidden/>
          </w:rPr>
          <w:t>49</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3BF9">
          <w:rPr>
            <w:noProof/>
            <w:webHidden/>
          </w:rPr>
          <w:t>54</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3BF9">
          <w:rPr>
            <w:noProof/>
            <w:webHidden/>
          </w:rPr>
          <w:t>56</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3BF9">
          <w:rPr>
            <w:noProof/>
            <w:webHidden/>
          </w:rPr>
          <w:t>58</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3BF9">
          <w:rPr>
            <w:noProof/>
            <w:webHidden/>
          </w:rPr>
          <w:t>60</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3BF9">
          <w:rPr>
            <w:noProof/>
            <w:webHidden/>
          </w:rPr>
          <w:t>62</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3BF9">
          <w:rPr>
            <w:noProof/>
            <w:webHidden/>
          </w:rPr>
          <w:t>64</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AD15E1" w:rsidRDefault="00694677">
      <w:pPr>
        <w:jc w:val="both"/>
      </w:pPr>
      <w:r>
        <w:t>Catatan: atribut profil pada Tabel 3.1 merupakan variabel pendaftar yang diukur secara nyata dari data PMB ITSNU Pekalongan. Atribut persona tambahan yang disajikan pada Sub-bab 4.6.5 (motivasi kuliah, aktivitas kampus, prospek karir, dan latar belakang keluarga) tidak termasuk dalam variabel terukur Tabel 3.1; atribut tersebut dihasilkan secara generatif oleh LLM dan divalidasi melalui kerangka Expert-in-the-Loop (Sub-bab 3.14), sehingga bersifat ilustratif, bukan kuantitatif.</w:t>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t>DAFTAR LAMPIRAN</w:t>
      </w:r>
      <w:bookmarkEnd w:id="10"/>
    </w:p>
    <w:p w:rsidR="008174CD" w:rsidRDefault="008174CD" w:rsidP="008174CD">
      <w:pPr>
        <w:jc w:val="center"/>
      </w:pPr>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3BF9">
          <w:rPr>
            <w:noProof/>
            <w:webHidden/>
          </w:rPr>
          <w:t>125</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3BF9">
          <w:rPr>
            <w:noProof/>
            <w:webHidden/>
          </w:rPr>
          <w:t>126</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3BF9">
          <w:rPr>
            <w:noProof/>
            <w:webHidden/>
          </w:rPr>
          <w:t>127</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3BF9">
          <w:rPr>
            <w:noProof/>
            <w:webHidden/>
          </w:rPr>
          <w:t>128</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8F11FF"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r w:rsidR="00694677">
        <w:rPr>
          <w:lang w:val="en-US"/>
        </w:rPr>
        <w:t xml:space="preserve"> </w:t>
      </w:r>
      <w:r w:rsidR="000B0367">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3E43F8">
      <w:pPr>
        <w:spacing w:line="480" w:lineRule="auto"/>
        <w:ind w:firstLine="720"/>
        <w:jc w:val="both"/>
      </w:pPr>
      <w:sdt>
        <w:sdtPr>
          <w:rPr>
            <w:color w:val="000000"/>
          </w:rPr>
          <w:tag w:val="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
          <w:id w:val="1507019464"/>
          <w:placeholder>
            <w:docPart w:val="DefaultPlaceholder_-1854013440"/>
          </w:placeholder>
        </w:sdtPr>
        <w:sdtContent>
          <w:r w:rsidR="00D075D9" w:rsidRPr="00D075D9">
            <w:rPr>
              <w:color w:val="000000"/>
            </w:rPr>
            <w:t>Aristovnik et al. (2021)</w:t>
          </w:r>
        </w:sdtContent>
      </w:sdt>
      <w:r>
        <w:rPr>
          <w:color w:val="000000"/>
          <w:lang w:val="en-US"/>
        </w:rPr>
        <w:t xml:space="preserve"> </w:t>
      </w:r>
      <w:r w:rsidR="00C77AE5">
        <w:t>mendokumentasikan bahwa pandemi COVID-19 secara fundamental mengubah keh</w:t>
      </w:r>
      <w:bookmarkStart w:id="15" w:name="_GoBack"/>
      <w:bookmarkEnd w:id="15"/>
      <w:r w:rsidR="00C77AE5">
        <w:t>idupan mahasiswa perguruan tinggi di seluruh dunia. Shoaib et al. (2025)</w:t>
      </w:r>
      <w:r>
        <w:rPr>
          <w:lang w:val="en-US"/>
        </w:rPr>
        <w:t xml:space="preserve"> </w:t>
      </w:r>
      <w:r w:rsidR="00C77AE5">
        <w:t xml:space="preserve"> menunjukkan pandemi mengekspos fragilitas sistem pendidikan tinggi global.</w:t>
      </w:r>
      <w:r w:rsidR="00D075D9">
        <w:rPr>
          <w:lang w:val="en-US"/>
        </w:rPr>
        <w:t xml:space="preserve"> </w:t>
      </w:r>
      <w:sdt>
        <w:sdtPr>
          <w:rPr>
            <w:color w:val="000000"/>
            <w:lang w:val="en-US"/>
          </w:rPr>
          <w:tag w:val="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886986934"/>
          <w:placeholder>
            <w:docPart w:val="DefaultPlaceholder_-1854013440"/>
          </w:placeholder>
        </w:sdtPr>
        <w:sdtContent>
          <w:r w:rsidR="00D075D9" w:rsidRPr="00D075D9">
            <w:rPr>
              <w:color w:val="000000"/>
              <w:lang w:val="en-US"/>
            </w:rPr>
            <w:t>(Tuyishimire et al. 2022)</w:t>
          </w:r>
        </w:sdtContent>
      </w:sdt>
      <w:r w:rsidR="00D075D9">
        <w:rPr>
          <w:lang w:val="en-US"/>
        </w:rPr>
        <w:t xml:space="preserve"> </w:t>
      </w:r>
      <w:r w:rsidR="00C77AE5">
        <w:t xml:space="preserve">menemukan COVID-19 membentuk ulang cara penyampaian pendidikan di negara berkembang secara struktural dan permanen. Di Indonesia, studi evaluasi implementasi emergency </w:t>
      </w:r>
      <w:r w:rsidR="00C77AE5">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
          <w:id w:val="-1198544059"/>
          <w:placeholder>
            <w:docPart w:val="DefaultPlaceholder_-1854013440"/>
          </w:placeholder>
        </w:sdtPr>
        <w:sdtEndPr/>
        <w:sdtContent>
          <w:r w:rsidR="00D075D9" w:rsidRPr="00D075D9">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D075D9" w:rsidRPr="00D075D9">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D075D9" w:rsidRPr="00D075D9">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D075D9" w:rsidRPr="00D075D9">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6"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3BF9">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6"/>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7" w:name="_Toc234795994"/>
      <w:r>
        <w:t>1.2 Rumusan Masalah</w:t>
      </w:r>
      <w:bookmarkEnd w:id="17"/>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8" w:name="_Toc234795995"/>
      <w:r>
        <w:t>1.3 Batasan Masalah</w:t>
      </w:r>
      <w:bookmarkEnd w:id="18"/>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9" w:name="_Toc234795996"/>
      <w:r>
        <w:t>1.4 Hipotesis Penelitian</w:t>
      </w:r>
      <w:bookmarkEnd w:id="19"/>
    </w:p>
    <w:p w:rsidR="002316A4" w:rsidRDefault="00C02299">
      <w:pPr>
        <w:spacing w:line="480" w:lineRule="auto"/>
        <w:ind w:firstLine="720"/>
        <w:jc w:val="both"/>
      </w:pPr>
      <w:r>
        <w:t>Penelitian ini mengajukan tiga hipotesis yang diuji secara empiris. Hipotesis 1 (H1): Struktur segmen calon mahasiswa mengalami pergeseran antar</w:t>
      </w:r>
      <w:r w:rsidR="00694677">
        <w:rPr>
          <w:lang w:val="en-US"/>
        </w:rPr>
        <w:t xml:space="preserve"> </w:t>
      </w:r>
      <w:r>
        <w:t xml:space="preserve">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20" w:name="_Toc234795997"/>
      <w:r>
        <w:t>1.5 Tujuan dan Manfaat Penelitian</w:t>
      </w:r>
      <w:bookmarkEnd w:id="20"/>
    </w:p>
    <w:p w:rsidR="002316A4" w:rsidRDefault="00C02299">
      <w:pPr>
        <w:pStyle w:val="Judul3"/>
        <w:spacing w:line="480" w:lineRule="auto"/>
      </w:pPr>
      <w:bookmarkStart w:id="21" w:name="_Toc234795998"/>
      <w:r>
        <w:t>1.5.1 Tujuan Penelitian</w:t>
      </w:r>
      <w:bookmarkEnd w:id="21"/>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2" w:name="_Toc234795999"/>
      <w:r>
        <w:t>1.5.2 Manfaat Penelitian</w:t>
      </w:r>
      <w:bookmarkEnd w:id="22"/>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Bagi ITSNU Pekalongan</w:t>
      </w:r>
      <w:r w:rsidRPr="00694677">
        <w:rPr>
          <w:color w:val="000000"/>
        </w:rPr>
        <w:t xml:space="preserve">: sistem segmentasi otomatis tahunan, laporan naratif siap manajemen, peta prioritas segmen rekrutmen, dan </w:t>
      </w:r>
      <w:r w:rsidRPr="00694677">
        <w:rPr>
          <w:color w:val="000000"/>
        </w:rPr>
        <w:lastRenderedPageBreak/>
        <w:t>panduan personalisasi komunikasi per segmen berbasis data aktual.</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3" w:name="_Toc234796000"/>
      <w:r>
        <w:t>1.6 Metode Penelitian</w:t>
      </w:r>
      <w:bookmarkEnd w:id="23"/>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D075D9" w:rsidRPr="00D075D9">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4" w:name="_Toc234796001"/>
      <w:r>
        <w:t>1.7 Sistematika Penulisan</w:t>
      </w:r>
      <w:bookmarkEnd w:id="24"/>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5" w:name="_Toc234796002"/>
      <w:r>
        <w:lastRenderedPageBreak/>
        <w:t xml:space="preserve">BAB II </w:t>
      </w:r>
      <w:r w:rsidR="008E7056">
        <w:br/>
      </w:r>
      <w:r>
        <w:t>STUDI PUSTAKA</w:t>
      </w:r>
      <w:bookmarkEnd w:id="25"/>
    </w:p>
    <w:p w:rsidR="002316A4" w:rsidRDefault="00C02299">
      <w:pPr>
        <w:pStyle w:val="Judul2"/>
        <w:spacing w:line="480" w:lineRule="auto"/>
        <w:jc w:val="both"/>
      </w:pPr>
      <w:bookmarkStart w:id="26" w:name="_Toc234796003"/>
      <w:r>
        <w:t>2.1 Enrollment Management dan Strategi Rekrutmen Perguruan Tinggi</w:t>
      </w:r>
      <w:bookmarkEnd w:id="26"/>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D075D9" w:rsidRPr="00D075D9">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D075D9" w:rsidRPr="00D075D9">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621D82">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D075D9" w:rsidRPr="00D075D9">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D075D9" w:rsidRPr="00D075D9">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7" w:name="_Toc234796004"/>
      <w:r>
        <w:lastRenderedPageBreak/>
        <w:t>2.2 Segmentasi Pasar dalam Educational Data Mining</w:t>
      </w:r>
      <w:bookmarkEnd w:id="27"/>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
          <w:id w:val="-2137869843"/>
          <w:placeholder>
            <w:docPart w:val="DefaultPlaceholder_-1854013440"/>
          </w:placeholder>
        </w:sdtPr>
        <w:sdtEndPr/>
        <w:sdtContent>
          <w:r w:rsidR="00D075D9" w:rsidRPr="00D075D9">
            <w:rPr>
              <w:rFonts w:eastAsia="Times New Roman"/>
              <w:color w:val="000000"/>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621D82">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D075D9" w:rsidRPr="00D075D9">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D075D9" w:rsidRPr="00D075D9">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8" w:name="_Toc234796005"/>
      <w:r>
        <w:lastRenderedPageBreak/>
        <w:t>2.3 Gaussian Mixture Model dan Probabilistic Clustering</w:t>
      </w:r>
      <w:bookmarkEnd w:id="28"/>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D075D9" w:rsidRPr="00D075D9">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D075D9" w:rsidRPr="00D075D9">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9"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9"/>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30" w:name="_Toc234796006"/>
      <w:r>
        <w:lastRenderedPageBreak/>
        <w:t>2.4 Sistem Otomasi Analisis Berbasis Large Language Model</w:t>
      </w:r>
      <w:bookmarkEnd w:id="30"/>
    </w:p>
    <w:p w:rsidR="002316A4" w:rsidRDefault="00C02299">
      <w:pPr>
        <w:pStyle w:val="Judul3"/>
        <w:spacing w:line="480" w:lineRule="auto"/>
        <w:jc w:val="both"/>
      </w:pPr>
      <w:bookmarkStart w:id="31" w:name="_Toc234796007"/>
      <w:r>
        <w:t>2.4.1 Konseptualisasi Otomasi Analisis LLM</w:t>
      </w:r>
      <w:bookmarkEnd w:id="31"/>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D075D9" w:rsidRPr="00D075D9">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621D82">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D075D9" w:rsidRPr="00D075D9">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2" w:name="_Toc234796008"/>
      <w:r>
        <w:t>2.4.2 Arsitektur Transformer dan IndoBERT untuk Bahasa Indonesia</w:t>
      </w:r>
      <w:bookmarkEnd w:id="32"/>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D075D9" w:rsidRPr="00D075D9">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
          <w:id w:val="-1008058549"/>
          <w:placeholder>
            <w:docPart w:val="DefaultPlaceholder_-1854013440"/>
          </w:placeholder>
        </w:sdtPr>
        <w:sdtEndPr/>
        <w:sdtContent>
          <w:r w:rsidR="00D075D9" w:rsidRPr="00D075D9">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D075D9" w:rsidRPr="00D075D9">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3"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3"/>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621D82">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D075D9" w:rsidRPr="00D075D9">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D075D9" w:rsidRPr="00D075D9">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4" w:name="_Toc234796009"/>
      <w:r>
        <w:t>2.4.3 Llama 3.2 sebagai Model LLM Lokal</w:t>
      </w:r>
      <w:bookmarkEnd w:id="34"/>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D075D9" w:rsidRPr="00D075D9">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D075D9" w:rsidRPr="00D075D9">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5" w:name="_Toc234796010"/>
      <w:r>
        <w:t>2.5 Dimensionality Reduction dengan Principal Component Analysis</w:t>
      </w:r>
      <w:bookmarkEnd w:id="35"/>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D075D9" w:rsidRPr="00D075D9">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6" w:name="_Toc234796011"/>
      <w:r>
        <w:t>2.6 Metodologi Data Mining: CRISP</w:t>
      </w:r>
      <w:r w:rsidR="007C1716">
        <w:t xml:space="preserve"> </w:t>
      </w:r>
      <w:r>
        <w:t>DM Adaptif Time Series</w:t>
      </w:r>
      <w:bookmarkEnd w:id="36"/>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D075D9" w:rsidRPr="00D075D9">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7" w:name="_Toc234796012"/>
      <w:r>
        <w:t>2.7 Analisis Time Series dan Deteksi Structural Break</w:t>
      </w:r>
      <w:bookmarkEnd w:id="37"/>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D075D9" w:rsidRPr="00D075D9">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8" w:name="_Toc234796013"/>
      <w:r>
        <w:t>2.8 Dampak COVID</w:t>
      </w:r>
      <w:r w:rsidR="007C1716">
        <w:t xml:space="preserve"> </w:t>
      </w:r>
      <w:r>
        <w:t>19 terhadap Enrollment Perguruan Tinggi</w:t>
      </w:r>
      <w:bookmarkEnd w:id="38"/>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9" w:name="_Toc234796014"/>
      <w:r>
        <w:t>2.9 Personalisasi Rekrutmen Berbasis Data</w:t>
      </w:r>
      <w:bookmarkEnd w:id="39"/>
    </w:p>
    <w:p w:rsidR="00CD6E2D" w:rsidRDefault="00621D82"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D075D9" w:rsidRPr="00D075D9">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D075D9" w:rsidRPr="00D075D9">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D075D9" w:rsidRPr="00D075D9">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40" w:name="_Toc234796015"/>
      <w:r>
        <w:lastRenderedPageBreak/>
        <w:t>2.10 Matriks Tinjauan Pustaka</w:t>
      </w:r>
      <w:bookmarkEnd w:id="40"/>
    </w:p>
    <w:p w:rsidR="004750B0" w:rsidRPr="004750B0" w:rsidRDefault="004750B0" w:rsidP="004750B0">
      <w:pPr>
        <w:pStyle w:val="Keterangan"/>
        <w:keepNext/>
        <w:jc w:val="center"/>
        <w:rPr>
          <w:b/>
          <w:bCs/>
          <w:i w:val="0"/>
          <w:iCs w:val="0"/>
          <w:color w:val="000000" w:themeColor="text1"/>
          <w:sz w:val="20"/>
          <w:szCs w:val="20"/>
        </w:rPr>
      </w:pPr>
      <w:bookmarkStart w:id="41"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1"/>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(OpenRouter)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2" w:name="_Toc234796016"/>
      <w:r>
        <w:lastRenderedPageBreak/>
        <w:t>2.11 Kerangka Konseptual Penelitian</w:t>
      </w:r>
      <w:bookmarkEnd w:id="42"/>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extent cx="5303520" cy="378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3"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3BF9">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3"/>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4" w:name="_Toc234796017"/>
      <w:r>
        <w:t>2.1</w:t>
      </w:r>
      <w:r>
        <w:rPr>
          <w:lang w:val="en-US"/>
        </w:rPr>
        <w:t>2</w:t>
      </w:r>
      <w:r>
        <w:t xml:space="preserve"> </w:t>
      </w:r>
      <w:r w:rsidRPr="00CD6E2D">
        <w:rPr>
          <w:rStyle w:val="MdStrong"/>
          <w:b/>
        </w:rPr>
        <w:t>Validasi Output AI dan Kebijakan Institusional</w:t>
      </w:r>
      <w:bookmarkEnd w:id="44"/>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D075D9" w:rsidRPr="00D075D9">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D075D9" w:rsidRPr="00D075D9">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D075D9" w:rsidRPr="00D075D9">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D075D9" w:rsidRPr="00D075D9">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5" w:name="_Toc234796018"/>
      <w:r>
        <w:lastRenderedPageBreak/>
        <w:t xml:space="preserve">BAB III </w:t>
      </w:r>
      <w:r w:rsidR="008E7056">
        <w:br/>
      </w:r>
      <w:r>
        <w:t>METODOLOGI PENELITIAN</w:t>
      </w:r>
      <w:bookmarkEnd w:id="45"/>
    </w:p>
    <w:p w:rsidR="002316A4" w:rsidRDefault="00C02299">
      <w:pPr>
        <w:pStyle w:val="Judul2"/>
        <w:spacing w:line="480" w:lineRule="auto"/>
      </w:pPr>
      <w:bookmarkStart w:id="46" w:name="_Toc234796019"/>
      <w:r>
        <w:t>3.1 Desain Penelitian</w:t>
      </w:r>
      <w:bookmarkEnd w:id="46"/>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7" w:name="_Toc234796020"/>
      <w:r>
        <w:lastRenderedPageBreak/>
        <w:t>3.2 Diagram Alur Penelitian</w:t>
      </w:r>
      <w:bookmarkEnd w:id="47"/>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8"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8"/>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9" w:name="_Toc234796021"/>
      <w:r>
        <w:t>3.3 Tahap 1  Business Understanding</w:t>
      </w:r>
      <w:bookmarkEnd w:id="49"/>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50" w:name="_Toc234796022"/>
      <w:r>
        <w:t>3.4 Tahap 2  Data Collection</w:t>
      </w:r>
      <w:bookmarkEnd w:id="50"/>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1"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2" w:name="_Toc234796023"/>
      <w:r>
        <w:lastRenderedPageBreak/>
        <w:t>3.5 Tahap 3  Data Understanding</w:t>
      </w:r>
      <w:bookmarkEnd w:id="52"/>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3" w:name="_Toc234796024"/>
      <w:r>
        <w:t>3.6 Tahap 4  Data Preparation (Otomasi Batch 6 Periode)</w:t>
      </w:r>
      <w:bookmarkEnd w:id="53"/>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133235264"/>
          <w:placeholder>
            <w:docPart w:val="DefaultPlaceholder_-1854013440"/>
          </w:placeholder>
        </w:sdtPr>
        <w:sdtEndPr/>
        <w:sdtContent>
          <w:r w:rsidR="00D075D9" w:rsidRPr="00D075D9">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4" w:name="_Toc234796025"/>
      <w:r>
        <w:t>3.7 Tahap 5  Dimensionality Reduction: PCA Konsisten 6 Periode</w:t>
      </w:r>
      <w:bookmarkEnd w:id="54"/>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5" w:name="_Toc234796026"/>
      <w:r>
        <w:t>3.8 Tahap 6  Modeling: GMM per Periode</w:t>
      </w:r>
      <w:bookmarkEnd w:id="55"/>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D075D9" w:rsidRPr="00D075D9">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6"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6"/>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7" w:name="_Toc234796027"/>
      <w:r>
        <w:t>3.9 Tahap 7  Time Series Analysis</w:t>
      </w:r>
      <w:bookmarkEnd w:id="57"/>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8"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8"/>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9" w:name="_Toc234796028"/>
      <w:r>
        <w:t>3.10 Tahap 8  Evaluasi Multi</w:t>
      </w:r>
      <w:r w:rsidR="007C1716">
        <w:t xml:space="preserve"> </w:t>
      </w:r>
      <w:r>
        <w:t>Level</w:t>
      </w:r>
      <w:bookmarkEnd w:id="59"/>
    </w:p>
    <w:p w:rsidR="00F607D8" w:rsidRPr="00F607D8" w:rsidRDefault="00F607D8" w:rsidP="00F607D8">
      <w:pPr>
        <w:pStyle w:val="Keterangan"/>
        <w:keepNext/>
        <w:jc w:val="center"/>
        <w:rPr>
          <w:b/>
          <w:bCs/>
          <w:i w:val="0"/>
          <w:iCs w:val="0"/>
          <w:color w:val="000000" w:themeColor="text1"/>
          <w:sz w:val="20"/>
          <w:szCs w:val="20"/>
        </w:rPr>
      </w:pPr>
      <w:bookmarkStart w:id="60"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60"/>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1" w:name="_Toc234796029"/>
      <w:r>
        <w:t>3.11 Tahap 9  Otomasi Analisis LLM</w:t>
      </w:r>
      <w:bookmarkEnd w:id="61"/>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2" w:name="_Toc234796030"/>
      <w:r>
        <w:t>3.12 Tahap 10  Deployment: Strategi Rekrutmen Prediktif</w:t>
      </w:r>
      <w:bookmarkEnd w:id="62"/>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D075D9" w:rsidRPr="00D075D9">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3" w:name="_Toc234796031"/>
      <w:r>
        <w:t>3.13 Instrumen Penelitian</w:t>
      </w:r>
      <w:bookmarkEnd w:id="63"/>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979687247"/>
          <w:placeholder>
            <w:docPart w:val="DefaultPlaceholder_-1854013440"/>
          </w:placeholder>
        </w:sdtPr>
        <w:sdtEndPr/>
        <w:sdtContent>
          <w:r w:rsidR="00D075D9" w:rsidRPr="00D075D9">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4"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4"/>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5"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5"/>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6" w:name="_Toc234796032"/>
      <w:r>
        <w:t>3.14 Prosedur Validasi Expert</w:t>
      </w:r>
      <w:bookmarkEnd w:id="66"/>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7"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7"/>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8" w:name="_Toc234796033"/>
      <w:r>
        <w:t>3.15 Etika Penelitian</w:t>
      </w:r>
      <w:bookmarkEnd w:id="68"/>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9" w:name="_Toc234796034"/>
      <w:r>
        <w:t>3.16 Jadwal Pelaksanaan Penelitian</w:t>
      </w:r>
      <w:bookmarkEnd w:id="69"/>
    </w:p>
    <w:p w:rsidR="00F607D8" w:rsidRPr="00F607D8" w:rsidRDefault="00F607D8" w:rsidP="00F607D8">
      <w:pPr>
        <w:pStyle w:val="Keterangan"/>
        <w:keepNext/>
        <w:jc w:val="center"/>
        <w:rPr>
          <w:b/>
          <w:bCs/>
          <w:i w:val="0"/>
          <w:iCs w:val="0"/>
          <w:color w:val="000000" w:themeColor="text1"/>
          <w:sz w:val="20"/>
          <w:szCs w:val="20"/>
        </w:rPr>
      </w:pPr>
      <w:bookmarkStart w:id="70"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70"/>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1" w:name="_Toc234796035"/>
      <w:r>
        <w:lastRenderedPageBreak/>
        <w:t xml:space="preserve">BAB IV </w:t>
      </w:r>
      <w:r w:rsidR="008E7056">
        <w:br/>
      </w:r>
      <w:r>
        <w:t>HASIL PENELITIAN DAN PEMBAHASAN</w:t>
      </w:r>
      <w:bookmarkEnd w:id="71"/>
    </w:p>
    <w:p w:rsidR="002316A4" w:rsidRDefault="00C02299">
      <w:pPr>
        <w:pStyle w:val="Judul2"/>
        <w:spacing w:line="480" w:lineRule="auto"/>
        <w:jc w:val="both"/>
      </w:pPr>
      <w:bookmarkStart w:id="72" w:name="_Toc234796036"/>
      <w:r>
        <w:t>4.1 Deskripsi Data Time Series Calon Mahasiswa (2019–2024)</w:t>
      </w:r>
      <w:bookmarkEnd w:id="72"/>
    </w:p>
    <w:p w:rsidR="002316A4" w:rsidRDefault="00C02299">
      <w:pPr>
        <w:pStyle w:val="Judul3"/>
        <w:spacing w:line="480" w:lineRule="auto"/>
      </w:pPr>
      <w:bookmarkStart w:id="73" w:name="_Toc234796037"/>
      <w:r>
        <w:t>4.1.1 Gambaran Umum Dataset</w:t>
      </w:r>
      <w:bookmarkEnd w:id="73"/>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4"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4"/>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5" w:name="_Toc234593379"/>
      <w:bookmarkStart w:id="76" w:name="_Toc234595681"/>
      <w:r w:rsidRPr="00146BF8">
        <w:t>Gambar 4.</w:t>
      </w:r>
      <w:r w:rsidR="00621D82">
        <w:fldChar w:fldCharType="begin"/>
      </w:r>
      <w:r w:rsidR="00621D82">
        <w:instrText xml:space="preserve"> SEQ Gambar_4. \* ARABIC </w:instrText>
      </w:r>
      <w:r w:rsidR="00621D82">
        <w:fldChar w:fldCharType="separate"/>
      </w:r>
      <w:r w:rsidR="00F63BF9">
        <w:rPr>
          <w:noProof/>
        </w:rPr>
        <w:t>1</w:t>
      </w:r>
      <w:r w:rsidR="00621D82">
        <w:rPr>
          <w:noProof/>
        </w:rPr>
        <w:fldChar w:fldCharType="end"/>
      </w:r>
      <w:r w:rsidRPr="00146BF8">
        <w:t xml:space="preserve"> Distribusi Jumlah Pendaftar PMB ITSNU Pekalongan per Tahun (2019–2024)</w:t>
      </w:r>
      <w:bookmarkEnd w:id="75"/>
      <w:bookmarkEnd w:id="76"/>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7" w:name="_Toc234796038"/>
      <w:r>
        <w:t>4.1.2 Distribusi Program Studi Dominan</w:t>
      </w:r>
      <w:bookmarkEnd w:id="77"/>
    </w:p>
    <w:p w:rsidR="00F607D8" w:rsidRPr="00F607D8" w:rsidRDefault="00F607D8" w:rsidP="00F607D8">
      <w:pPr>
        <w:pStyle w:val="Keterangan"/>
        <w:keepNext/>
        <w:jc w:val="center"/>
        <w:rPr>
          <w:b/>
          <w:i w:val="0"/>
          <w:iCs w:val="0"/>
          <w:color w:val="000000" w:themeColor="text1"/>
          <w:sz w:val="20"/>
          <w:szCs w:val="20"/>
        </w:rPr>
      </w:pPr>
      <w:bookmarkStart w:id="78"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3BF9">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8"/>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9" w:name="_Toc234796039"/>
      <w:r>
        <w:t>4.2 Hasil Otomasi Data Preparation (Tahap 4A–4E)</w:t>
      </w:r>
      <w:bookmarkEnd w:id="79"/>
    </w:p>
    <w:p w:rsidR="002316A4" w:rsidRPr="00F607D8" w:rsidRDefault="00C02299" w:rsidP="00F607D8">
      <w:pPr>
        <w:pStyle w:val="Judul3"/>
        <w:spacing w:after="160" w:line="480" w:lineRule="auto"/>
        <w:jc w:val="both"/>
      </w:pPr>
      <w:bookmarkStart w:id="80" w:name="_Toc234796040"/>
      <w:r>
        <w:t>4.2.1 Hasil Text Preprocessing Otomatis</w:t>
      </w:r>
      <w:bookmarkEnd w:id="80"/>
    </w:p>
    <w:p w:rsidR="00F607D8" w:rsidRPr="00F607D8" w:rsidRDefault="00F607D8" w:rsidP="00F607D8">
      <w:pPr>
        <w:pStyle w:val="Keterangan"/>
        <w:keepNext/>
        <w:jc w:val="center"/>
        <w:rPr>
          <w:b/>
          <w:bCs/>
          <w:i w:val="0"/>
          <w:iCs w:val="0"/>
          <w:color w:val="000000" w:themeColor="text1"/>
          <w:sz w:val="20"/>
          <w:szCs w:val="20"/>
        </w:rPr>
      </w:pPr>
      <w:bookmarkStart w:id="81"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1"/>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2" w:name="_Toc234796041"/>
      <w:r>
        <w:t>4.2.2 Validasi Stabilitas Embedding IndoBERT</w:t>
      </w:r>
      <w:bookmarkEnd w:id="82"/>
    </w:p>
    <w:p w:rsidR="00F607D8" w:rsidRPr="00F607D8" w:rsidRDefault="00F607D8" w:rsidP="00F607D8">
      <w:pPr>
        <w:pStyle w:val="Keterangan"/>
        <w:keepNext/>
        <w:jc w:val="center"/>
        <w:rPr>
          <w:b/>
          <w:bCs/>
          <w:i w:val="0"/>
          <w:iCs w:val="0"/>
          <w:color w:val="000000" w:themeColor="text1"/>
          <w:sz w:val="20"/>
          <w:szCs w:val="20"/>
        </w:rPr>
      </w:pPr>
      <w:bookmarkStart w:id="83"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3"/>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4" w:name="_Toc234796042"/>
      <w:r>
        <w:t>4.2.3 Hasil PCA Dimensionality Reduction</w:t>
      </w:r>
      <w:bookmarkEnd w:id="84"/>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5" w:name="_Toc234796043"/>
      <w:r>
        <w:t>4.3 Hasil Segmentasi Probabilistik GMM Time Series (Tahap 6)</w:t>
      </w:r>
      <w:bookmarkEnd w:id="85"/>
    </w:p>
    <w:p w:rsidR="002316A4" w:rsidRPr="00F607D8" w:rsidRDefault="00C02299" w:rsidP="00F607D8">
      <w:pPr>
        <w:pStyle w:val="Judul3"/>
        <w:spacing w:after="160" w:line="480" w:lineRule="auto"/>
        <w:jc w:val="both"/>
      </w:pPr>
      <w:bookmarkStart w:id="86" w:name="_Toc234796044"/>
      <w:r>
        <w:t>4.3.1 Penentuan Jumlah Komponen Optimal (K-Scan)</w:t>
      </w:r>
      <w:bookmarkEnd w:id="86"/>
    </w:p>
    <w:p w:rsidR="00F607D8" w:rsidRPr="00F607D8" w:rsidRDefault="00F607D8" w:rsidP="00F607D8">
      <w:pPr>
        <w:pStyle w:val="Keterangan"/>
        <w:keepNext/>
        <w:jc w:val="center"/>
        <w:rPr>
          <w:b/>
          <w:bCs/>
          <w:i w:val="0"/>
          <w:iCs w:val="0"/>
          <w:color w:val="000000" w:themeColor="text1"/>
          <w:sz w:val="20"/>
          <w:szCs w:val="20"/>
        </w:rPr>
      </w:pPr>
      <w:bookmarkStart w:id="87"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7"/>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8" w:name="_Toc234595682"/>
      <w:r w:rsidRPr="00EF0234">
        <w:rPr>
          <w:b w:val="0"/>
          <w:bCs/>
        </w:rPr>
        <w:t>Gambar 4.2 Silhouette Score GMM per Periode (2019–2024)</w:t>
      </w:r>
      <w:bookmarkEnd w:id="88"/>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2020 (0,0798), diikuti 2021 (0,0748), 2023 (0,0691), 2022 (0,0663), 2024 (0,0585), dan 2019 (0,0522), dengan seluruh nilai berada dalam rentang 0,0522-0,0798 yang menunjukkan pemisahan klaster positif pada setiap periode. Pada fase COVID Crisis (2020-2021) nilai Silhouette relatif tinggi, sedangkan pada fase Recovery nilai tetap stabil di kisaran 0,0585-0,0691. Pola ini konsisten dengan temuan structural break: perubahan komposisi segmen yang terus </w:t>
      </w:r>
      <w:r>
        <w:rPr>
          <w:color w:val="000000"/>
        </w:rPr>
        <w:lastRenderedPageBreak/>
        <w:t>terjadi setiap tahun membuat batas antar klaster senantiasa kabur meskipun pemisahan tetap positif.</w:t>
      </w:r>
    </w:p>
    <w:p w:rsidR="002316A4" w:rsidRPr="00FD3024" w:rsidRDefault="00C02299" w:rsidP="00FD3024">
      <w:pPr>
        <w:pStyle w:val="Judul2"/>
        <w:spacing w:line="480" w:lineRule="auto"/>
        <w:jc w:val="both"/>
      </w:pPr>
      <w:bookmarkStart w:id="89" w:name="_Toc234796045"/>
      <w:r>
        <w:t>4.4 Hasil Time Series Analysis dan Deteksi Structural Break (Tahap 7)</w:t>
      </w:r>
      <w:bookmarkEnd w:id="89"/>
    </w:p>
    <w:p w:rsidR="00FD3024" w:rsidRPr="00FD3024" w:rsidRDefault="00FD3024" w:rsidP="00FD3024">
      <w:pPr>
        <w:pStyle w:val="Keterangan"/>
        <w:keepNext/>
        <w:jc w:val="center"/>
        <w:rPr>
          <w:b/>
          <w:bCs/>
          <w:i w:val="0"/>
          <w:iCs w:val="0"/>
          <w:color w:val="000000" w:themeColor="text1"/>
          <w:sz w:val="20"/>
          <w:szCs w:val="20"/>
        </w:rPr>
      </w:pPr>
      <w:bookmarkStart w:id="90"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90"/>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5"/>
                    <a:stretch>
                      <a:fillRect/>
                    </a:stretch>
                  </pic:blipFill>
                  <pic:spPr>
                    <a:xfrm>
                      <a:off x="0" y="0"/>
                      <a:ext cx="5303520" cy="3409406"/>
                    </a:xfrm>
                    <a:prstGeom prst="rect">
                      <a:avLst/>
                    </a:prstGeom>
                  </pic:spPr>
                </pic:pic>
              </a:graphicData>
            </a:graphic>
          </wp:inline>
        </w:drawing>
      </w:r>
    </w:p>
    <w:p w:rsidR="002316A4" w:rsidRPr="006D3EAF" w:rsidRDefault="00586CC5" w:rsidP="006D3EAF">
      <w:pPr>
        <w:pStyle w:val="Gambar"/>
      </w:pPr>
      <w:bookmarkStart w:id="91"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1"/>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2" w:name="_Toc234796046"/>
      <w:r>
        <w:t>4.4.1 Proyeksi Jumlah Pendaftar 2025</w:t>
      </w:r>
      <w:bookmarkEnd w:id="92"/>
    </w:p>
    <w:p w:rsidR="002316A4" w:rsidRDefault="00C02299">
      <w:pPr>
        <w:spacing w:line="480" w:lineRule="auto"/>
        <w:ind w:firstLine="720"/>
        <w:jc w:val="both"/>
      </w:pPr>
      <w:r>
        <w:rPr>
          <w:color w:val="000000"/>
        </w:rPr>
        <w:lastRenderedPageBreak/>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3" w:name="_Toc234595684"/>
      <w:r w:rsidRPr="00586CC5">
        <w:rPr>
          <w:b w:val="0"/>
          <w:bCs/>
        </w:rPr>
        <w:t>Gambar 4.4 Proyeksi Jumlah Pendaftar ITSNU Pekalongan Tahun 2025 Berbasis Tren Recovery (2022–2024)</w:t>
      </w:r>
      <w:bookmarkEnd w:id="93"/>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4" w:name="_Toc234796047"/>
      <w:r>
        <w:t>4.5 Hasil Evaluasi Multi</w:t>
      </w:r>
      <w:r w:rsidR="007C1716">
        <w:t xml:space="preserve"> </w:t>
      </w:r>
      <w:r>
        <w:t>Level (Tahap 8)</w:t>
      </w:r>
      <w:bookmarkEnd w:id="94"/>
    </w:p>
    <w:p w:rsidR="002316A4" w:rsidRPr="00FD3024" w:rsidRDefault="00C02299" w:rsidP="00FD3024">
      <w:pPr>
        <w:pStyle w:val="Judul3"/>
        <w:spacing w:after="160" w:line="480" w:lineRule="auto"/>
        <w:jc w:val="both"/>
      </w:pPr>
      <w:bookmarkStart w:id="95" w:name="_Toc234796048"/>
      <w:r>
        <w:t>4.5.1 Evaluasi Internal GMM per Periode</w:t>
      </w:r>
      <w:bookmarkEnd w:id="95"/>
    </w:p>
    <w:p w:rsidR="00FD3024" w:rsidRPr="00FD3024" w:rsidRDefault="00FD3024" w:rsidP="00FD3024">
      <w:pPr>
        <w:pStyle w:val="Keterangan"/>
        <w:keepNext/>
        <w:jc w:val="center"/>
        <w:rPr>
          <w:b/>
          <w:bCs/>
          <w:i w:val="0"/>
          <w:iCs w:val="0"/>
          <w:color w:val="000000" w:themeColor="text1"/>
          <w:sz w:val="20"/>
          <w:szCs w:val="20"/>
        </w:rPr>
      </w:pPr>
      <w:bookmarkStart w:id="96"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5,6718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-23362,01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3,1099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-43178,07</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3,191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-45504,4</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27,51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3,7674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-70883,68</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3,0046</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-105094,15</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27,19</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3,1211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-75081,63</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berdasarkan K optimal masing-masing (2019-K2, 2020-K3, 2021-K2, 2022-K2, </w:t>
      </w:r>
      <w:r w:rsidRPr="007A5F01">
        <w:rPr>
          <w:color w:val="000000"/>
        </w:rPr>
        <w:lastRenderedPageBreak/>
        <w:t>2023-K5, 2024-K4). Beberapa pola penting perlu dicermati. Pertama, nilai Log Likelihood seluruhnya negatif, dari -23362,01 (2019) meningkat secara absolut ke -105094,15 (2023) dan sedikit menurun ke -75081,63 (2024), mencerminkan peningkatan jumlah observasi secara konsisten. Kedua, nilai Calinski-Harabasz meningkat dari 4,14 (2019) pada fase Pre-COVID menjadi 19,4-36,08 pada fase COVID Crisis dan Recovery, mengindikasikan bahwa pemisahan antar klaster semakin jelas seiring bertambahnya data. Ketiga, nilai Davies-Bouldin berfluktuasi antara 3,0046 dan 5,6718, dengan nilai tertinggi pada 2019 (5,6718) yang menandakan overlap lebih besar antar klaster pada tahun tersebut. Keempat, Silhouette Score berada dalam rentang 0,0522 hingga 0,0798, dengan nilai tertinggi pada 2020 (0,0798); seluruh nilai bersifat positif, menunjukkan pemisahan klaster yang konsisten pada setiap periode.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7" w:name="_Toc234796049"/>
      <w:r>
        <w:t>4.5.2 Perbandingan Empiris GMM vs K-Means</w:t>
      </w:r>
      <w:bookmarkEnd w:id="97"/>
    </w:p>
    <w:p w:rsidR="00FD3024" w:rsidRPr="00FD3024" w:rsidRDefault="00FD3024" w:rsidP="00FD3024">
      <w:pPr>
        <w:pStyle w:val="Keterangan"/>
        <w:keepNext/>
        <w:jc w:val="center"/>
        <w:rPr>
          <w:b/>
          <w:bCs/>
          <w:i w:val="0"/>
          <w:iCs w:val="0"/>
          <w:color w:val="000000" w:themeColor="text1"/>
        </w:rPr>
      </w:pPr>
      <w:bookmarkStart w:id="98"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8"/>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69"/>
        <w:gridCol w:w="981"/>
        <w:gridCol w:w="1259"/>
        <w:gridCol w:w="996"/>
        <w:gridCol w:w="3082"/>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F16A86" w:rsidRDefault="00621D82">
            <w:r>
              <w:t>0,0585</w:t>
            </w:r>
          </w:p>
        </w:tc>
        <w:tc>
          <w:tcPr>
            <w:tcW w:w="851" w:type="dxa"/>
            <w:tcMar>
              <w:top w:w="80" w:type="dxa"/>
              <w:left w:w="100" w:type="dxa"/>
              <w:bottom w:w="80" w:type="dxa"/>
              <w:right w:w="100" w:type="dxa"/>
            </w:tcMar>
            <w:vAlign w:val="center"/>
          </w:tcPr>
          <w:p w:rsidR="00F16A86" w:rsidRDefault="00621D82">
            <w:r>
              <w:t>−</w:t>
            </w:r>
            <w:r>
              <w:t>0,0137</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F16A86" w:rsidRDefault="00621D82">
            <w:r>
              <w:t>27,19</w:t>
            </w:r>
          </w:p>
        </w:tc>
        <w:tc>
          <w:tcPr>
            <w:tcW w:w="851" w:type="dxa"/>
            <w:tcMar>
              <w:top w:w="80" w:type="dxa"/>
              <w:left w:w="100" w:type="dxa"/>
              <w:bottom w:w="80" w:type="dxa"/>
              <w:right w:w="100" w:type="dxa"/>
            </w:tcMar>
            <w:vAlign w:val="center"/>
          </w:tcPr>
          <w:p w:rsidR="00F16A86" w:rsidRDefault="00621D82">
            <w:r>
              <w:t>−</w:t>
            </w:r>
            <w:r>
              <w:t>13,56</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F16A86" w:rsidRDefault="00621D82">
            <w:r>
              <w:t>3,1211</w:t>
            </w:r>
          </w:p>
        </w:tc>
        <w:tc>
          <w:tcPr>
            <w:tcW w:w="851" w:type="dxa"/>
            <w:tcMar>
              <w:top w:w="80" w:type="dxa"/>
              <w:left w:w="100" w:type="dxa"/>
              <w:bottom w:w="80" w:type="dxa"/>
              <w:right w:w="100" w:type="dxa"/>
            </w:tcMar>
            <w:vAlign w:val="center"/>
          </w:tcPr>
          <w:p w:rsidR="00F16A86" w:rsidRDefault="00621D82">
            <w:r>
              <w:t>+0,1511</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0,0585, Calinski Harabasz 40,75 vs 27,19, dan Davies Bouldin 2,97 vs 3,1211.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w:t>
      </w:r>
      <w:r w:rsidRPr="00903014">
        <w:rPr>
          <w:color w:val="000000"/>
        </w:rPr>
        <w:lastRenderedPageBreak/>
        <w:t>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9" w:name="_Toc234796050"/>
      <w:r>
        <w:t>4.6 Profil Klaster GMM per Fase Temporal dan Analisis Lifecycle</w:t>
      </w:r>
      <w:bookmarkEnd w:id="99"/>
    </w:p>
    <w:p w:rsidR="002316A4" w:rsidRDefault="00C02299">
      <w:pPr>
        <w:pStyle w:val="Judul3"/>
        <w:spacing w:line="480" w:lineRule="auto"/>
        <w:jc w:val="both"/>
      </w:pPr>
      <w:bookmarkStart w:id="100" w:name="_Toc234796051"/>
      <w:r>
        <w:t>4.6.1 Profil Klaster Fase Pre</w:t>
      </w:r>
      <w:r w:rsidR="007C1716">
        <w:t xml:space="preserve"> </w:t>
      </w:r>
      <w:r>
        <w:t>COVID (2019)</w:t>
      </w:r>
      <w:bookmarkEnd w:id="100"/>
    </w:p>
    <w:p w:rsidR="00707891" w:rsidRPr="00FD3024" w:rsidRDefault="00C02299" w:rsidP="00FD3024">
      <w:pPr>
        <w:spacing w:line="480" w:lineRule="auto"/>
        <w:ind w:firstLine="720"/>
        <w:jc w:val="both"/>
      </w:pPr>
      <w:r>
        <w:rPr>
          <w:color w:val="000000"/>
        </w:rPr>
        <w:t>Pada 2019 (baseline 146 pendaftar), GMM mengidentifikasi 2 klaster dengan distribusi di mana klaster terbesar mencakup 65,1% pendaftar: satu klaster dominan mencakup 65,1% pendaftar dan satu klaster minoritas 34,9%.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bookmarkStart w:id="101"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1"/>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lastRenderedPageBreak/>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lastRenderedPageBreak/>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65,1%) mengelompok di area tengah ruang PCA, sementara Klaster 2 (34,9%) berada di area yang lebih terpisah. Pola ini konsisten dengan identifikasi K=2 oleh GMM, di mana klaster terbesar (65,1%) mencakup mayoritas populasi dan klaster minoritas (34,9%) memiliki karakteristik yang berbeda secara semantik.</w:t>
      </w:r>
    </w:p>
    <w:p w:rsidR="002316A4" w:rsidRPr="00FD3024" w:rsidRDefault="00C02299" w:rsidP="00FD3024">
      <w:pPr>
        <w:pStyle w:val="Judul3"/>
        <w:spacing w:after="160" w:line="480" w:lineRule="auto"/>
        <w:jc w:val="both"/>
      </w:pPr>
      <w:bookmarkStart w:id="104" w:name="_Toc234796052"/>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4590728"/>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lastRenderedPageBreak/>
        <w:drawing>
          <wp:inline distT="0" distB="0" distL="0" distR="0">
            <wp:extent cx="5303520" cy="3788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a.png"/>
                    <pic:cNvPicPr/>
                  </pic:nvPicPr>
                  <pic:blipFill>
                    <a:blip r:embed="rId18"/>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profil klaster GMM tahun 2021 (N=301) dengan K=2 yang relatif seimbang. Klaster 1 mencakup 123 pendaftar (40,9%) dengan prodi dominan S1 Teknologi Informasi (43) dan S1 Informatika (38), didominasi asal Kabupaten Pekalongan (112) dan Kota Pekalongan (10). Klaster 2 berjumlah 178 pendaftar (59,1%) dengan prodi dominan S1 Informatika (74) dan S1 Teknologi Informasi (65), didominasi asal Kabupaten Pekalongan (132) dan Kabupaten Batang (19). Posterior probability = 0,970 (K1) dan 0,951 (K2). Meskipun K=2 konsisten dengan 2019 dan 2022, komposisi klaster 2021 lebih seimbang dibandingkan dominasi ekstrem pada 2019, menunjukkan bahwa struktur segmen tetap dua profil namun dengan pangsa yang tidak lagi timpang.</w:t>
      </w:r>
    </w:p>
    <w:p w:rsidR="00146BF8" w:rsidRDefault="00C02299" w:rsidP="00146BF8">
      <w:pPr>
        <w:keepNext/>
        <w:spacing w:before="80" w:after="80" w:line="480" w:lineRule="auto"/>
        <w:contextualSpacing/>
        <w:jc w:val="center"/>
      </w:pPr>
      <w:r>
        <w:rPr>
          <w:noProof/>
        </w:rPr>
        <w:lastRenderedPageBreak/>
        <w:drawing>
          <wp:inline distT="0" distB="0" distL="0" distR="0">
            <wp:extent cx="5303520" cy="37882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b.png"/>
                    <pic:cNvPicPr/>
                  </pic:nvPicPr>
                  <pic:blipFill>
                    <a:blip r:embed="rId19"/>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klaster terbesar (K2, 59,1%) yang mencakup sebagian besar ruang PCA, dan klaster 1 (40,9%) sebagai kelompok terpisah.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796053"/>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(N=458) dengan K=2, namun Klaster 1 yang dominan mencakup 313 pendaftar (68,3%) dengan prodi dominan S1 Teknologi Informasi (93) dan S1 Informatika (82), mayoritas dari Kabupaten Pekalongan (233) dan Kota Pekalongan (50). Klaster 2 berjumlah 145 pendaftar (31,7%) dengan prodi dominan S1 Informatika (38) dan S1 Teknologi Informasi (37), mayoritas dari Kabupaten Pekalongan (88) dan Kota Pekalongan (41). Posterior probability = 0,966 (K1) dan 0,918 (K2). Dibandingkan fase COVID, posterior yang tinggi menunjukkan pemisahan klaster yang jelas pada fase Recovery.</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c.png"/>
                    <pic:cNvPicPr/>
                  </pic:nvPicPr>
                  <pic:blipFill>
                    <a:blip r:embed="rId20"/>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1 (dominan, 68,3%) menguasai area PCA dengan kepadatan tinggi di bagian tengah ruang fitur. Klaster 2 (31,7%) muncul sebagai kelompok terpisah di area berbeda.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extent cx="5303520" cy="3788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d.png"/>
                    <pic:cNvPicPr/>
                  </pic:nvPicPr>
                  <pic:blipFill>
                    <a:blip r:embed="rId2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4590732"/>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e.png"/>
                    <pic:cNvPicPr/>
                  </pic:nvPicPr>
                  <pic:blipFill>
                    <a:blip r:embed="rId22"/>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796054"/>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796055"/>
      <w:r>
        <w:t>4.6.5 Persona Generation Berbasis LLM Hybrid</w:t>
      </w:r>
      <w:bookmarkEnd w:id="118"/>
    </w:p>
    <w:p w:rsidR="00AD15E1" w:rsidRDefault="00694677" w:rsidP="00694677">
      <w:pPr>
        <w:spacing w:line="480" w:lineRule="auto"/>
        <w:ind w:firstLine="720"/>
        <w:jc w:val="both"/>
      </w:pPr>
      <w:r>
        <w:t>Disklaimer Atribut Persona. Atribut persona yang diuraikan pada sub-bab ini-meliputi asal kecamatan, latar belakang keluarga (pekerjaan orang tua, jumlah saudara, status sosial ekonomi), motivasi kuliah (karir, kesejahteraan, minat), aktivitas kampus (organisasi, ekstrakurikuler, kompetisi), dan prospek karir yang diharapkan-merupakan keluaran ilustratif yang dihasilkan secara generatif oleh model bahasa besar (Large Language Model/LLM) dan bukan merupakan variabel yang diukur secara langsung dari data pendaftar pada Tabel 3.1. Penyusunan atribut tersebut dilakukan melalui kerangka validasi Expert-in-the-Loop sebagaimana dijelaskan pada Sub-bab 3.14 (Prosedur Validasi Expert), di mana pakar melakukan verifikasi dan penyuntingan terhadap hasil generasi LLM agar selaras dengan konteks institusional ITSNU Pekalongan. Oleh karena itu, profil persona berfungsi sebagai pendamping naratif (illustrative persona) untuk memudahkan interpretasi segmen, bukan sebagai temuan kuantitatif yang setara dengan variabel terukur dalam analisis klaster.</w:t>
      </w:r>
    </w:p>
    <w:p w:rsidR="00FD4AD9" w:rsidRDefault="00656784" w:rsidP="006D3EAF">
      <w:pPr>
        <w:spacing w:line="480" w:lineRule="auto"/>
        <w:ind w:firstLine="720"/>
        <w:jc w:val="both"/>
      </w:pPr>
      <w:r>
        <w:t xml:space="preserve">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w:t>
      </w:r>
      <w:r>
        <w:lastRenderedPageBreak/>
        <w:t>OpenRouter cloud yang menghasilkan persona lebih kaya secara naratif dibandingkan inferensi lokal.</w:t>
      </w:r>
    </w:p>
    <w:p w:rsidR="00FD4AD9" w:rsidRDefault="00656784" w:rsidP="006D3EAF">
      <w:pPr>
        <w:spacing w:line="480" w:lineRule="auto"/>
        <w:ind w:firstLine="720"/>
        <w:jc w:val="both"/>
      </w:pPr>
      <w:r>
        <w:t>Setiap persona mencakup informasi mengenai asal kecamatan, latar belakang keluarga, motivasi kuliah, aktivitas kampus, dan prospek karir yang diharapkan; atribut tersebut dihasilkan secara generatif oleh LLM dan divalidasi melalui kerangka Expert-in-the-Loop (Sub-bab 3.14), bukan merupakan data terukur dari Tabel 3.1. Secara keseluruhan, penyusunan profil persona menghasilkan 18 profil unik yang tersebar pada tiap periode sesuai dengan jumlah klaster optimal masing-masing, yaitu K=2 (2019), K=3 (2020), K=2 (2021), K=2 (2022), K=5 (2023), dan K=4 (2024).</w:t>
      </w:r>
    </w:p>
    <w:p w:rsidR="00FD4AD9" w:rsidRDefault="00656784" w:rsidP="006D3EAF">
      <w:pPr>
        <w:spacing w:line="480" w:lineRule="auto"/>
        <w:ind w:firstLine="720"/>
        <w:jc w:val="both"/>
      </w:pPr>
      <w:r>
        <w:t>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796056"/>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796057"/>
      <w:r>
        <w:t>4.7.1 Reasoning Tren Kausal Berbasis LLM</w:t>
      </w:r>
      <w:bookmarkEnd w:id="120"/>
    </w:p>
    <w:p w:rsidR="002316A4" w:rsidRPr="006D3EAF" w:rsidRDefault="00C02299">
      <w:pPr>
        <w:spacing w:line="480" w:lineRule="auto"/>
        <w:ind w:firstLine="720"/>
        <w:jc w:val="both"/>
      </w:pPr>
      <w:r>
        <w:lastRenderedPageBreak/>
        <w:t>Sistem otomasi LLM hybrid menghasilkan reasoning kausal melalui cloud engine via proxy lokal OpenRouter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t xml:space="preserve">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w:t>
      </w:r>
      <w:r>
        <w:lastRenderedPageBreak/>
        <w:t>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796058"/>
      <w:r>
        <w:t>4.7.2 Ringkasan Naratif Laporan Otomatis</w:t>
      </w:r>
      <w:bookmarkEnd w:id="121"/>
    </w:p>
    <w:p w:rsidR="002316A4" w:rsidRDefault="00C02299">
      <w:pPr>
        <w:spacing w:line="480" w:lineRule="auto"/>
        <w:ind w:firstLine="720"/>
        <w:jc w:val="both"/>
      </w:pPr>
      <w:r>
        <w:t>Ringkasan eksekutif yang dihasilkan oleh cloud engine via proxy lokal OpenRouter (menggunakan nvidia/minimaxai/minimax-m2.7)</w:t>
      </w:r>
    </w:p>
    <w:p w:rsidR="002316A4" w:rsidRPr="00EB55A7" w:rsidRDefault="00C02299">
      <w:pPr>
        <w:spacing w:line="480" w:lineRule="auto"/>
        <w:ind w:firstLine="720"/>
        <w:jc w:val="both"/>
      </w:pPr>
      <w:r>
        <w:t xml:space="preserve">"Analisis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w:t>
      </w:r>
      <w:r>
        <w:lastRenderedPageBreak/>
        <w:t>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OpenRouter (nvidia/minimaxai/minimax-m2.7) dengan fallback ke Llama 3.2 lokal berbasis profil statistik GMM (2025)</w:t>
      </w:r>
    </w:p>
    <w:p w:rsidR="00953938" w:rsidRPr="00A06A18" w:rsidRDefault="00C02299" w:rsidP="00A06A18">
      <w:pPr>
        <w:pStyle w:val="Judul2"/>
        <w:spacing w:line="480" w:lineRule="auto"/>
        <w:jc w:val="both"/>
      </w:pPr>
      <w:bookmarkStart w:id="122" w:name="_Toc234796059"/>
      <w:r>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(65,1%-33,6%)</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4590735"/>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w:t>
            </w:r>
            <w:r w:rsidRPr="00953938">
              <w:rPr>
                <w:color w:val="000000" w:themeColor="text1"/>
                <w:sz w:val="20"/>
                <w:szCs w:val="20"/>
              </w:rPr>
              <w:lastRenderedPageBreak/>
              <w:t>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4590736"/>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796060"/>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4590737"/>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 xml:space="preserve">Integrasi Kebijakan Kampus: Pakar 1 (Kepala PMB, pengalaman 8+ tahun) menekankan bahwa secara logika data, paparan sistem sudah sesuai, namun implementasinya harus mempertimbangkan "sentimen" dan "kebijakan internal" kampus. Hal ini mengonfirmasi bahwa AI berfungsi sebagai </w:t>
      </w:r>
      <w:r>
        <w:lastRenderedPageBreak/>
        <w:t>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modul forecasting (sub-bab 4.4.1)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 xml:space="preserve">sebagaimana direkomendasikan oleh sistem, dengan tetap mempertimbangkan integrasi </w:t>
      </w:r>
      <w:r w:rsidRPr="000C4B15">
        <w:lastRenderedPageBreak/>
        <w:t>kebijakan insentif (seperti beasiswa) untuk mengoptimalkan potensi pasar di tingkat lokal.</w:t>
      </w:r>
    </w:p>
    <w:p w:rsidR="002316A4" w:rsidRDefault="00C02299">
      <w:pPr>
        <w:pStyle w:val="Judul2"/>
        <w:spacing w:line="480" w:lineRule="auto"/>
      </w:pPr>
      <w:bookmarkStart w:id="128" w:name="_Toc234796061"/>
      <w:r>
        <w:t>4.</w:t>
      </w:r>
      <w:r w:rsidR="00315A07">
        <w:rPr>
          <w:lang w:val="en-US"/>
        </w:rPr>
        <w:t>10</w:t>
      </w:r>
      <w:r>
        <w:t xml:space="preserve"> Pembahasan</w:t>
      </w:r>
      <w:bookmarkEnd w:id="128"/>
    </w:p>
    <w:p w:rsidR="002316A4" w:rsidRDefault="00C02299">
      <w:pPr>
        <w:pStyle w:val="Judul3"/>
        <w:spacing w:line="480" w:lineRule="auto"/>
      </w:pPr>
      <w:bookmarkStart w:id="129" w:name="_Toc234796062"/>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 xml:space="preserve">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w:t>
      </w:r>
      <w:r w:rsidRPr="00FE7A3C">
        <w:rPr>
          <w:i/>
        </w:rPr>
        <w:t>cross</w:t>
      </w:r>
      <w:r w:rsidR="00FE7A3C" w:rsidRPr="00FE7A3C">
        <w:rPr>
          <w:i/>
          <w:lang w:val="en-US"/>
        </w:rPr>
        <w:t xml:space="preserve"> </w:t>
      </w:r>
      <w:r w:rsidRPr="00FE7A3C">
        <w:rPr>
          <w:i/>
        </w:rPr>
        <w:t>prediction</w:t>
      </w:r>
      <w:r>
        <w:t xml:space="preserve">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r>
        <w:t>periode yang tidak dapat diprediksi sepenuhnya dari profil tahun sebelumnya.</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 xml:space="preserve">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w:t>
      </w:r>
      <w:r>
        <w:lastRenderedPageBreak/>
        <w:t>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w:t>
      </w:r>
      <w:r w:rsidR="00FE7A3C" w:rsidRPr="00FE7A3C">
        <w:rPr>
          <w:bCs/>
          <w:color w:val="000000"/>
        </w:rPr>
        <w:t xml:space="preserve"> </w:t>
      </w:r>
      <w:r>
        <w:rPr>
          <w:bCs/>
          <w:color w:val="000000"/>
        </w:rPr>
        <w:t>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w:t>
      </w:r>
      <w:r>
        <w:lastRenderedPageBreak/>
        <w:t>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D075D9" w:rsidRPr="00D075D9">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D075D9" w:rsidRPr="00D075D9">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OpenRouter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 xml:space="preserve">Efektivitas Integrasi Segmentasi Probabilistik dan Ekstraksi Semantik. Penelitian ini secara empiris membuktikan bahwa integrasi antara representasi ruang vektor berdimensi 768 dari model bahasa besar berbahasa Indonesia (IndoBERT) dengan soft clustering probabilistik (GMM) sangat efektif dalam memetakan profil calon mahasiswa secara presisi. Hasil pemodelan Gaussian Mixture Model (GMM) terhadap 2.362 pendaftar menunjukkan bahwa jumlah komponen optimal K tidak bersifat konstan, melainkan ditentukan secara objektif untuk setiap periode berdasarkan kriteria minimum Bayesian Information Criterion (BIC) yang </w:t>
      </w:r>
      <w:r>
        <w:lastRenderedPageBreak/>
        <w:t>divalidasi dengan koefisien silhouette. Sepanjang enam periode penerimaan (2019-2024), nilai K yang optimal bervariasi dalam rentang 2-5, secara berurutan yaitu K=2 (2019), K=3 (2020), K=2 (2021), K=2 (2022), K=5 (2023), dan K=4 (2024). Meskipun ragam K antarperiode tersebut mencerminkan dinamika struktur pendaftar dari waktu ke waktu, kualitas pemisahan antar klaster tetap terjaga dengan nilai posterior probability keanggotaan berkisar 0,91-1,000 secara lintas-periode. Temuan ini mengindikasikan bahwa segmentasi pendaftar ITSNU Pekalongan tidak dapat disederhanakan menjadi profil tunggal yang statis, melainkan terdiri dari sejumlah profil yang bersifat kontekstual terhadap periode penerimaan. Dengan demikian, keragaman jumlah klaster antarperiode merupakan manifestasi dari perubahan komposisi pendaftar, sementara kualitas pemisahan klaster tetap terjaga pada tingkat yang memadai.</w:t>
      </w:r>
    </w:p>
    <w:p w:rsidR="00EE17E4" w:rsidRDefault="00C07CF4" w:rsidP="00EE17E4">
      <w:pPr>
        <w:pStyle w:val="DaftarParagraf"/>
        <w:numPr>
          <w:ilvl w:val="0"/>
          <w:numId w:val="9"/>
        </w:numPr>
        <w:spacing w:line="480" w:lineRule="auto"/>
        <w:jc w:val="both"/>
      </w:pPr>
      <w:r>
        <w:t xml:space="preserve">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w:t>
      </w:r>
      <w:r>
        <w:lastRenderedPageBreak/>
        <w:t>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w:t>
      </w:r>
      <w:r>
        <w:lastRenderedPageBreak/>
        <w:t>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 xml:space="preserve">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w:t>
      </w:r>
      <w:r>
        <w:lastRenderedPageBreak/>
        <w:t>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FE7A3C">
      <w:pPr>
        <w:jc w:val="center"/>
      </w:pPr>
      <w:r>
        <w:rPr>
          <w:noProof/>
        </w:rPr>
        <w:drawing>
          <wp:inline distT="0" distB="0" distL="0" distR="0">
            <wp:extent cx="5303520" cy="37882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1D82" w:rsidRDefault="00621D82">
      <w:r>
        <w:separator/>
      </w:r>
    </w:p>
  </w:endnote>
  <w:endnote w:type="continuationSeparator" w:id="0">
    <w:p w:rsidR="00621D82" w:rsidRDefault="00621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694677" w:rsidRDefault="006946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94677" w:rsidRDefault="006946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677" w:rsidRDefault="00694677" w:rsidP="004667C3">
    <w:pPr>
      <w:pStyle w:val="Footer"/>
    </w:pPr>
  </w:p>
  <w:p w:rsidR="00694677" w:rsidRDefault="006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1D82" w:rsidRDefault="00621D82">
      <w:r>
        <w:separator/>
      </w:r>
    </w:p>
  </w:footnote>
  <w:footnote w:type="continuationSeparator" w:id="0">
    <w:p w:rsidR="00621D82" w:rsidRDefault="00621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B40E0"/>
    <w:rsid w:val="003D08B5"/>
    <w:rsid w:val="003E43F8"/>
    <w:rsid w:val="003F0C54"/>
    <w:rsid w:val="003F1F4A"/>
    <w:rsid w:val="0040100C"/>
    <w:rsid w:val="004203E9"/>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90CF0"/>
    <w:rsid w:val="005B1680"/>
    <w:rsid w:val="005D324D"/>
    <w:rsid w:val="005E222F"/>
    <w:rsid w:val="005E4FE1"/>
    <w:rsid w:val="00602385"/>
    <w:rsid w:val="00621D82"/>
    <w:rsid w:val="00636B0C"/>
    <w:rsid w:val="006531B8"/>
    <w:rsid w:val="00656784"/>
    <w:rsid w:val="00686394"/>
    <w:rsid w:val="00694677"/>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15E1"/>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5D9"/>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A63E5"/>
    <w:rsid w:val="00EB00A3"/>
    <w:rsid w:val="00EB55A7"/>
    <w:rsid w:val="00EE17E4"/>
    <w:rsid w:val="00EE1873"/>
    <w:rsid w:val="00EE2722"/>
    <w:rsid w:val="00EF0234"/>
    <w:rsid w:val="00F16A86"/>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E7A3C"/>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DA84F"/>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6583236">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47386543">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1850456">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03778941">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4442412">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1789085">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69924371">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16640903">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3099222">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86283211">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031743">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58674319">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34005207">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63293666">
      <w:bodyDiv w:val="1"/>
      <w:marLeft w:val="0"/>
      <w:marRight w:val="0"/>
      <w:marTop w:val="0"/>
      <w:marBottom w:val="0"/>
      <w:divBdr>
        <w:top w:val="none" w:sz="0" w:space="0" w:color="auto"/>
        <w:left w:val="none" w:sz="0" w:space="0" w:color="auto"/>
        <w:bottom w:val="none" w:sz="0" w:space="0" w:color="auto"/>
        <w:right w:val="none" w:sz="0" w:space="0" w:color="auto"/>
      </w:divBdr>
    </w:div>
    <w:div w:id="1266108617">
      <w:bodyDiv w:val="1"/>
      <w:marLeft w:val="0"/>
      <w:marRight w:val="0"/>
      <w:marTop w:val="0"/>
      <w:marBottom w:val="0"/>
      <w:divBdr>
        <w:top w:val="none" w:sz="0" w:space="0" w:color="auto"/>
        <w:left w:val="none" w:sz="0" w:space="0" w:color="auto"/>
        <w:bottom w:val="none" w:sz="0" w:space="0" w:color="auto"/>
        <w:right w:val="none" w:sz="0" w:space="0" w:color="auto"/>
      </w:divBdr>
    </w:div>
    <w:div w:id="1266617841">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48407133">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2582285">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2117992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5506217">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426250">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15283832">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29196061">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27654437">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25855"/>
    <w:rsid w:val="001519D7"/>
    <w:rsid w:val="0029167E"/>
    <w:rsid w:val="002E6559"/>
    <w:rsid w:val="0034215E"/>
    <w:rsid w:val="00382E13"/>
    <w:rsid w:val="00386617"/>
    <w:rsid w:val="00391915"/>
    <w:rsid w:val="00455AD9"/>
    <w:rsid w:val="004E6847"/>
    <w:rsid w:val="00532588"/>
    <w:rsid w:val="00551650"/>
    <w:rsid w:val="005F50E0"/>
    <w:rsid w:val="00616FCF"/>
    <w:rsid w:val="0069447F"/>
    <w:rsid w:val="006F42A4"/>
    <w:rsid w:val="0072589F"/>
    <w:rsid w:val="007C2CCD"/>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780215435"/>
    <we:property name="MENDELEY_CITATIONS" value="[{&quot;citationID&quot;:&quot;MENDELEY_CITATION_ffc2b001-416c-4543-9e62-2b2bfbec5507&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quot;,&quot;citationItems&quot;:[{&quot;id&quot;:&quot;c8674d83-ca35-3800-a02c-4a605520407b&quot;,&quot;itemData&quot;:{&quot;type&quot;:&quot;article-journal&quot;,&quot;id&quot;:&quot;c8674d83-ca35-3800-a02c-4a605520407b&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1]]},&quot;abstract&quot;:&quot;The Covid-19 pandemic caused by the novel coronavirus SARS-CoV-2 has completely reshaped the lives of people around the world, including higher education students. Beyond serious health consequences for a proportion of those directly affected by the virus, the pandemic holds important implications for the life and work of higher education students, considerably affecting their physical and mental well-being. To capture how students perceived the first wave of the pandemic's impact, one of the most comprehensive and large-scale online surveys across the world was conducted. Carried out between 5 May 2020 and 15 June 2020, the survey came at a time when most countries were experiencing the arduous lockdown restrictions. The online questionnaire was prepared in seven different languages (English, Italian, North Macedonian, Portuguese, Romanian, Spanish, Turkish) and covered various aspects of higher education students’ life, including socio-demographic and academic characteristics, academic life, infrastructure and skills for studying from home, social life, emotional life and life circumstances. Using the convenience sampling method, the online questionnaire was distributed to higher education students aged 18 and over and enrolled in a higher education institution. The final dataset consisted of 31,212 responses from 133 countries and 6 continents. The relationships between selected socio-demographic characteristics and elements of student life were tested by using a chi-squared test. The data may prove useful for researchers studying the pandemic's impacts on various aspects of student life. Policymakers can utilize the data to determine the best solutions as they formulate policy recommendations and strategies to support students during this and any future pandemic.&quot;,&quot;publisher&quot;:&quot;Elsevier Inc.&quot;,&quot;volume&quot;:&quot;39&quot;},&quot;isTemporary&quot;:false}]},{&quot;citationID&quot;:&quot;MENDELEY_CITATION_dadc8a61-aedd-4b91-966f-547a578e3d3c&quot;,&quot;properties&quot;:{&quot;noteIndex&quot;:0},&quot;isEdited&quot;:false,&quot;manualOverride&quot;:{&quot;isManuallyOverridden&quot;:false,&quot;citeprocText&quot;:&quot;(Tuyishimire et al. 2022)&quot;,&quot;manualOverrideText&quot;:&quot;&quot;},&quot;citationTag&quot;:&quot;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true,&quot;citeprocText&quot;:&quot;(Cristóbal Romero 2000)&quot;,&quot;manualOverrideText&quot;:&quot;(Romero &amp; Ventura, 2010)&quot;},&quot;citationTag&quot;:&quot;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true,&quot;citeprocText&quot;:&quot;(Devlin et al. n.d.)&quot;,&quot;manualOverrideText&quot;:&quot;(Devlin et al., 2019)&quot;},&quot;citationTag&quot;:&quot;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2)&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DB8C6-7149-7C40-9BD0-CC824A46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131</Pages>
  <Words>39454</Words>
  <Characters>224893</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87</cp:revision>
  <dcterms:created xsi:type="dcterms:W3CDTF">2026-05-10T00:43:00Z</dcterms:created>
  <dcterms:modified xsi:type="dcterms:W3CDTF">2026-07-15T14:19:00Z</dcterms:modified>
</cp:coreProperties>
</file>