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rFonts w:ascii="Cambria" w:cs="Cambria" w:eastAsia="Cambria" w:hAnsi="Cambria"/>
          <w:b/>
          <w:bCs/>
          <w:color w:val="0F3460"/>
          <w:sz w:val="34"/>
          <w:szCs w:val="34"/>
        </w:rPr>
        <w:t xml:space="preserve">SKRIP &amp; STORYBOARD VIDEO PRESENTASI</w:t>
      </w:r>
    </w:p>
    <w:p>
      <w:pPr>
        <w:spacing w:after="40"/>
      </w:pPr>
      <w:r>
        <w:rPr>
          <w:rFonts w:ascii="Calibri" w:cs="Calibri" w:eastAsia="Calibri" w:hAnsi="Calibri"/>
          <w:i/>
          <w:iCs/>
          <w:color w:val="16909C"/>
          <w:sz w:val="24"/>
          <w:szCs w:val="24"/>
        </w:rPr>
        <w:t xml:space="preserve">Workshop 2 · Innovation Thesis Summit (INTIS)</w:t>
      </w:r>
    </w:p>
    <w:p>
      <w:pPr>
        <w:spacing w:after="200"/>
      </w:pPr>
      <w:r>
        <w:rPr>
          <w:rFonts w:ascii="Calibri" w:cs="Calibri" w:eastAsia="Calibri" w:hAnsi="Calibri"/>
          <w:color w:val="5B6672"/>
          <w:sz w:val="20"/>
          <w:szCs w:val="20"/>
        </w:rPr>
        <w:t xml:space="preserve">Strategi Segmentasi Probabilistik Calon Mahasiswa Menggunakan Gaussian Mixture Model dan Otomasi Analisis Large Language Model untuk Optimalisasi Rekrutmen di ITSNU Pekalongan — Mujibul Hakim, NIM 25.01.85.7010</w:t>
      </w:r>
    </w:p>
    <w:p>
      <w:pPr>
        <w:spacing w:after="80" w:before="160"/>
      </w:pPr>
      <w:r>
        <w:rPr>
          <w:rFonts w:ascii="Calibri" w:cs="Calibri" w:eastAsia="Calibri" w:hAnsi="Calibri"/>
          <w:b/>
          <w:bCs/>
          <w:color w:val="16909C"/>
          <w:sz w:val="24"/>
          <w:szCs w:val="24"/>
        </w:rPr>
        <w:t xml:space="preserve">Catatan Penggunaan</w:t>
      </w:r>
    </w:p>
    <w:p>
      <w:pPr>
        <w:pStyle w:val="ListParagraph"/>
        <w:numPr>
          <w:ilvl w:val="0"/>
          <w:numId w:val="1"/>
        </w:numPr>
        <w:spacing w:after="80" w:line="280"/>
      </w:pPr>
      <w:r>
        <w:rPr>
          <w:rFonts w:ascii="Calibri" w:cs="Calibri" w:eastAsia="Calibri" w:hAnsi="Calibri"/>
          <w:sz w:val="22"/>
          <w:szCs w:val="22"/>
        </w:rPr>
        <w:t xml:space="preserve">Estimasi total durasi: ± 9 menit 40 detik. Panduan tesis tidak mencantumkan batas durasi baku — sesuaikan dengan arahan Dosen Pembimbing/panitia WS2 jika ada ketentuan tambahan.</w:t>
      </w:r>
    </w:p>
    <w:p>
      <w:pPr>
        <w:pStyle w:val="ListParagraph"/>
        <w:numPr>
          <w:ilvl w:val="0"/>
          <w:numId w:val="1"/>
        </w:numPr>
        <w:spacing w:after="80" w:line="280"/>
      </w:pPr>
      <w:r>
        <w:rPr>
          <w:rFonts w:ascii="Calibri" w:cs="Calibri" w:eastAsia="Calibri" w:hAnsi="Calibri"/>
          <w:sz w:val="22"/>
          <w:szCs w:val="22"/>
        </w:rPr>
        <w:t xml:space="preserve">Rekam dalam mode layar-berbagi (screen share) dari file WS2_Presentasi.pptx, dengan webcam presenter di pojok kanan bawah (picture-in-picture) bila software mendukung (OBS Studio, Zoom, PowerPoint Presenter Cam).</w:t>
      </w:r>
    </w:p>
    <w:p>
      <w:pPr>
        <w:pStyle w:val="ListParagraph"/>
        <w:numPr>
          <w:ilvl w:val="0"/>
          <w:numId w:val="1"/>
        </w:numPr>
        <w:spacing w:after="80" w:line="280"/>
      </w:pPr>
      <w:r>
        <w:rPr>
          <w:rFonts w:ascii="Calibri" w:cs="Calibri" w:eastAsia="Calibri" w:hAnsi="Calibri"/>
          <w:sz w:val="22"/>
          <w:szCs w:val="22"/>
        </w:rPr>
        <w:t xml:space="preserve">Naskah narasi bersifat panduan, bukan hafalan kata per kata — sampaikan dengan gaya bicara natural, boleh diringkas selama poin data kunci tetap disebutkan.</w:t>
      </w:r>
    </w:p>
    <w:p>
      <w:pPr>
        <w:pStyle w:val="ListParagraph"/>
        <w:numPr>
          <w:ilvl w:val="0"/>
          <w:numId w:val="1"/>
        </w:numPr>
        <w:spacing w:after="80" w:line="280"/>
      </w:pPr>
      <w:r>
        <w:rPr>
          <w:rFonts w:ascii="Calibri" w:cs="Calibri" w:eastAsia="Calibri" w:hAnsi="Calibri"/>
          <w:sz w:val="22"/>
          <w:szCs w:val="22"/>
        </w:rPr>
        <w:t xml:space="preserve">Beri jeda singkat (1 detik) setiap kali menyebutkan angka/statistik penting agar penonton sempat mencerna.</w:t>
      </w:r>
    </w:p>
    <w:p>
      <w:pPr>
        <w:pStyle w:val="ListParagraph"/>
        <w:numPr>
          <w:ilvl w:val="0"/>
          <w:numId w:val="1"/>
        </w:numPr>
        <w:spacing w:after="80" w:line="280"/>
      </w:pPr>
      <w:r>
        <w:rPr>
          <w:rFonts w:ascii="Calibri" w:cs="Calibri" w:eastAsia="Calibri" w:hAnsi="Calibri"/>
          <w:sz w:val="22"/>
          <w:szCs w:val="22"/>
        </w:rPr>
        <w:t xml:space="preserve">Gunakan pencahayaan menghadap wajah, audio jernih (headset/mic eksternal disarankan), dan latar belakang rapi/netral.</w:t>
      </w:r>
    </w:p>
    <w:p>
      <w:pPr>
        <w:pStyle w:val="ListParagraph"/>
        <w:numPr>
          <w:ilvl w:val="0"/>
          <w:numId w:val="1"/>
        </w:numPr>
        <w:spacing w:after="80" w:line="280"/>
      </w:pPr>
      <w:r>
        <w:rPr>
          <w:rFonts w:ascii="Calibri" w:cs="Calibri" w:eastAsia="Calibri" w:hAnsi="Calibri"/>
          <w:sz w:val="22"/>
          <w:szCs w:val="22"/>
        </w:rPr>
        <w:t xml:space="preserve">Setelah rekaman jadi, tonton ulang sekali penuh untuk memastikan audio-visual sinkron dan tidak ada narasi yang terpotong.</w:t>
      </w:r>
    </w:p>
    <w:p>
      <w:r>
        <w:br w:type="page"/>
      </w:r>
    </w:p>
    <w:p>
      <w:pPr>
        <w:spacing w:after="80" w:before="160"/>
      </w:pPr>
      <w:r>
        <w:rPr>
          <w:rFonts w:ascii="Calibri" w:cs="Calibri" w:eastAsia="Calibri" w:hAnsi="Calibri"/>
          <w:b/>
          <w:bCs/>
          <w:color w:val="16909C"/>
          <w:sz w:val="24"/>
          <w:szCs w:val="24"/>
        </w:rPr>
        <w:t xml:space="preserve">Storyboard Lengkap (17 Adegan)</w:t>
      </w:r>
    </w:p>
    <w:tbl>
      <w:tblPr>
        <w:tblW w:type="dxa" w:w="15300"/>
        <w:tblBorders>
          <w:top w:val="single" w:color="E5E7EB" w:sz="4"/>
          <w:left w:val="single" w:color="E5E7EB" w:sz="4"/>
          <w:bottom w:val="single" w:color="E5E7EB" w:sz="4"/>
          <w:right w:val="single" w:color="E5E7EB" w:sz="4"/>
          <w:insideH w:val="single" w:color="E5E7EB" w:sz="4"/>
          <w:insideV w:val="single" w:color="E5E7EB" w:sz="4"/>
        </w:tblBorders>
      </w:tblPr>
      <w:tblGrid>
        <w:gridCol w:w="500"/>
        <w:gridCol w:w="1900"/>
        <w:gridCol w:w="1000"/>
        <w:gridCol w:w="3800"/>
        <w:gridCol w:w="8100"/>
      </w:tblGrid>
      <w:tr>
        <w:trPr>
          <w:tblHeader/>
        </w:trPr>
        <w:tc>
          <w:tcPr>
            <w:tcW w:type="dxa" w:w="500"/>
            <w:shd w:fill="0F3460"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No</w:t>
            </w:r>
          </w:p>
        </w:tc>
        <w:tc>
          <w:tcPr>
            <w:tcW w:type="dxa" w:w="1900"/>
            <w:shd w:fill="0F3460"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Slide / Adegan</w:t>
            </w:r>
          </w:p>
        </w:tc>
        <w:tc>
          <w:tcPr>
            <w:tcW w:type="dxa" w:w="1000"/>
            <w:shd w:fill="0F3460"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Durasi</w:t>
            </w:r>
          </w:p>
        </w:tc>
        <w:tc>
          <w:tcPr>
            <w:tcW w:type="dxa" w:w="3800"/>
            <w:shd w:fill="0F3460"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Visual di Layar</w:t>
            </w:r>
          </w:p>
        </w:tc>
        <w:tc>
          <w:tcPr>
            <w:tcW w:type="dxa" w:w="8100"/>
            <w:shd w:fill="0F3460" w:color="auto" w:val="clear"/>
            <w:tcMar>
              <w:top w:type="dxa" w:w="100"/>
              <w:left w:type="dxa" w:w="120"/>
              <w:bottom w:type="dxa" w:w="100"/>
              <w:right w:type="dxa" w:w="120"/>
            </w:tcMar>
            <w:vAlign w:val="center"/>
          </w:tcPr>
          <w:p>
            <w:r>
              <w:rPr>
                <w:rFonts w:ascii="Calibri" w:cs="Calibri" w:eastAsia="Calibri" w:hAnsi="Calibri"/>
                <w:b/>
                <w:bCs/>
                <w:color w:val="FFFFFF"/>
                <w:sz w:val="19"/>
                <w:szCs w:val="19"/>
              </w:rPr>
              <w:t xml:space="preserve">Naskah Narasi (Voice Over)</w:t>
            </w:r>
          </w:p>
        </w:tc>
      </w:tr>
      <w:tr>
        <w:tc>
          <w:tcPr>
            <w:tcW w:type="dxa" w:w="500"/>
            <w:shd w:fill="FFFFFF"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1</w:t>
            </w:r>
          </w:p>
        </w:tc>
        <w:tc>
          <w:tcPr>
            <w:tcW w:type="dxa" w:w="19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Pembuka / Judul</w:t>
            </w:r>
          </w:p>
        </w:tc>
        <w:tc>
          <w:tcPr>
            <w:tcW w:type="dxa" w:w="10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0:00–0:20</w:t>
            </w:r>
          </w:p>
        </w:tc>
        <w:tc>
          <w:tcPr>
            <w:tcW w:type="dxa" w:w="3800"/>
            <w:shd w:fill="FFFFFF"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1 (Judul) tampil penuh layar. Wajah presenter muncul di pojok (opsional, picture-in-picture).</w:t>
            </w:r>
          </w:p>
        </w:tc>
        <w:tc>
          <w:tcPr>
            <w:tcW w:type="dxa" w:w="8100"/>
            <w:shd w:fill="FFFFFF"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Assalamu'alaikum warahmatullahi wabarakatuh. Selamat pagi/siang, saya Mujibul Hakim, mahasiswa Magister Teknologi Informasi UNISBANK Semarang. Pada kesempatan ini saya akan memaparkan hasil penelitian tesis saya yang berjudul Strategi Segmentasi Probabilistik Calon Mahasiswa Menggunakan Gaussian Mixture Model dan Otomasi Analisis Large Language Model untuk Optimalisasi Rekrutmen di ITSNU Pekalongan.</w:t>
            </w:r>
          </w:p>
        </w:tc>
      </w:tr>
      <w:tr>
        <w:tc>
          <w:tcPr>
            <w:tcW w:type="dxa" w:w="500"/>
            <w:shd w:fill="F4F7FA"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2</w:t>
            </w:r>
          </w:p>
        </w:tc>
        <w:tc>
          <w:tcPr>
            <w:tcW w:type="dxa" w:w="1900"/>
            <w:shd w:fill="F4F7FA"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Latar Belakang</w:t>
            </w:r>
          </w:p>
        </w:tc>
        <w:tc>
          <w:tcPr>
            <w:tcW w:type="dxa" w:w="1000"/>
            <w:shd w:fill="F4F7FA"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0:20–1:00</w:t>
            </w:r>
          </w:p>
        </w:tc>
        <w:tc>
          <w:tcPr>
            <w:tcW w:type="dxa" w:w="3800"/>
            <w:shd w:fill="F4F7FA"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2. Tunjuk/highlight angka 146 → 680 → 503 saat disebut.</w:t>
            </w:r>
          </w:p>
        </w:tc>
        <w:tc>
          <w:tcPr>
            <w:tcW w:type="dxa" w:w="8100"/>
            <w:shd w:fill="F4F7FA"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Penelitian ini berangkat dari fenomena rekrutmen mahasiswa baru ITSNU Pekalongan yang sangat fluktuatif — dari 146 pendaftar di 2019, melonjak hingga puncak 680 di 2023, lalu terkoreksi ke 503 di 2024. Selama ini strategi rekrutmen cenderung memperlakukan calon mahasiswa sebagai populasi yang homogen, padahal data menunjukkan pergeseran struktural antar periode. Data teks pendaftaran seperti esai dan motivasi pun belum dimanfaatkan sebagai sinyal segmentasi.</w:t>
            </w:r>
          </w:p>
        </w:tc>
      </w:tr>
      <w:tr>
        <w:tc>
          <w:tcPr>
            <w:tcW w:type="dxa" w:w="500"/>
            <w:shd w:fill="FFFFFF"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3</w:t>
            </w:r>
          </w:p>
        </w:tc>
        <w:tc>
          <w:tcPr>
            <w:tcW w:type="dxa" w:w="19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Rumusan Masalah &amp; Tujuan</w:t>
            </w:r>
          </w:p>
        </w:tc>
        <w:tc>
          <w:tcPr>
            <w:tcW w:type="dxa" w:w="10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1:00–1:35</w:t>
            </w:r>
          </w:p>
        </w:tc>
        <w:tc>
          <w:tcPr>
            <w:tcW w:type="dxa" w:w="3800"/>
            <w:shd w:fill="FFFFFF"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3. Dua kolom rumusan masalah (kiri) dan tujuan (kanan) — arahkan pandangan sesuai urutan baca.</w:t>
            </w:r>
          </w:p>
        </w:tc>
        <w:tc>
          <w:tcPr>
            <w:tcW w:type="dxa" w:w="8100"/>
            <w:shd w:fill="FFFFFF"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Dari situ saya merumuskan tiga pertanyaan penelitian: bagaimana pola segmentasi dapat diidentifikasi secara konsisten, bagaimana stabilitas segmen berubah antar fase pandemi, dan bagaimana otomasi LLM dapat menerjemahkan hasil klaster menjadi strategi yang aplikatif. Tiga pertanyaan ini menjadi dasar tiga tujuan utama penelitian: membangun pipeline IndoBERT plus GMM, mengukur stabilitas antar periode, dan mengembangkan Hybrid Cognitive Pipeline untuk otomasi reasoning.</w:t>
            </w:r>
          </w:p>
        </w:tc>
      </w:tr>
      <w:tr>
        <w:tc>
          <w:tcPr>
            <w:tcW w:type="dxa" w:w="500"/>
            <w:shd w:fill="F4F7FA"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4</w:t>
            </w:r>
          </w:p>
        </w:tc>
        <w:tc>
          <w:tcPr>
            <w:tcW w:type="dxa" w:w="1900"/>
            <w:shd w:fill="F4F7FA"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Kerangka Konseptual</w:t>
            </w:r>
          </w:p>
        </w:tc>
        <w:tc>
          <w:tcPr>
            <w:tcW w:type="dxa" w:w="1000"/>
            <w:shd w:fill="F4F7FA"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1:35–2:15</w:t>
            </w:r>
          </w:p>
        </w:tc>
        <w:tc>
          <w:tcPr>
            <w:tcW w:type="dxa" w:w="3800"/>
            <w:shd w:fill="F4F7FA"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4. Ikuti alur pipeline dari kiri ke kanan sambil menjelaskan setiap tahap.</w:t>
            </w:r>
          </w:p>
        </w:tc>
        <w:tc>
          <w:tcPr>
            <w:tcW w:type="dxa" w:w="8100"/>
            <w:shd w:fill="F4F7FA"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Secara konseptual, penelitian ini membangun Hybrid Cognitive Pipeline — dimulai dari data teks pendaftar, diekstrak menjadi representasi semantik lewat IndoBERT, direduksi dimensinya dengan PCA, dikelompokkan secara probabilistik dengan GMM, lalu hasilnya diproses lebih lanjut oleh dua model LLM: model lokal untuk menjaga privasi data, dan model cloud untuk reasoning strategis — hingga akhirnya menghasilkan rekomendasi strategi rekrutmen.</w:t>
            </w:r>
          </w:p>
        </w:tc>
      </w:tr>
      <w:tr>
        <w:tc>
          <w:tcPr>
            <w:tcW w:type="dxa" w:w="500"/>
            <w:shd w:fill="FFFFFF"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5</w:t>
            </w:r>
          </w:p>
        </w:tc>
        <w:tc>
          <w:tcPr>
            <w:tcW w:type="dxa" w:w="19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Metodologi CRISP-DM</w:t>
            </w:r>
          </w:p>
        </w:tc>
        <w:tc>
          <w:tcPr>
            <w:tcW w:type="dxa" w:w="10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2:15–2:50</w:t>
            </w:r>
          </w:p>
        </w:tc>
        <w:tc>
          <w:tcPr>
            <w:tcW w:type="dxa" w:w="3800"/>
            <w:shd w:fill="FFFFFF"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5. Grid 10 tahap — sorot baris demi baris secara singkat.</w:t>
            </w:r>
          </w:p>
        </w:tc>
        <w:tc>
          <w:tcPr>
            <w:tcW w:type="dxa" w:w="8100"/>
            <w:shd w:fill="FFFFFF"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Metodologi yang digunakan adalah CRISP-DM adaptif time series, saya adaptasi menjadi sepuluh tahap: mulai dari business understanding, pengumpulan dan pemahaman data, data preparation terotomasi untuk enam periode, reduksi dimensi, pemodelan GMM per periode, analisis time series, evaluasi multi level, otomasi analisis LLM, hingga tahap deployment strategi prediktif.</w:t>
            </w:r>
          </w:p>
        </w:tc>
      </w:tr>
      <w:tr>
        <w:tc>
          <w:tcPr>
            <w:tcW w:type="dxa" w:w="500"/>
            <w:shd w:fill="F4F7FA"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6</w:t>
            </w:r>
          </w:p>
        </w:tc>
        <w:tc>
          <w:tcPr>
            <w:tcW w:type="dxa" w:w="1900"/>
            <w:shd w:fill="F4F7FA"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Dataset Overview</w:t>
            </w:r>
          </w:p>
        </w:tc>
        <w:tc>
          <w:tcPr>
            <w:tcW w:type="dxa" w:w="1000"/>
            <w:shd w:fill="F4F7FA"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2:50–3:25</w:t>
            </w:r>
          </w:p>
        </w:tc>
        <w:tc>
          <w:tcPr>
            <w:tcW w:type="dxa" w:w="3800"/>
            <w:shd w:fill="F4F7FA"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6. Grafik batang — jeda sejenak di batang tahun 2023 (tertinggi).</w:t>
            </w:r>
          </w:p>
        </w:tc>
        <w:tc>
          <w:tcPr>
            <w:tcW w:type="dxa" w:w="8100"/>
            <w:shd w:fill="F4F7FA"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Dataset penelitian mencakup dua ribu tiga ratus enam puluh dua data pendaftar tervalidasi selama enam periode akademik, 2019 hingga 2024. Terlihat jelas tiga fase: pre-COVID yang stabil, COVID crisis yang justru menunjukkan lonjakan tak terduga, dan fase recovery dengan puncak di 2023 sebelum terkoreksi normal di 2024.</w:t>
            </w:r>
          </w:p>
        </w:tc>
      </w:tr>
      <w:tr>
        <w:tc>
          <w:tcPr>
            <w:tcW w:type="dxa" w:w="500"/>
            <w:shd w:fill="FFFFFF"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7</w:t>
            </w:r>
          </w:p>
        </w:tc>
        <w:tc>
          <w:tcPr>
            <w:tcW w:type="dxa" w:w="19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Program Studi Dominan</w:t>
            </w:r>
          </w:p>
        </w:tc>
        <w:tc>
          <w:tcPr>
            <w:tcW w:type="dxa" w:w="10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3:25–3:50</w:t>
            </w:r>
          </w:p>
        </w:tc>
        <w:tc>
          <w:tcPr>
            <w:tcW w:type="dxa" w:w="3800"/>
            <w:shd w:fill="FFFFFF"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7. Grafik batang horizontal — sorot dua batang teratas.</w:t>
            </w:r>
          </w:p>
        </w:tc>
        <w:tc>
          <w:tcPr>
            <w:tcW w:type="dxa" w:w="8100"/>
            <w:shd w:fill="FFFFFF"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Dari sisi program studi, Sarjana Informatika dan Sarjana Teknologi Informasi mendominasi hampir 60 persen dari seluruh pendaftar — mencerminkan tingginya minat calon mahasiswa terhadap bidang teknologi di kawasan Pekalongan yang tengah bertransformasi digital.</w:t>
            </w:r>
          </w:p>
        </w:tc>
      </w:tr>
      <w:tr>
        <w:tc>
          <w:tcPr>
            <w:tcW w:type="dxa" w:w="500"/>
            <w:shd w:fill="F4F7FA"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8</w:t>
            </w:r>
          </w:p>
        </w:tc>
        <w:tc>
          <w:tcPr>
            <w:tcW w:type="dxa" w:w="1900"/>
            <w:shd w:fill="F4F7FA"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Hasil K-Scan GMM</w:t>
            </w:r>
          </w:p>
        </w:tc>
        <w:tc>
          <w:tcPr>
            <w:tcW w:type="dxa" w:w="1000"/>
            <w:shd w:fill="F4F7FA"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3:50–4:30</w:t>
            </w:r>
          </w:p>
        </w:tc>
        <w:tc>
          <w:tcPr>
            <w:tcW w:type="dxa" w:w="3800"/>
            <w:shd w:fill="F4F7FA"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8. Tabel — arahkan pandangan ke kolom K Optimal secara berurutan per tahun.</w:t>
            </w:r>
          </w:p>
        </w:tc>
        <w:tc>
          <w:tcPr>
            <w:tcW w:type="dxa" w:w="8100"/>
            <w:shd w:fill="F4F7FA"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Masuk ke hasil penelitian. Pada tahap K-scan, saya menemukan bahwa jumlah klaster optimal ternyata tidak seragam — bervariasi dari dua hingga lima klaster tergantung periode. Ini artinya kompleksitas struktur segmen berubah-ubah mengikuti dinamika fase COVID crisis dan recovery, bukan sesuatu yang bisa diasumsikan tetap.</w:t>
            </w:r>
          </w:p>
        </w:tc>
      </w:tr>
      <w:tr>
        <w:tc>
          <w:tcPr>
            <w:tcW w:type="dxa" w:w="500"/>
            <w:shd w:fill="FFFFFF"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9</w:t>
            </w:r>
          </w:p>
        </w:tc>
        <w:tc>
          <w:tcPr>
            <w:tcW w:type="dxa" w:w="19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Stabilitas Time Series</w:t>
            </w:r>
          </w:p>
        </w:tc>
        <w:tc>
          <w:tcPr>
            <w:tcW w:type="dxa" w:w="10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4:30–5:05</w:t>
            </w:r>
          </w:p>
        </w:tc>
        <w:tc>
          <w:tcPr>
            <w:tcW w:type="dxa" w:w="3800"/>
            <w:shd w:fill="FFFFFF"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9. Empat stat card — beri jeda 1 detik di tiap angka besar.</w:t>
            </w:r>
          </w:p>
        </w:tc>
        <w:tc>
          <w:tcPr>
            <w:tcW w:type="dxa" w:w="8100"/>
            <w:shd w:fill="FFFFFF"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Temuan yang lebih menarik muncul dari analisis stabilitas antar waktu: empat dari lima transisi periode terbukti sebagai structural break, dengan nilai ARI di bawah 0,30. Artinya, struktur segmen pendaftar benar-benar berubah signifikan dari tahun ke tahun, tanpa pola konvergensi yang jelas.</w:t>
            </w:r>
          </w:p>
        </w:tc>
      </w:tr>
      <w:tr>
        <w:tc>
          <w:tcPr>
            <w:tcW w:type="dxa" w:w="500"/>
            <w:shd w:fill="F4F7FA"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10</w:t>
            </w:r>
          </w:p>
        </w:tc>
        <w:tc>
          <w:tcPr>
            <w:tcW w:type="dxa" w:w="1900"/>
            <w:shd w:fill="F4F7FA"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GMM vs K-Means</w:t>
            </w:r>
          </w:p>
        </w:tc>
        <w:tc>
          <w:tcPr>
            <w:tcW w:type="dxa" w:w="1000"/>
            <w:shd w:fill="F4F7FA"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5:05–5:45</w:t>
            </w:r>
          </w:p>
        </w:tc>
        <w:tc>
          <w:tcPr>
            <w:tcW w:type="dxa" w:w="3800"/>
            <w:shd w:fill="F4F7FA"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10. Tabel komparasi — tunjuk baris Soft Clustering dan Proyeksi Segmen 2025 sebagai penekanan.</w:t>
            </w:r>
          </w:p>
        </w:tc>
        <w:tc>
          <w:tcPr>
            <w:tcW w:type="dxa" w:w="8100"/>
            <w:shd w:fill="F4F7FA"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Lalu mengapa saya memilih GMM dibanding K-Means? Secara metrik konvensional, K-Means memang unggul. Namun GMM punya tiga keunggulan yang tidak dimiliki K-Means: kemampuan soft clustering lewat posterior probability, menjadi basis reasoning kausal untuk LLM, dan mampu mendukung proyeksi segmen untuk tahun 2025 — yaitu 592 pendaftar.</w:t>
            </w:r>
          </w:p>
        </w:tc>
      </w:tr>
      <w:tr>
        <w:tc>
          <w:tcPr>
            <w:tcW w:type="dxa" w:w="500"/>
            <w:shd w:fill="FFFFFF"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11</w:t>
            </w:r>
          </w:p>
        </w:tc>
        <w:tc>
          <w:tcPr>
            <w:tcW w:type="dxa" w:w="19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Profil Klaster Lifecycle</w:t>
            </w:r>
          </w:p>
        </w:tc>
        <w:tc>
          <w:tcPr>
            <w:tcW w:type="dxa" w:w="10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5:45–6:30</w:t>
            </w:r>
          </w:p>
        </w:tc>
        <w:tc>
          <w:tcPr>
            <w:tcW w:type="dxa" w:w="3800"/>
            <w:shd w:fill="FFFFFF"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11. Tiga kartu fase — jelaskan satu per satu dari kiri ke kanan.</w:t>
            </w:r>
          </w:p>
        </w:tc>
        <w:tc>
          <w:tcPr>
            <w:tcW w:type="dxa" w:w="8100"/>
            <w:shd w:fill="FFFFFF"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Kalau kita lihat evolusinya, pada fase pre-COVID profil pendaftar sangat homogen. Pada fase COVID crisis, terjadi lonjakan tak terduga yang saya duga terkait pergeseran tenaga kerja industri batik dan manufaktur Pekalongan ke jalur pendidikan tinggi. Sementara fase recovery menunjukkan struktur segmen paling kompleks, dengan momentum pertumbuhan tertinggi pada profil vokasi dan literasi digital.</w:t>
            </w:r>
          </w:p>
        </w:tc>
      </w:tr>
      <w:tr>
        <w:tc>
          <w:tcPr>
            <w:tcW w:type="dxa" w:w="500"/>
            <w:shd w:fill="F4F7FA"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12</w:t>
            </w:r>
          </w:p>
        </w:tc>
        <w:tc>
          <w:tcPr>
            <w:tcW w:type="dxa" w:w="1900"/>
            <w:shd w:fill="F4F7FA"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Otomasi LLM Hybrid</w:t>
            </w:r>
          </w:p>
        </w:tc>
        <w:tc>
          <w:tcPr>
            <w:tcW w:type="dxa" w:w="1000"/>
            <w:shd w:fill="F4F7FA"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6:30–7:10</w:t>
            </w:r>
          </w:p>
        </w:tc>
        <w:tc>
          <w:tcPr>
            <w:tcW w:type="dxa" w:w="3800"/>
            <w:shd w:fill="F4F7FA"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12. Dua kolom — model lokal (kiri) lalu model cloud (kanan).</w:t>
            </w:r>
          </w:p>
        </w:tc>
        <w:tc>
          <w:tcPr>
            <w:tcW w:type="dxa" w:w="8100"/>
            <w:shd w:fill="F4F7FA"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Untuk menerjemahkan angka-angka ini menjadi narasi yang bisa dipahami tim manajemen, saya membangun Hybrid Cognitive Pipeline: model lokal Llama 3.2 memproses data mentah secara on-premise demi menjaga privasi, sementara hanya statistik klaster yang sudah teragregasi dikirim ke model cloud melalui proxy OpenRouter untuk menghasilkan reasoning strategis dan narasi otomatis.</w:t>
            </w:r>
          </w:p>
        </w:tc>
      </w:tr>
      <w:tr>
        <w:tc>
          <w:tcPr>
            <w:tcW w:type="dxa" w:w="500"/>
            <w:shd w:fill="FFFFFF"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13</w:t>
            </w:r>
          </w:p>
        </w:tc>
        <w:tc>
          <w:tcPr>
            <w:tcW w:type="dxa" w:w="19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Strategi Rekrutmen Prediktif</w:t>
            </w:r>
          </w:p>
        </w:tc>
        <w:tc>
          <w:tcPr>
            <w:tcW w:type="dxa" w:w="10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7:10–7:45</w:t>
            </w:r>
          </w:p>
        </w:tc>
        <w:tc>
          <w:tcPr>
            <w:tcW w:type="dxa" w:w="3800"/>
            <w:shd w:fill="FFFFFF"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13. Tiga stat card — sorot angka 592 lalu dua rekomendasi channel.</w:t>
            </w:r>
          </w:p>
        </w:tc>
        <w:tc>
          <w:tcPr>
            <w:tcW w:type="dxa" w:w="8100"/>
            <w:shd w:fill="FFFFFF"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Hasil akhirnya adalah rekomendasi strategi rekrutmen prediktif: proyeksi 592 pendaftar untuk 2025, dengan diferensiasi channel — Instagram dan TikTok untuk segmen IT, serta jalur bimbingan konseling untuk segmen lainnya. Rekomendasi ini terbukti selaras dengan pola perilaku klaster yang ditemukan GMM.</w:t>
            </w:r>
          </w:p>
        </w:tc>
      </w:tr>
      <w:tr>
        <w:tc>
          <w:tcPr>
            <w:tcW w:type="dxa" w:w="500"/>
            <w:shd w:fill="F4F7FA"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14</w:t>
            </w:r>
          </w:p>
        </w:tc>
        <w:tc>
          <w:tcPr>
            <w:tcW w:type="dxa" w:w="1900"/>
            <w:shd w:fill="F4F7FA"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Validasi Pakar</w:t>
            </w:r>
          </w:p>
        </w:tc>
        <w:tc>
          <w:tcPr>
            <w:tcW w:type="dxa" w:w="1000"/>
            <w:shd w:fill="F4F7FA"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7:45–8:10</w:t>
            </w:r>
          </w:p>
        </w:tc>
        <w:tc>
          <w:tcPr>
            <w:tcW w:type="dxa" w:w="3800"/>
            <w:shd w:fill="F4F7FA"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14. Teks penuh — tunjuk skor validasi.</w:t>
            </w:r>
          </w:p>
        </w:tc>
        <w:tc>
          <w:tcPr>
            <w:tcW w:type="dxa" w:w="8100"/>
            <w:shd w:fill="F4F7FA"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Untuk memastikan kegunaan praktisnya, hasil sistem ini divalidasi oleh pakar di bidang manajemen rekrutmen dan data science, dan mendapatkan skor rata-rata 4,0 dari 5 — menunjukkan relevansi dan akurasi rekomendasi yang dihasilkan.</w:t>
            </w:r>
          </w:p>
        </w:tc>
      </w:tr>
      <w:tr>
        <w:tc>
          <w:tcPr>
            <w:tcW w:type="dxa" w:w="500"/>
            <w:shd w:fill="FFFFFF"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15</w:t>
            </w:r>
          </w:p>
        </w:tc>
        <w:tc>
          <w:tcPr>
            <w:tcW w:type="dxa" w:w="19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Kesimpulan</w:t>
            </w:r>
          </w:p>
        </w:tc>
        <w:tc>
          <w:tcPr>
            <w:tcW w:type="dxa" w:w="10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8:10–8:50</w:t>
            </w:r>
          </w:p>
        </w:tc>
        <w:tc>
          <w:tcPr>
            <w:tcW w:type="dxa" w:w="3800"/>
            <w:shd w:fill="FFFFFF"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15. Tiga poin bernomor — beri jeda singkat antar poin.</w:t>
            </w:r>
          </w:p>
        </w:tc>
        <w:tc>
          <w:tcPr>
            <w:tcW w:type="dxa" w:w="8100"/>
            <w:shd w:fill="FFFFFF"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Sebagai kesimpulan, penelitian ini menghasilkan tiga temuan utama: pertama, integrasi IndoBERT dan GMM terbukti efektif dengan K=2 konsisten di seluruh enam periode. Kedua, struktur segmen ternyata tidak stabil antar periode, sehingga strategi rekrutmen perlu disusun adaptif. Ketiga, Hybrid Cognitive Pipeline terbukti aplikatif dalam menjembatani analisis teknis dengan strategi rekrutmen nyata.</w:t>
            </w:r>
          </w:p>
        </w:tc>
      </w:tr>
      <w:tr>
        <w:tc>
          <w:tcPr>
            <w:tcW w:type="dxa" w:w="500"/>
            <w:shd w:fill="F4F7FA"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16</w:t>
            </w:r>
          </w:p>
        </w:tc>
        <w:tc>
          <w:tcPr>
            <w:tcW w:type="dxa" w:w="1900"/>
            <w:shd w:fill="F4F7FA"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Saran</w:t>
            </w:r>
          </w:p>
        </w:tc>
        <w:tc>
          <w:tcPr>
            <w:tcW w:type="dxa" w:w="1000"/>
            <w:shd w:fill="F4F7FA"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8:50–9:20</w:t>
            </w:r>
          </w:p>
        </w:tc>
        <w:tc>
          <w:tcPr>
            <w:tcW w:type="dxa" w:w="3800"/>
            <w:shd w:fill="F4F7FA"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16. Dua kolom — praktis (kiri) lalu akademis (kanan).</w:t>
            </w:r>
          </w:p>
        </w:tc>
        <w:tc>
          <w:tcPr>
            <w:tcW w:type="dxa" w:w="8100"/>
            <w:shd w:fill="F4F7FA"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Saya juga mengajukan beberapa saran: bagi manajemen ITSNU Pekalongan, agar mengoperasionalkan proyeksi klaster 2025 sebagai basis anggaran promosi. Sementara bagi penelitian lanjutan, saya menyarankan eksplorasi Dirichlet Process Mixture Model serta fine-tuning small language model on-premise untuk mengurangi ketergantungan pada API cloud.</w:t>
            </w:r>
          </w:p>
        </w:tc>
      </w:tr>
      <w:tr>
        <w:tc>
          <w:tcPr>
            <w:tcW w:type="dxa" w:w="500"/>
            <w:shd w:fill="FFFFFF" w:color="auto" w:val="clear"/>
            <w:tcMar>
              <w:top w:type="dxa" w:w="100"/>
              <w:left w:type="dxa" w:w="120"/>
              <w:bottom w:type="dxa" w:w="100"/>
              <w:right w:type="dxa" w:w="120"/>
            </w:tcMar>
            <w:vAlign w:val="center"/>
          </w:tcPr>
          <w:p>
            <w:pPr>
              <w:spacing w:line="260"/>
            </w:pPr>
            <w:r>
              <w:rPr>
                <w:rFonts w:ascii="Calibri" w:cs="Calibri" w:eastAsia="Calibri" w:hAnsi="Calibri"/>
                <w:b/>
                <w:bCs/>
                <w:sz w:val="19"/>
                <w:szCs w:val="19"/>
              </w:rPr>
              <w:t xml:space="preserve">17</w:t>
            </w:r>
          </w:p>
        </w:tc>
        <w:tc>
          <w:tcPr>
            <w:tcW w:type="dxa" w:w="19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0F3460"/>
                <w:sz w:val="19"/>
                <w:szCs w:val="19"/>
              </w:rPr>
              <w:t xml:space="preserve">Penutup</w:t>
            </w:r>
          </w:p>
        </w:tc>
        <w:tc>
          <w:tcPr>
            <w:tcW w:type="dxa" w:w="1000"/>
            <w:shd w:fill="FFFFFF" w:color="auto" w:val="clear"/>
            <w:tcMar>
              <w:top w:type="dxa" w:w="100"/>
              <w:left w:type="dxa" w:w="120"/>
              <w:bottom w:type="dxa" w:w="100"/>
              <w:right w:type="dxa" w:w="120"/>
            </w:tcMar>
            <w:vAlign w:val="center"/>
          </w:tcPr>
          <w:p>
            <w:pPr>
              <w:spacing w:line="260"/>
            </w:pPr>
            <w:r>
              <w:rPr>
                <w:rFonts w:ascii="Calibri" w:cs="Calibri" w:eastAsia="Calibri" w:hAnsi="Calibri"/>
                <w:b/>
                <w:bCs/>
                <w:color w:val="16909C"/>
                <w:sz w:val="19"/>
                <w:szCs w:val="19"/>
              </w:rPr>
              <w:t xml:space="preserve">9:20–9:40</w:t>
            </w:r>
          </w:p>
        </w:tc>
        <w:tc>
          <w:tcPr>
            <w:tcW w:type="dxa" w:w="3800"/>
            <w:shd w:fill="FFFFFF" w:color="auto" w:val="clear"/>
            <w:tcMar>
              <w:top w:type="dxa" w:w="100"/>
              <w:left w:type="dxa" w:w="120"/>
              <w:bottom w:type="dxa" w:w="100"/>
              <w:right w:type="dxa" w:w="120"/>
            </w:tcMar>
            <w:vAlign w:val="center"/>
          </w:tcPr>
          <w:p>
            <w:pPr>
              <w:spacing w:line="260"/>
            </w:pPr>
            <w:r>
              <w:rPr>
                <w:rFonts w:ascii="Calibri" w:cs="Calibri" w:eastAsia="Calibri" w:hAnsi="Calibri"/>
                <w:i/>
                <w:iCs/>
                <w:color w:val="5B6672"/>
                <w:sz w:val="19"/>
                <w:szCs w:val="19"/>
              </w:rPr>
              <w:t xml:space="preserve">Slide 17 (Terima Kasih). Kembali ke wajah presenter penuh layar.</w:t>
            </w:r>
          </w:p>
        </w:tc>
        <w:tc>
          <w:tcPr>
            <w:tcW w:type="dxa" w:w="8100"/>
            <w:shd w:fill="FFFFFF" w:color="auto" w:val="clear"/>
            <w:tcMar>
              <w:top w:type="dxa" w:w="100"/>
              <w:left w:type="dxa" w:w="120"/>
              <w:bottom w:type="dxa" w:w="100"/>
              <w:right w:type="dxa" w:w="120"/>
            </w:tcMar>
            <w:vAlign w:val="center"/>
          </w:tcPr>
          <w:p>
            <w:pPr>
              <w:spacing w:line="260"/>
            </w:pPr>
            <w:r>
              <w:rPr>
                <w:rFonts w:ascii="Calibri" w:cs="Calibri" w:eastAsia="Calibri" w:hAnsi="Calibri"/>
                <w:sz w:val="19"/>
                <w:szCs w:val="19"/>
              </w:rPr>
              <w:t xml:space="preserve">Demikian pemaparan hasil penelitian saya. Terima kasih atas perhatian Bapak/Ibu Tim Reviewer, dan saya sangat terbuka menerima masukan untuk penyempurnaan penelitian ini. Wassalamu'alaikum warahmatullahi wabarakatuh.</w:t>
            </w:r>
          </w:p>
        </w:tc>
      </w:tr>
    </w:tbl>
    <w:sectPr>
      <w:pgSz w:w="16838" w:h="11906"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2026-07-15T04:21:26.825Z</dcterms:created>
  <dcterms:modified xsi:type="dcterms:W3CDTF">2026-07-15T04:21:26.825Z</dcterms:modified>
</cp:coreProperties>
</file>

<file path=docProps/custom.xml><?xml version="1.0" encoding="utf-8"?>
<Properties xmlns="http://schemas.openxmlformats.org/officeDocument/2006/custom-properties" xmlns:vt="http://schemas.openxmlformats.org/officeDocument/2006/docPropsVTypes"/>
</file>