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bookmarkStart w:id="0" w:name="_GoBack"/>
      <w:r>
        <w:rPr>
          <w:noProof/>
        </w:rPr>
        <w:drawing>
          <wp:inline distT="0" distB="0" distL="0" distR="0">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bookmarkEnd w:id="0"/>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31233</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2316A4" w:rsidRPr="00192854" w:rsidRDefault="00C02299" w:rsidP="00192854">
      <w:pPr>
        <w:jc w:val="center"/>
        <w:sectPr w:rsidR="002316A4" w:rsidRPr="00192854">
          <w:pgSz w:w="11906" w:h="16838"/>
          <w:pgMar w:top="2268" w:right="1701" w:bottom="1701" w:left="2268" w:header="720" w:footer="720" w:gutter="0"/>
          <w:cols w:space="720"/>
          <w:titlePg/>
        </w:sectPr>
      </w:pPr>
      <w:r w:rsidRPr="00192854">
        <w:t>2026</w:t>
      </w:r>
    </w:p>
    <w:sectPr>
      <w:type w:val="nextPage"/>
      <w:pgSz w:w="11906" w:h="16838"/>
      <w:pgMar w:top="2268" w:bottom="1701" w:left="2268" w:right="1701"/>
      <w:titlePg/>
    </w:sectPr>
    <w:p>
      <w:pPr>
        <w:spacing w:line="240" w:lineRule="auto" w:before="2400"/>
        <w:jc w:val="center"/>
      </w:pPr>
      <w:r>
        <w:rPr>
          <w:rFonts w:ascii="Times New Roman" w:hAnsi="Times New Roman"/>
          <w:b w:val="0"/>
          <w:sz w:val="24"/>
        </w:rPr>
      </w:r>
    </w:p>
    <w:p>
      <w:pPr>
        <w:spacing w:line="240" w:lineRule="auto"/>
        <w:jc w:val="center"/>
      </w:pPr>
      <w:r>
        <w:rPr>
          <w:rFonts w:ascii="Times New Roman" w:hAnsi="Times New Roman"/>
          <w:b/>
          <w:sz w:val="28"/>
        </w:rPr>
        <w:t>HALAMAN PERSETUJUAN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STRATEGI SEGMENTASI PROBABILISTIK CALON MAHASISWA MENGGUNAKAN GAUSSIAN MIXTURE MODEL DAN OTOMASI ANALISIS LARGE LANGUAGE MODEL UNTUK OPTIMALISASI REKRUTMEN DI ITSNU PEKALONGAN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TESIS</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val="0"/>
          <w:sz w:val="24"/>
        </w:rPr>
        <w:t>Mujibul Hakim</w:t>
      </w:r>
    </w:p>
    <w:p>
      <w:pPr>
        <w:spacing w:line="240" w:lineRule="auto"/>
        <w:jc w:val="center"/>
      </w:pPr>
      <w:r>
        <w:rPr>
          <w:rFonts w:ascii="Times New Roman" w:hAnsi="Times New Roman"/>
          <w:b w:val="0"/>
          <w:sz w:val="24"/>
        </w:rPr>
        <w:t>25.01.85.7010</w:t>
      </w:r>
    </w:p>
    <w:p>
      <w:pPr>
        <w:spacing w:line="240" w:lineRule="auto"/>
        <w:jc w:val="center"/>
      </w:pPr>
      <w:r>
        <w:rPr>
          <w:rFonts w:ascii="Times New Roman" w:hAnsi="Times New Roman"/>
          <w:b w:val="0"/>
          <w:sz w:val="24"/>
        </w:rPr>
        <w:t>31233</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Pembimbing</w:t>
      </w:r>
    </w:p>
    <w:p>
      <w:pPr>
        <w:spacing w:line="240" w:lineRule="auto"/>
        <w:jc w:val="both"/>
      </w:pPr>
      <w:r>
        <w:t>Dr. Drs. Eri Zuliarso, M.Kom., MCF</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Mengetahui</w:t>
      </w:r>
    </w:p>
    <w:p>
      <w:pPr>
        <w:spacing w:line="240" w:lineRule="auto"/>
        <w:jc w:val="left"/>
      </w:pPr>
      <w:r>
        <w:rPr>
          <w:rFonts w:ascii="Times New Roman" w:hAnsi="Times New Roman"/>
          <w:b w:val="0"/>
          <w:sz w:val="24"/>
        </w:rPr>
        <w:t>Ketua Program Studi</w:t>
      </w:r>
    </w:p>
    <w:p>
      <w:pPr>
        <w:spacing w:line="240" w:lineRule="auto"/>
        <w:jc w:val="left"/>
      </w:pPr>
      <w:r>
        <w:rPr>
          <w:rFonts w:ascii="Times New Roman" w:hAnsi="Times New Roman"/>
          <w:b w:val="0"/>
          <w:sz w:val="24"/>
        </w:rPr>
        <w:t>S2 Teknologi Informasi</w:t>
      </w:r>
    </w:p>
    <w:p>
      <w:pPr>
        <w:spacing w:line="240" w:lineRule="auto"/>
        <w:jc w:val="both"/>
      </w:pPr>
      <w:r>
        <w:t>Dr. Eka Ardhianto, S.Kom., M.Cs., MTA.</w:t>
      </w:r>
    </w:p>
    <w:p>
      <w:pPr/>
      <w:r>
        <w:br/>
      </w:r>
    </w:p>
    <w:p>
      <w:pPr>
        <w:spacing w:line="240" w:lineRule="auto" w:before="1200"/>
        <w:jc w:val="center"/>
      </w:pPr>
      <w:r>
        <w:rPr>
          <w:rFonts w:ascii="Times New Roman" w:hAnsi="Times New Roman"/>
          <w:b w:val="0"/>
          <w:sz w:val="24"/>
        </w:rPr>
      </w:r>
    </w:p>
    <w:p>
      <w:pPr>
        <w:spacing w:line="240" w:lineRule="auto"/>
        <w:jc w:val="center"/>
      </w:pPr>
      <w:r>
        <w:rPr>
          <w:rFonts w:ascii="Times New Roman" w:hAnsi="Times New Roman"/>
          <w:b/>
          <w:sz w:val="28"/>
        </w:rPr>
        <w:t>HALAMAN PENGESAHAN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STRATEGI SEGMENTASI PROBABILISTIK CALON MAHASISWA MENGGUNAKAN GAUSSIAN MIXTURE MODEL DAN OTOMASI ANALISIS LARGE LANGUAGE MODEL UNTUK OPTIMALISASI REKRUTMEN DI ITSNU PEKALONGAN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TESIS</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Ditulis oleh</w:t>
      </w:r>
    </w:p>
    <w:p>
      <w:pPr>
        <w:spacing w:line="240" w:lineRule="auto"/>
        <w:jc w:val="left"/>
      </w:pPr>
      <w:r>
        <w:rPr>
          <w:rFonts w:ascii="Times New Roman" w:hAnsi="Times New Roman"/>
          <w:b w:val="0"/>
          <w:sz w:val="24"/>
        </w:rPr>
        <w:t>Mujibul Hakim</w:t>
      </w:r>
    </w:p>
    <w:p>
      <w:pPr>
        <w:spacing w:line="240" w:lineRule="auto"/>
        <w:jc w:val="left"/>
      </w:pPr>
      <w:r>
        <w:rPr>
          <w:rFonts w:ascii="Times New Roman" w:hAnsi="Times New Roman"/>
          <w:b w:val="0"/>
          <w:sz w:val="24"/>
        </w:rPr>
        <w:t>25.01.85.7010</w:t>
      </w:r>
    </w:p>
    <w:p>
      <w:pPr>
        <w:spacing w:line="240" w:lineRule="auto"/>
        <w:jc w:val="center"/>
      </w:pPr>
      <w:r>
        <w:rPr>
          <w:rFonts w:ascii="Times New Roman" w:hAnsi="Times New Roman"/>
          <w:b w:val="0"/>
          <w:sz w:val="24"/>
        </w:rPr>
      </w:r>
    </w:p>
    <w:p>
      <w:pPr>
        <w:spacing w:line="240" w:lineRule="auto"/>
        <w:jc w:val="both"/>
      </w:pPr>
      <w:r>
        <w:rPr>
          <w:rFonts w:ascii="Times New Roman" w:hAnsi="Times New Roman"/>
          <w:b w:val="0"/>
          <w:sz w:val="24"/>
        </w:rPr>
        <w:t>Telah dipertahankan di depan dewan penguji Tesis dan dinyatakan diterima sebagai salah satu persyaratan untuk memperoleh gelar Magister Komputer (M.Kom.)</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Semarang, ................</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Ketua Penguji</w:t>
      </w:r>
    </w:p>
    <w:p>
      <w:pPr>
        <w:spacing w:line="240" w:lineRule="auto"/>
        <w:jc w:val="left"/>
      </w:pPr>
      <w:r>
        <w:rPr>
          <w:rFonts w:ascii="Times New Roman" w:hAnsi="Times New Roman"/>
          <w:b w:val="0"/>
          <w:sz w:val="24"/>
        </w:rPr>
        <w:t>Anggota Penguji 1</w:t>
      </w:r>
    </w:p>
    <w:p>
      <w:pPr>
        <w:spacing w:line="240" w:lineRule="auto"/>
        <w:jc w:val="left"/>
      </w:pPr>
      <w:r>
        <w:rPr>
          <w:rFonts w:ascii="Times New Roman" w:hAnsi="Times New Roman"/>
          <w:b w:val="0"/>
          <w:sz w:val="24"/>
        </w:rPr>
        <w:t>Anggota Penguji 2</w:t>
      </w:r>
    </w:p>
    <w:p>
      <w:pPr>
        <w:spacing w:line="240" w:lineRule="auto"/>
        <w:jc w:val="center"/>
      </w:pPr>
      <w:r>
        <w:rPr>
          <w:rFonts w:ascii="Times New Roman" w:hAnsi="Times New Roman"/>
          <w:b w:val="0"/>
          <w:sz w:val="24"/>
        </w:rPr>
      </w:r>
    </w:p>
    <w:p>
      <w:pPr>
        <w:spacing w:line="240" w:lineRule="auto"/>
        <w:jc w:val="left"/>
      </w:pPr>
      <w:r>
        <w:rPr>
          <w:rFonts w:ascii="Times New Roman" w:hAnsi="Times New Roman"/>
          <w:b w:val="0"/>
          <w:sz w:val="24"/>
        </w:rPr>
        <w:t>Mengetahui</w:t>
      </w:r>
    </w:p>
    <w:p>
      <w:pPr>
        <w:spacing w:line="240" w:lineRule="auto"/>
        <w:jc w:val="left"/>
      </w:pPr>
      <w:r>
        <w:rPr>
          <w:rFonts w:ascii="Times New Roman" w:hAnsi="Times New Roman"/>
          <w:b w:val="0"/>
          <w:sz w:val="24"/>
        </w:rPr>
        <w:t>Ketua Program Studi</w:t>
      </w:r>
    </w:p>
    <w:p>
      <w:pPr>
        <w:spacing w:line="240" w:lineRule="auto"/>
        <w:jc w:val="left"/>
      </w:pPr>
      <w:r>
        <w:rPr>
          <w:rFonts w:ascii="Times New Roman" w:hAnsi="Times New Roman"/>
          <w:b w:val="0"/>
          <w:sz w:val="24"/>
        </w:rPr>
        <w:t>S2 Teknologi Informasi</w:t>
      </w:r>
    </w:p>
    <w:p>
      <w:pPr>
        <w:spacing w:line="240" w:lineRule="auto"/>
        <w:jc w:val="both"/>
      </w:pPr>
      <w:r>
        <w:t>Dr. Eka Ardhianto, S.Kom., M.Cs., MTA.</w:t>
      </w:r>
    </w:p>
    <w:p>
      <w:pPr/>
      <w:r>
        <w:br/>
      </w:r>
    </w:p>
    <w:p>
      <w:pPr>
        <w:spacing w:line="240" w:lineRule="auto" w:before="1200"/>
        <w:jc w:val="center"/>
      </w:pPr>
      <w:r>
        <w:rPr>
          <w:rFonts w:ascii="Times New Roman" w:hAnsi="Times New Roman"/>
          <w:b w:val="0"/>
          <w:sz w:val="24"/>
        </w:rPr>
      </w:r>
    </w:p>
    <w:p>
      <w:pPr>
        <w:spacing w:line="240" w:lineRule="auto"/>
        <w:jc w:val="center"/>
      </w:pPr>
      <w:r>
        <w:rPr>
          <w:rFonts w:ascii="Times New Roman" w:hAnsi="Times New Roman"/>
          <w:b/>
          <w:sz w:val="28"/>
        </w:rPr>
        <w:t>SURAT PERNYATAAN KEASLIAN TESIS</w:t>
      </w:r>
    </w:p>
    <w:p>
      <w:pPr>
        <w:spacing w:line="240" w:lineRule="auto"/>
        <w:jc w:val="center"/>
      </w:pPr>
      <w:r>
        <w:rPr>
          <w:rFonts w:ascii="Times New Roman" w:hAnsi="Times New Roman"/>
          <w:b w:val="0"/>
          <w:sz w:val="24"/>
        </w:rPr>
      </w:r>
    </w:p>
    <w:p>
      <w:pPr>
        <w:spacing w:line="240" w:lineRule="auto"/>
        <w:jc w:val="both"/>
      </w:pPr>
      <w:r>
        <w:rPr>
          <w:rFonts w:ascii="Times New Roman" w:hAnsi="Times New Roman"/>
          <w:b w:val="0"/>
          <w:sz w:val="24"/>
        </w:rPr>
        <w:t>Yang bertanda tangan di bawah ini, saya menyatakan bahwa Tesis dengan judul</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STRATEGI SEGMENTASI PROBABILISTIK CALON MAHASISWA MENGGUNAKAN GAUSSIAN MIXTURE MODEL DAN OTOMASI ANALISIS LARGE LANGUAGE MODEL UNTUK OPTIMALISASI REKRUTMEN DI ITSNU PEKALONGAN</w:t>
      </w:r>
    </w:p>
    <w:p>
      <w:pPr>
        <w:spacing w:line="240" w:lineRule="auto"/>
        <w:jc w:val="center"/>
      </w:pPr>
      <w:r>
        <w:rPr>
          <w:rFonts w:ascii="Times New Roman" w:hAnsi="Times New Roman"/>
          <w:b w:val="0"/>
          <w:sz w:val="24"/>
        </w:rPr>
      </w:r>
    </w:p>
    <w:p>
      <w:pPr>
        <w:spacing w:line="240" w:lineRule="auto"/>
        <w:jc w:val="both"/>
      </w:pPr>
      <w:r>
        <w:rPr>
          <w:rFonts w:ascii="Times New Roman" w:hAnsi="Times New Roman"/>
          <w:b w:val="0"/>
          <w:sz w:val="24"/>
        </w:rPr>
        <w:t>Yang telah diuji di depan dewan penguji Tesis pada tanggal ................, dinyatakan benar-benar hasil karya saya sendiri. Saya tidak melakukan penjiplakan dengan cara-cara yang tidak sesuai dengan etika yang berlaku dalam masyarakat keilmuan.</w:t>
      </w:r>
    </w:p>
    <w:p>
      <w:pPr>
        <w:spacing w:line="240" w:lineRule="auto"/>
        <w:jc w:val="center"/>
      </w:pPr>
      <w:r>
        <w:rPr>
          <w:rFonts w:ascii="Times New Roman" w:hAnsi="Times New Roman"/>
          <w:b w:val="0"/>
          <w:sz w:val="24"/>
        </w:rPr>
      </w:r>
    </w:p>
    <w:p>
      <w:pPr>
        <w:spacing w:line="240" w:lineRule="auto"/>
        <w:jc w:val="both"/>
      </w:pPr>
      <w:r>
        <w:rPr>
          <w:rFonts w:ascii="Times New Roman" w:hAnsi="Times New Roman"/>
          <w:b w:val="0"/>
          <w:sz w:val="24"/>
        </w:rPr>
        <w:t>Apabila di kemudian hari ditemukan adanya pelanggaran terhadap etika keilmuan dalam karya tulis ini, saya bersedia menerima sanksi akademis sesuai dengan peraturan yang berlaku.</w:t>
      </w:r>
    </w:p>
    <w:p>
      <w:pPr>
        <w:spacing w:line="240" w:lineRule="auto" w:before="1200"/>
        <w:jc w:val="center"/>
      </w:pPr>
      <w:r>
        <w:rPr>
          <w:rFonts w:ascii="Times New Roman" w:hAnsi="Times New Roman"/>
          <w:b w:val="0"/>
          <w:sz w:val="24"/>
        </w:rPr>
      </w:r>
    </w:p>
    <w:p>
      <w:pPr>
        <w:spacing w:line="240" w:lineRule="auto"/>
        <w:jc w:val="right"/>
      </w:pPr>
      <w:r>
        <w:rPr>
          <w:rFonts w:ascii="Times New Roman" w:hAnsi="Times New Roman"/>
          <w:b w:val="0"/>
          <w:sz w:val="24"/>
        </w:rPr>
        <w:t>Semarang, ................</w:t>
      </w:r>
    </w:p>
    <w:p>
      <w:pPr>
        <w:spacing w:line="240" w:lineRule="auto"/>
        <w:jc w:val="center"/>
      </w:pPr>
      <w:r>
        <w:rPr>
          <w:rFonts w:ascii="Times New Roman" w:hAnsi="Times New Roman"/>
          <w:b w:val="0"/>
          <w:sz w:val="24"/>
        </w:rPr>
      </w:r>
    </w:p>
    <w:p>
      <w:pPr>
        <w:spacing w:line="240" w:lineRule="auto"/>
        <w:jc w:val="right"/>
      </w:pPr>
      <w:r>
        <w:rPr>
          <w:rFonts w:ascii="Times New Roman" w:hAnsi="Times New Roman"/>
          <w:b w:val="0"/>
          <w:sz w:val="24"/>
        </w:rPr>
        <w:t>Yang Membuat Pernyataan</w:t>
      </w:r>
    </w:p>
    <w:p>
      <w:pPr>
        <w:spacing w:line="240" w:lineRule="auto" w:before="1200"/>
        <w:jc w:val="center"/>
      </w:pPr>
      <w:r>
        <w:rPr>
          <w:rFonts w:ascii="Times New Roman" w:hAnsi="Times New Roman"/>
          <w:b w:val="0"/>
          <w:sz w:val="24"/>
        </w:rPr>
      </w:r>
    </w:p>
    <w:p>
      <w:pPr>
        <w:spacing w:line="240" w:lineRule="auto"/>
        <w:jc w:val="right"/>
      </w:pPr>
      <w:r>
        <w:rPr>
          <w:rFonts w:ascii="Times New Roman" w:hAnsi="Times New Roman"/>
          <w:b w:val="0"/>
          <w:sz w:val="24"/>
        </w:rPr>
        <w:t>Materai 10.000</w:t>
      </w:r>
    </w:p>
    <w:p>
      <w:pPr>
        <w:spacing w:line="240" w:lineRule="auto"/>
        <w:jc w:val="center"/>
      </w:pPr>
      <w:r>
        <w:rPr>
          <w:rFonts w:ascii="Times New Roman" w:hAnsi="Times New Roman"/>
          <w:b w:val="0"/>
          <w:sz w:val="24"/>
        </w:rPr>
      </w:r>
    </w:p>
    <w:p>
      <w:pPr>
        <w:spacing w:line="240" w:lineRule="auto"/>
        <w:jc w:val="right"/>
      </w:pPr>
      <w:r>
        <w:rPr>
          <w:rFonts w:ascii="Times New Roman" w:hAnsi="Times New Roman"/>
          <w:b/>
          <w:sz w:val="24"/>
        </w:rPr>
        <w:t>Mujibul Hakim</w:t>
      </w:r>
    </w:p>
    <w:p>
      <w:pPr>
        <w:spacing w:line="240" w:lineRule="auto"/>
        <w:jc w:val="right"/>
      </w:pPr>
      <w:r>
        <w:rPr>
          <w:rFonts w:ascii="Times New Roman" w:hAnsi="Times New Roman"/>
          <w:b w:val="0"/>
          <w:sz w:val="24"/>
        </w:rPr>
        <w:t>25.01.85.7010</w:t>
      </w:r>
    </w:p>
    <w:p>
      <w:pPr/>
      <w:r>
        <w:br/>
      </w:r>
    </w:p>
    <w:p>
      <w:pPr>
        <w:spacing w:line="240" w:lineRule="auto" w:before="1200"/>
        <w:jc w:val="center"/>
      </w:pPr>
      <w:r>
        <w:rPr>
          <w:rFonts w:ascii="Times New Roman" w:hAnsi="Times New Roman"/>
          <w:b w:val="0"/>
          <w:sz w:val="24"/>
        </w:rPr>
      </w:r>
    </w:p>
    <w:p>
      <w:pPr>
        <w:spacing w:line="240" w:lineRule="auto"/>
        <w:jc w:val="center"/>
      </w:pPr>
      <w:r>
        <w:rPr>
          <w:rFonts w:ascii="Times New Roman" w:hAnsi="Times New Roman"/>
          <w:b/>
          <w:sz w:val="28"/>
        </w:rPr>
        <w:t>KATA PENGANTAR</w:t>
      </w:r>
    </w:p>
    <w:p>
      <w:pPr>
        <w:spacing w:line="240" w:lineRule="auto"/>
        <w:jc w:val="center"/>
      </w:pPr>
      <w:r/>
    </w:p>
    <w:p>
      <w:pPr>
        <w:spacing w:line="240" w:lineRule="auto"/>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pPr>
        <w:spacing w:line="240" w:lineRule="auto"/>
        <w:jc w:val="both"/>
      </w:pPr>
      <w:r/>
    </w:p>
    <w:p>
      <w:pPr>
        <w:spacing w:line="240" w:lineRule="auto"/>
        <w:jc w:val="both"/>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p>
    <w:p>
      <w:pPr>
        <w:spacing w:line="240" w:lineRule="auto"/>
        <w:jc w:val="both"/>
      </w:pPr>
      <w:r/>
    </w:p>
    <w:p>
      <w:pPr>
        <w:spacing w:line="240" w:lineRule="auto"/>
        <w:jc w:val="both"/>
      </w:pPr>
      <w:r>
        <w:t>1.</w:t>
        <w:tab/>
        <w:t>Dr. Drs. Eri Zuliarso, M.Kom., MCF, selaku Dekan Fakultas Fakultas Teknologi Informasi dan Industri Universitas Universitas Stikubank (UNISBANK) dan Dosen Pembimbing Tesis yang telah memberikan bimbingan, arahan, dan motivasi kepada penulis.</w:t>
      </w:r>
    </w:p>
    <w:p>
      <w:pPr>
        <w:spacing w:line="240" w:lineRule="auto"/>
        <w:jc w:val="both"/>
      </w:pPr>
      <w:r>
        <w:t>2.</w:t>
        <w:tab/>
        <w:t>Dr. Eka Ardhianto, S.Kom., M.Cs., MTA., selaku Ketua Program Studi Magister Teknologi Informasi Universitas Universitas Stikubank (UNISBANK).</w:t>
      </w:r>
    </w:p>
    <w:p>
      <w:pPr>
        <w:spacing w:line="240" w:lineRule="auto"/>
        <w:jc w:val="both"/>
      </w:pPr>
      <w:r>
        <w:t>3.</w:t>
        <w:tab/>
        <w:t>Dr. Kristiawan Nugroho, M.Kom., selaku Dosen Penguji Tesis yang telah memberikan masukan kepada penulis.</w:t>
      </w:r>
    </w:p>
    <w:p>
      <w:pPr>
        <w:spacing w:line="240" w:lineRule="auto"/>
        <w:jc w:val="both"/>
      </w:pPr>
      <w:r>
        <w:t>4.</w:t>
        <w:tab/>
        <w:t>Seluruh dosen Program Studi Magister Teknologi Informasi Universitas Universitas Stikubank (UNISBANK) yang telah membekali penulis dengan ilmu pengetahuan selama masa studi.</w:t>
      </w:r>
    </w:p>
    <w:p>
      <w:pPr>
        <w:spacing w:line="240" w:lineRule="auto"/>
        <w:jc w:val="both"/>
      </w:pPr>
      <w:r>
        <w:t>5.</w:t>
        <w:tab/>
        <w:t>Kedua orang tua tercinta, keluarga besar, dan sahabat yang senantiasa memberikan doa, dorongan, kasih sayang, serta semangat yang tiada henti.</w:t>
      </w:r>
    </w:p>
    <w:p>
      <w:pPr>
        <w:spacing w:line="240" w:lineRule="auto"/>
        <w:jc w:val="both"/>
      </w:pPr>
      <w:r>
        <w:t>6.</w:t>
        <w:tab/>
        <w:t>Semua pihak yang telah membantu baik secara langsung maupun tidak langsung hingga tersusunnya tesis ini.</w:t>
      </w:r>
    </w:p>
    <w:p>
      <w:pPr>
        <w:spacing w:line="240" w:lineRule="auto"/>
        <w:jc w:val="both"/>
      </w:pPr>
      <w:r/>
    </w:p>
    <w:p>
      <w:pPr>
        <w:spacing w:line="240" w:lineRule="auto"/>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analisis sentimen dan kecerdasan buatan.</w:t>
      </w:r>
    </w:p>
    <w:p>
      <w:pPr>
        <w:spacing w:line="240" w:lineRule="auto"/>
        <w:jc w:val="both"/>
      </w:pPr>
      <w:r/>
    </w:p>
    <w:p>
      <w:pPr>
        <w:spacing w:line="240" w:lineRule="auto" w:before="1200"/>
        <w:jc w:val="center"/>
      </w:pPr>
      <w:r>
        <w:t>Semarang, 10 Juli 2026</w:t>
      </w:r>
    </w:p>
    <w:p>
      <w:pPr>
        <w:spacing w:line="240" w:lineRule="auto"/>
        <w:jc w:val="right"/>
      </w:pPr>
      <w:r/>
    </w:p>
    <w:p>
      <w:pPr>
        <w:spacing w:line="240" w:lineRule="auto"/>
        <w:jc w:val="center"/>
      </w:pPr>
      <w:r/>
    </w:p>
    <w:p>
      <w:pPr>
        <w:spacing w:line="240" w:lineRule="auto"/>
        <w:jc w:val="right"/>
      </w:pPr>
      <w:r/>
    </w:p>
    <w:p>
      <w:pPr>
        <w:spacing w:line="240" w:lineRule="auto" w:before="1200"/>
        <w:jc w:val="center"/>
      </w:pPr>
      <w:r/>
    </w:p>
    <w:p>
      <w:pPr>
        <w:spacing w:line="240" w:lineRule="auto"/>
        <w:jc w:val="right"/>
      </w:pPr>
      <w:r/>
    </w:p>
    <w:p>
      <w:pPr/>
      <w:r/>
    </w:p>
    <w:p>
      <w:pPr>
        <w:spacing w:line="240" w:lineRule="auto" w:before="1200"/>
        <w:jc w:val="center"/>
      </w:pPr>
      <w:r/>
    </w:p>
    <w:p>
      <w:pPr>
        <w:spacing w:line="240" w:lineRule="auto"/>
        <w:jc w:val="center"/>
      </w:pPr>
      <w:r>
        <w:rPr>
          <w:rFonts w:ascii="Times New Roman" w:hAnsi="Times New Roman"/>
          <w:b/>
          <w:sz w:val="28"/>
        </w:rPr>
        <w:t>DAFTAR ISI</w:t>
      </w:r>
    </w:p>
    <w:p>
      <w:pPr>
        <w:spacing w:line="240" w:lineRule="auto"/>
        <w:jc w:val="center"/>
      </w:pPr>
      <w:r/>
    </w:p>
    <w:p>
      <w:pPr>
        <w:spacing w:line="240" w:lineRule="auto"/>
        <w:jc w:val="center"/>
      </w:pPr>
      <w:r/>
    </w:p>
    <w:p>
      <w:pPr/>
      <w:r/>
    </w:p>
    <w:p>
      <w:pPr>
        <w:spacing w:line="240" w:lineRule="auto" w:before="1200"/>
        <w:jc w:val="center"/>
      </w:pPr>
      <w:r/>
    </w:p>
    <w:p>
      <w:pPr/>
    </w:p>
    <w:p>
      <w:pPr>
        <w:pStyle w:val="Heading1"/>
      </w:pPr>
      <w:r>
        <w:t>DAFTAR TABEL</w:t>
      </w:r>
    </w:p>
    <w:p>
      <w:pPr/>
    </w:p>
    <w:p>
      <w:pPr>
        <w:pStyle w:val="Heading1"/>
      </w:pPr>
      <w:r>
        <w:t>DAFTAR GAMBAR</w:t>
      </w:r>
    </w:p>
    <w:p>
      <w:pPr/>
    </w:p>
    <w:p>
      <w:pPr>
        <w:pStyle w:val="Heading1"/>
      </w:pPr>
      <w:r>
        <w:t>DAFTAR SINGKATAN</w:t>
      </w:r>
    </w:p>
    <w:p>
      <w:pPr/>
    </w:p>
    <w:p>
      <w:pPr>
        <w:pStyle w:val="Heading1"/>
      </w:pPr>
      <w:r>
        <w:t>DAFTAR SIMBOL</w:t>
      </w:r>
    </w:p>
    <w:p>
      <w:pPr/>
    </w:p>
    <w:p>
      <w:pPr>
        <w:pStyle w:val="Heading1"/>
      </w:pPr>
      <w:r>
        <w:t>DAFTAR LAMPIRAN</w:t>
      </w:r>
    </w:p>
    <w:p>
      <w:pPr>
        <w:jc w:val="both"/>
      </w:pPr>
      <w:r>
        <w:t>Lampiran 1 – Kumpulan Kode Pemrograman Python</w:t>
      </w:r>
    </w:p>
    <w:p>
      <w:pPr>
        <w:jc w:val="both"/>
      </w:pPr>
      <w:r>
        <w:t>Lampiran 2 – Lembar Bimbingan Tesis</w:t>
      </w:r>
    </w:p>
    <w:p>
      <w:pPr>
        <w:jc w:val="both"/>
      </w:pPr>
      <w:r>
        <w:t>Lampiran 3 – Surat Keterangan Bebas Plagiarisme</w:t>
      </w:r>
    </w:p>
    <w:p>
      <w:pPr>
        <w:jc w:val="both"/>
      </w:pPr>
      <w:r>
        <w:t>Lampiran 4 – Hasil Cek Plagiarisme</w:t>
      </w:r>
    </w:p>
    <w:p>
      <w:pPr>
        <w:jc w:val="both"/>
      </w:pPr>
      <w:r>
        <w:t>Lampiran 5 – LOA Jurnal Penelitian</w:t>
      </w:r>
    </w:p>
    <w:p>
      <w:pPr/>
    </w:p>
    <w:p>
      <w:pPr>
        <w:spacing w:line="240" w:lineRule="auto"/>
        <w:pStyle w:val="Heading1"/>
        <w:outlineLvl w:val="1"/>
        <w:jc w:val="center"/>
      </w:pPr>
      <w:r>
        <w:rPr>
          <w:rFonts w:ascii="Times New Roman" w:hAnsi="Times New Roman"/>
          <w:b/>
          <w:sz w:val="28"/>
        </w:rPr>
        <w:t>ABSTRAK</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STRATEGI SEGMENTASI PROBABILISTIK CALON MAHASISWA MENGGUNAKAN GAUSSIAN MIXTURE MODEL DAN OTOMASI ANALISIS LARGE LANGUAGE MODEL UNTUK OPTIMALISASI REKRUTMEN DI ITSNU PEKALONGAN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val="0"/>
          <w:sz w:val="22"/>
        </w:rPr>
        <w:t>Oleh</w:t>
      </w:r>
    </w:p>
    <w:p>
      <w:pPr>
        <w:spacing w:line="240" w:lineRule="auto"/>
        <w:jc w:val="center"/>
      </w:pPr>
      <w:r>
        <w:rPr>
          <w:rFonts w:ascii="Times New Roman" w:hAnsi="Times New Roman"/>
          <w:b w:val="0"/>
          <w:sz w:val="22"/>
        </w:rPr>
        <w:t>Mujibul Hakim</w:t>
      </w:r>
    </w:p>
    <w:p>
      <w:pPr>
        <w:spacing w:line="240" w:lineRule="auto"/>
        <w:jc w:val="center"/>
      </w:pPr>
      <w:r>
        <w:rPr>
          <w:rFonts w:ascii="Times New Roman" w:hAnsi="Times New Roman"/>
          <w:b w:val="0"/>
          <w:sz w:val="22"/>
        </w:rPr>
        <w:t>25.01.85.7010</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val="0"/>
          <w:sz w:val="24"/>
        </w:rPr>
      </w:r>
    </w:p>
    <w:p>
      <w:pPr>
        <w:spacing w:line="240" w:lineRule="auto"/>
        <w:jc w:val="both"/>
      </w:pPr>
      <w:r>
        <w:t>Kata kunci: segmentasi, GMM, IndoBERT, LLM, rekrutmen, mahasiswa baru</w:t>
      </w:r>
    </w:p>
    <w:p>
      <w:pPr/>
      <w:r>
        <w:br/>
      </w:r>
    </w:p>
    <w:p>
      <w:pPr>
        <w:spacing w:line="240" w:lineRule="auto" w:before="1200"/>
        <w:jc w:val="center"/>
      </w:pPr>
      <w:r>
        <w:rPr>
          <w:rFonts w:ascii="Times New Roman" w:hAnsi="Times New Roman"/>
          <w:b w:val="0"/>
          <w:sz w:val="24"/>
        </w:rPr>
      </w:r>
    </w:p>
    <w:p>
      <w:pPr>
        <w:spacing w:line="240" w:lineRule="auto"/>
        <w:pStyle w:val="Heading1"/>
        <w:outlineLvl w:val="1"/>
        <w:jc w:val="center"/>
      </w:pPr>
      <w:r>
        <w:rPr>
          <w:rFonts w:ascii="Times New Roman" w:hAnsi="Times New Roman"/>
          <w:b/>
          <w:sz w:val="28"/>
        </w:rPr>
        <w:t>ABSTRACT</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sz w:val="24"/>
        </w:rPr>
        <w:t>PROBABILISTIC SEGMENTATION STRATEGY OF PROSPECTIVE STUDENTS USING GAUSSIAN MIXTURE MODEL AND LARGE LANGUAGE MODEL ANALYSIS AUTOMATION FOR RECRUITMENT OPTIMIZATION AT ITSNU PEKALONGAN</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val="0"/>
          <w:sz w:val="22"/>
        </w:rPr>
        <w:t>By</w:t>
      </w:r>
    </w:p>
    <w:p>
      <w:pPr>
        <w:spacing w:line="240" w:lineRule="auto"/>
        <w:jc w:val="center"/>
      </w:pPr>
      <w:r>
        <w:rPr>
          <w:rFonts w:ascii="Times New Roman" w:hAnsi="Times New Roman"/>
          <w:b w:val="0"/>
          <w:sz w:val="22"/>
        </w:rPr>
        <w:t>Mujibul Hakim</w:t>
      </w:r>
    </w:p>
    <w:p>
      <w:pPr>
        <w:spacing w:line="240" w:lineRule="auto"/>
        <w:jc w:val="center"/>
      </w:pPr>
      <w:r>
        <w:rPr>
          <w:rFonts w:ascii="Times New Roman" w:hAnsi="Times New Roman"/>
          <w:b w:val="0"/>
          <w:sz w:val="22"/>
        </w:rPr>
        <w:t>25.01.85.7010</w:t>
      </w:r>
    </w:p>
    <w:p>
      <w:pPr>
        <w:spacing w:line="240" w:lineRule="auto"/>
        <w:jc w:val="center"/>
      </w:pPr>
      <w:r>
        <w:rPr>
          <w:rFonts w:ascii="Times New Roman" w:hAnsi="Times New Roman"/>
          <w:b w:val="0"/>
          <w:sz w:val="24"/>
        </w:rPr>
      </w:r>
    </w:p>
    <w:p>
      <w:pPr>
        <w:spacing w:line="240" w:lineRule="auto"/>
        <w:jc w:val="center"/>
      </w:pPr>
      <w:r>
        <w:rPr>
          <w:rFonts w:ascii="Times New Roman" w:hAnsi="Times New Roman"/>
          <w:b w:val="0"/>
          <w:sz w:val="24"/>
        </w:rPr>
      </w:r>
    </w:p>
    <w:p>
      <w:pPr>
        <w:spacing w:line="240" w:lineRule="auto"/>
        <w:jc w:val="both"/>
      </w:pPr>
      <w:r>
        <w:t>Keywords: segmentation, GMM, IndoBERT, LLM, recruitment, new students</w:t>
      </w:r>
    </w:p>
    <w:sectPr>
      <w:pgSz w:w="11906" w:h="16838"/>
      <w:pgMar w:top="2268" w:bottom="1701" w:left="2268" w:right="1701"/>
      <w:pgNumType w:fmt="lowerRoman"/>
      <w:type w:val="nextPage"/>
    </w:sectPr>
    <w:p w:rsidR="006B4AE2" w:rsidRDefault="00C02299" w:rsidP="006B4AE2">
      <w:pPr>
        <w:pStyle w:val="Judul1"/>
        <w:pageBreakBefore/>
        <w:spacing w:line="480" w:lineRule="auto"/>
        <w:contextualSpacing/>
        <w:jc w:val="center"/>
        <w:outlineLvl w:val="1"/>
      </w:pPr>
      <w:r>
        <w:lastRenderedPageBreak/>
        <w:t xml:space="preserve">BAB I </w:t>
      </w:r>
    </w:p>
    <w:p w:rsidR="002316A4" w:rsidRDefault="00C02299" w:rsidP="006B4AE2">
      <w:pPr>
        <w:pStyle w:val="Judul1"/>
        <w:spacing w:line="480" w:lineRule="auto"/>
        <w:contextualSpacing/>
        <w:jc w:val="center"/>
        <w:outlineLvl w:val="1"/>
      </w:pPr>
      <w:r>
        <w:t>PENDAHULUAN</w:t>
      </w:r>
    </w:p>
    <w:p w:rsidR="002316A4" w:rsidRDefault="00C02299">
      <w:pPr>
        <w:pStyle w:val="Judul2"/>
        <w:spacing w:line="480" w:lineRule="auto"/>
        <w:jc w:val="left"/>
        <w:outlineLvl w:val="2"/>
      </w:pPr>
      <w:r>
        <w:t>1.1 Latar Belakang Masalah</w:t>
      </w:r>
    </w:p>
    <w:p w:rsidR="002316A4" w:rsidRDefault="00C02299">
      <w:pPr>
        <w:spacing w:after="160"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0A30E9">
      <w:pPr>
        <w:spacing w:after="160" w:line="480" w:lineRule="auto"/>
        <w:ind w:firstLine="720"/>
        <w:jc w:val="both"/>
      </w:pPr>
      <w:sdt>
        <w:sdtPr>
          <w:rPr>
            <w:color w:val="000000"/>
            <w:lang w:val="en-US"/>
          </w:rPr>
          <w:tag w:val="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1319801227"/>
          <w:placeholder>
            <w:docPart w:val="DefaultPlaceholder_-1854013440"/>
          </w:placeholder>
        </w:sdtPr>
        <w:sdtEndPr/>
        <w:sdtContent>
          <w:r w:rsidR="00BA594A" w:rsidRPr="00BA594A">
            <w:rPr>
              <w:color w:val="000000"/>
              <w:lang w:val="en-US"/>
            </w:rPr>
            <w:t>(Aristovnik et al., 2021)</w:t>
          </w:r>
        </w:sdtContent>
      </w:sdt>
      <w:r w:rsidR="00C02299">
        <w:rPr>
          <w:color w:val="000000"/>
        </w:rPr>
        <w:t xml:space="preserve"> mendokumentasikan bahwa pandemi COVID19 secara fundamental mengubah kehidupan mahasiswa perguruan tinggi di seluruh dunia. </w:t>
      </w:r>
      <w:sdt>
        <w:sdtPr>
          <w:rPr>
            <w:color w:val="000000"/>
            <w:lang w:val="en-US"/>
          </w:rPr>
          <w:tag w:val="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411832049"/>
          <w:placeholder>
            <w:docPart w:val="DefaultPlaceholder_-1854013440"/>
          </w:placeholder>
        </w:sdtPr>
        <w:sdtEndPr/>
        <w:sdtContent>
          <w:r w:rsidR="00BA594A" w:rsidRPr="00BA594A">
            <w:rPr>
              <w:color w:val="000000"/>
              <w:lang w:val="en-US"/>
            </w:rPr>
            <w:t>(Purcell and Lumbreras 2021)</w:t>
          </w:r>
        </w:sdtContent>
      </w:sdt>
      <w:r w:rsidR="00C02299">
        <w:rPr>
          <w:color w:val="000000"/>
        </w:rPr>
        <w:t xml:space="preserve"> menunjukkan pandemi mengekspos fragilitas perguruan tinggi global. </w:t>
      </w:r>
      <w:sdt>
        <w:sdtPr>
          <w:rPr>
            <w:color w:val="000000"/>
            <w:lang w:val="en-US"/>
          </w:rPr>
          <w:tag w:val="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
          <w:id w:val="-1635778230"/>
          <w:placeholder>
            <w:docPart w:val="DefaultPlaceholder_-1854013440"/>
          </w:placeholder>
        </w:sdtPr>
        <w:sdtEndPr/>
        <w:sdtContent>
          <w:r w:rsidR="00BA594A" w:rsidRPr="00BA594A">
            <w:rPr>
              <w:color w:val="000000"/>
              <w:lang w:val="en-US"/>
            </w:rPr>
            <w:t>(El Said, 2021)</w:t>
          </w:r>
        </w:sdtContent>
      </w:sdt>
      <w:r w:rsidR="00C02299">
        <w:rPr>
          <w:i/>
          <w:color w:val="000000"/>
        </w:rPr>
        <w:t xml:space="preserve"> </w:t>
      </w:r>
      <w:r w:rsidR="00C02299" w:rsidRPr="003F1F4A">
        <w:rPr>
          <w:color w:val="000000"/>
        </w:rPr>
        <w:t xml:space="preserve">menemukan COVID19 membentuk ulang cara penyampaian pendidikan di negara berkembang secara struktural dan </w:t>
      </w:r>
      <w:r w:rsidR="00C02299" w:rsidRPr="003F1F4A">
        <w:rPr>
          <w:color w:val="000000"/>
        </w:rPr>
        <w:lastRenderedPageBreak/>
        <w:t>permanen. Di Indonesia</w:t>
      </w:r>
      <w:r w:rsidR="00C02299">
        <w:rPr>
          <w:i/>
          <w:color w:val="000000"/>
        </w:rPr>
        <w:t>,</w:t>
      </w:r>
      <w:r w:rsidR="00A26624">
        <w:rPr>
          <w:color w:val="000000"/>
          <w:lang w:val="en-US"/>
        </w:rPr>
        <w:t xml:space="preserve"> </w:t>
      </w:r>
      <w:sdt>
        <w:sdtPr>
          <w:rPr>
            <w:color w:val="000000"/>
            <w:lang w:val="en-US"/>
          </w:rPr>
          <w:tag w:val="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
          <w:id w:val="-181437073"/>
          <w:placeholder>
            <w:docPart w:val="DefaultPlaceholder_-1854013440"/>
          </w:placeholder>
        </w:sdtPr>
        <w:sdtEndPr/>
        <w:sdtContent>
          <w:r w:rsidR="00BA594A" w:rsidRPr="00BA594A">
            <w:rPr>
              <w:color w:val="000000"/>
              <w:lang w:val="en-US"/>
            </w:rPr>
            <w:t>(Cahyadi et al. 2022)</w:t>
          </w:r>
        </w:sdtContent>
      </w:sdt>
      <w:r w:rsidR="00C02299" w:rsidRPr="00A26624">
        <w:rPr>
          <w:color w:val="000000"/>
        </w:rPr>
        <w:t xml:space="preserve"> mengevaluasi implementasi emergency remote teaching dan mengidentifikasi kesenjangan kesiapan digital perguruan tinggi yang turut mengubah lanskap preferensi calon mahasiswa secara struktural.</w:t>
      </w:r>
      <w:r w:rsidR="00C02299">
        <w:rPr>
          <w:color w:val="000000"/>
        </w:rPr>
        <w:t xml:space="preserve"> Kondisi ini menggarisbawahi urgensi sistem analisis rekrutmen yang prediktif.</w:t>
      </w:r>
    </w:p>
    <w:p w:rsidR="002316A4" w:rsidRDefault="00C02299">
      <w:pPr>
        <w:spacing w:after="160"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
          <w:id w:val="-1198544059"/>
          <w:placeholder>
            <w:docPart w:val="DefaultPlaceholder_-1854013440"/>
          </w:placeholder>
        </w:sdtPr>
        <w:sdtEndPr/>
        <w:sdtContent>
          <w:r w:rsidR="00BA594A" w:rsidRPr="00BA594A">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EndPr/>
        <w:sdtContent>
          <w:r w:rsidR="00BA594A" w:rsidRPr="00BA594A">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EndPr/>
        <w:sdtContent>
          <w:r w:rsidR="00BA594A" w:rsidRPr="00BA594A">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2316A4" w:rsidRDefault="00C02299">
      <w:pPr>
        <w:spacing w:after="160"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EndPr/>
        <w:sdtContent>
          <w:r w:rsidR="00BA594A" w:rsidRPr="00BA594A">
            <w:rPr>
              <w:color w:val="000000"/>
            </w:rPr>
            <w:t>(Dubey et al., 2024)</w:t>
          </w:r>
        </w:sdtContent>
      </w:sdt>
    </w:p>
    <w:p w:rsidR="00A9372B" w:rsidRDefault="00C02299" w:rsidP="00A9372B">
      <w:pPr>
        <w:contextualSpacing/>
        <w:jc w:val="center"/>
        <w:rPr>
          <w:b/>
          <w:bCs/>
          <w:color w:val="000000"/>
          <w:sz w:val="20"/>
          <w:szCs w:val="20"/>
        </w:rPr>
        <w:spacing w:line="240" w:lineRule="auto" w:after="240" w:before="0"/>
      </w:pPr>
      <w:r>
        <w:rPr>
          <w:b/>
          <w:sz w:val="20"/>
          <w:szCs w:val="20"/>
        </w:rPr>
        <w:t>Tabel 1.1 Analisis Kompetisi dan Positioning ITSNU Pekalongan Perspektif Temporal (2019–2024)</w:t>
      </w:r>
    </w:p>
    <w:tbl>
      <w:tblPr>
        <w:tblW w:w="8164"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Model Pemasaran</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Status Registrasi</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jc w:val="left"/>
        <w:outlineLvl w:val="2"/>
      </w:pPr>
      <w:r>
        <w:t>1.2 Rumusan Masalah</w:t>
      </w:r>
    </w:p>
    <w:p w:rsidR="002316A4" w:rsidRDefault="00C02299">
      <w:pPr>
        <w:spacing w:after="160" w:line="480" w:lineRule="auto"/>
        <w:ind w:firstLine="720"/>
        <w:jc w:val="both"/>
      </w:pPr>
      <w:r>
        <w:t>Berdasarkan latar belakang yang telah diuraikan, rumusan masalah dalam penelitian ini adalah sebagai berikut. Penelitian ini bertujuan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E7788F" w:rsidRDefault="00E7788F">
      <w:pPr>
        <w:pStyle w:val="Judul2"/>
        <w:spacing w:line="480" w:lineRule="auto"/>
        <w:jc w:val="left"/>
        <w:outlineLvl w:val="2"/>
      </w:pPr>
    </w:p>
    <w:p w:rsidR="002316A4" w:rsidRDefault="00C02299">
      <w:pPr>
        <w:pStyle w:val="Judul2"/>
        <w:spacing w:line="480" w:lineRule="auto"/>
        <w:jc w:val="left"/>
        <w:outlineLvl w:val="2"/>
      </w:pPr>
      <w:r>
        <w:lastRenderedPageBreak/>
        <w:t>1.3 Batasan Masalah</w:t>
      </w:r>
    </w:p>
    <w:p w:rsidR="002316A4" w:rsidRDefault="00C02299">
      <w:pPr>
        <w:spacing w:after="160" w:line="480" w:lineRule="auto"/>
        <w:ind w:firstLine="720"/>
        <w:jc w:val="both"/>
      </w:pPr>
      <w:r>
        <w:t>Untuk memfokuskan penelitian, ditetapkan batasan masalah sebagai berikut. Data penelitian terbatas pada data sekunder calon mahasiswa ITSNU Pekalongan 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full,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jc w:val="left"/>
        <w:outlineLvl w:val="2"/>
      </w:pPr>
      <w:r>
        <w:t>1.4 Hipotesis Penelitian</w:t>
      </w:r>
    </w:p>
    <w:p w:rsidR="002316A4" w:rsidRDefault="00C02299">
      <w:pPr>
        <w:spacing w:after="160" w:line="480" w:lineRule="auto"/>
        <w:ind w:firstLine="720"/>
        <w:jc w:val="both"/>
      </w:pPr>
      <w:r>
        <w:t xml:space="preserve">Penelitian ini mengajukan tiga hipotesis yang diuji secara empiris. Hipotesis 1 (H1): ARI &lt; 0,30 pada transisi 2019→2020 sebagai indikator structural break yang dikonfirmasi secara empiris. Hipotesis 2 (H2): Cosine similarity rata-rata antar </w:t>
      </w:r>
      <w:r>
        <w:lastRenderedPageBreak/>
        <w:t>entitas identik &gt; 0,70 pada semua transisi, membuktikan stabilitas representasi IndoBERT. Hipotesis 3 (H3): GMM menghasilkan posterior probability yang mendukung otomasi LLM dan profil segmen yang lebih realistis dibandingkan K-Means untuk data pendaftar perguruan tinggi.</w:t>
      </w:r>
    </w:p>
    <w:p w:rsidR="002316A4" w:rsidRDefault="00C02299">
      <w:pPr>
        <w:pStyle w:val="Judul2"/>
        <w:spacing w:line="480" w:lineRule="auto"/>
        <w:jc w:val="both"/>
        <w:outlineLvl w:val="2"/>
      </w:pPr>
      <w:r>
        <w:t>1.5 Tujuan dan Manfaat Penelitian</w:t>
      </w:r>
    </w:p>
    <w:p w:rsidR="002316A4" w:rsidRDefault="00C02299">
      <w:pPr>
        <w:pStyle w:val="Judul3"/>
        <w:spacing w:line="480" w:lineRule="auto"/>
        <w:jc w:val="left"/>
        <w:outlineLvl w:val="3"/>
      </w:pPr>
      <w:r>
        <w:t>1.5.1 Tujuan Penelitian</w:t>
      </w:r>
    </w:p>
    <w:p w:rsidR="002316A4" w:rsidRDefault="00C02299">
      <w:pPr>
        <w:spacing w:after="160"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after="160"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jc w:val="left"/>
        <w:outlineLvl w:val="3"/>
      </w:pPr>
      <w:r>
        <w:t>1.5.2 Manfaat Penelitian</w:t>
      </w:r>
    </w:p>
    <w:p w:rsidR="002316A4" w:rsidRDefault="00C02299">
      <w:pPr>
        <w:spacing w:after="160"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after="160" w:line="480" w:lineRule="auto"/>
        <w:ind w:firstLine="720"/>
        <w:jc w:val="both"/>
        <w:rPr>
          <w:i/>
          <w:color w:val="000000"/>
        </w:rPr>
      </w:pPr>
      <w:r>
        <w:rPr>
          <w:bCs/>
          <w:color w:val="000000"/>
        </w:rPr>
        <w:lastRenderedPageBreak/>
        <w:t>Manfaat Praktis.</w:t>
      </w:r>
      <w:r>
        <w:rPr>
          <w:i/>
          <w:color w:val="000000"/>
        </w:rPr>
        <w:t xml:space="preserve"> </w:t>
      </w:r>
      <w:r w:rsidRPr="00CD6E2D">
        <w:rPr>
          <w:color w:val="000000"/>
          <w:i/>
        </w:rPr>
        <w:t>Bagi ITSNU Pekalongan: sistem segmentasi otomatis tahunan, laporan naratif siap manajemen, peta prioritas segmen rekrutmen, dan panduan personalisasi komunikasi per segmen berbasis data aktual</w:t>
      </w:r>
      <w:r>
        <w:rPr>
          <w:i/>
          <w:color w:val="000000"/>
        </w:rPr>
        <w:t>.</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jc w:val="left"/>
        <w:outlineLvl w:val="2"/>
      </w:pPr>
      <w:r>
        <w:t>1.6 Metode Penelitian</w:t>
      </w:r>
    </w:p>
    <w:p w:rsidR="002316A4" w:rsidRPr="00D07E87" w:rsidRDefault="00C02299">
      <w:pPr>
        <w:spacing w:after="160"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EndPr/>
        <w:sdtContent>
          <w:r w:rsidR="00BA594A" w:rsidRPr="00D07E87">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jc w:val="left"/>
        <w:outlineLvl w:val="2"/>
      </w:pPr>
      <w:r>
        <w:t>1.7 Sistematika Penulisan</w:t>
      </w:r>
    </w:p>
    <w:p w:rsidR="002316A4" w:rsidRDefault="00C02299">
      <w:pPr>
        <w:spacing w:after="160"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6B4AE2" w:rsidRDefault="00C02299" w:rsidP="006B4AE2">
      <w:pPr>
        <w:pStyle w:val="Judul1"/>
        <w:pageBreakBefore/>
        <w:spacing w:line="480" w:lineRule="auto"/>
        <w:contextualSpacing/>
        <w:jc w:val="center"/>
        <w:outlineLvl w:val="1"/>
      </w:pPr>
      <w:r>
        <w:lastRenderedPageBreak/>
        <w:t xml:space="preserve">BAB II </w:t>
      </w:r>
    </w:p>
    <w:p w:rsidR="002316A4" w:rsidRDefault="00C02299" w:rsidP="006B4AE2">
      <w:pPr>
        <w:pStyle w:val="Judul1"/>
        <w:spacing w:line="480" w:lineRule="auto"/>
        <w:contextualSpacing/>
        <w:jc w:val="center"/>
        <w:outlineLvl w:val="1"/>
      </w:pPr>
      <w:r>
        <w:t>STUDI PUSTAKA</w:t>
      </w:r>
    </w:p>
    <w:p w:rsidR="002316A4" w:rsidRDefault="00C02299">
      <w:pPr>
        <w:pStyle w:val="Judul2"/>
        <w:spacing w:line="480" w:lineRule="auto"/>
        <w:jc w:val="both"/>
        <w:outlineLvl w:val="2"/>
      </w:pPr>
      <w:r>
        <w:t>2.1 Enrollment Management dan Strategi Rekrutmen Perguruan Tinggi</w:t>
      </w:r>
    </w:p>
    <w:p w:rsidR="002316A4" w:rsidRDefault="00C02299">
      <w:pPr>
        <w:spacing w:after="160"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EndPr/>
        <w:sdtContent>
          <w:r w:rsidR="00BA594A" w:rsidRPr="00BA594A">
            <w:rPr>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EndPr/>
        <w:sdtContent>
          <w:r w:rsidR="00BA594A" w:rsidRPr="00BA594A">
            <w:rPr>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0A30E9">
      <w:pPr>
        <w:spacing w:after="160"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EndPr/>
        <w:sdtContent>
          <w:r w:rsidR="00BA594A" w:rsidRPr="00BA594A">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EndPr/>
        <w:sdtContent>
          <w:r w:rsidR="00BA594A" w:rsidRPr="00BA594A">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outlineLvl w:val="2"/>
      </w:pPr>
      <w:r>
        <w:lastRenderedPageBreak/>
        <w:t>2.2 Segmentasi Pasar dalam Educational Data Mining</w:t>
      </w:r>
    </w:p>
    <w:p w:rsidR="002316A4" w:rsidRDefault="00C02299">
      <w:pPr>
        <w:spacing w:after="160"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
          <w:id w:val="-2137869843"/>
          <w:placeholder>
            <w:docPart w:val="DefaultPlaceholder_-1854013440"/>
          </w:placeholder>
        </w:sdtPr>
        <w:sdtEndPr/>
        <w:sdtContent>
          <w:r w:rsidR="00BA594A" w:rsidRPr="00BA594A">
            <w:rPr>
              <w:color w:val="000000"/>
              <w:lang w:val="en-US"/>
            </w:rPr>
            <w:t>(Cristóbal Romero 2000)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Pr="00A8652C" w:rsidRDefault="000A30E9">
      <w:pPr>
        <w:spacing w:after="160" w:line="480" w:lineRule="auto"/>
        <w:ind w:firstLine="720"/>
        <w:jc w:val="both"/>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EndPr/>
        <w:sdtContent>
          <w:r w:rsidR="00BA594A" w:rsidRPr="00BA594A">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EndPr/>
        <w:sdtContent>
          <w:r w:rsidR="00BA594A" w:rsidRPr="00BA594A">
            <w:rPr>
              <w:color w:val="000000"/>
              <w:lang w:val="en-US"/>
            </w:rPr>
            <w:t>George and Sumathy (2022)</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2316A4" w:rsidRDefault="00C02299">
      <w:pPr>
        <w:pStyle w:val="Judul2"/>
        <w:spacing w:line="480" w:lineRule="auto"/>
        <w:jc w:val="both"/>
        <w:outlineLvl w:val="2"/>
      </w:pPr>
      <w:r>
        <w:t>2.3 Gaussian Mixture Model dan Probabilistic Clustering</w:t>
      </w:r>
    </w:p>
    <w:p w:rsidR="002316A4" w:rsidRPr="00A8652C" w:rsidRDefault="00C02299">
      <w:pPr>
        <w:spacing w:after="160" w:line="480" w:lineRule="auto"/>
        <w:ind w:firstLine="720"/>
        <w:jc w:val="both"/>
      </w:pPr>
      <w:r>
        <w:rPr>
          <w:i/>
          <w:color w:val="000000"/>
        </w:rPr>
        <w:lastRenderedPageBreak/>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EndPr/>
        <w:sdtContent>
          <w:r w:rsidR="00BA594A" w:rsidRPr="00BA594A">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EndPr/>
        <w:sdtContent>
          <w:r w:rsidR="00BA594A" w:rsidRPr="00BA594A">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after="160"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C02299">
      <w:pPr>
        <w:spacing w:after="160" w:line="480" w:lineRule="auto"/>
        <w:ind w:firstLine="720"/>
        <w:jc w:val="both"/>
      </w:pPr>
      <w:r>
        <w:rPr>
          <w:color w:val="000000"/>
        </w:rPr>
        <w:t>pada langkah E dihitung posterior probability rik, sedangkan pada langkah M diperbarui parameter untuk memaksimalkan expected log</w:t>
      </w:r>
      <w:r w:rsidR="00C80049">
        <w:rPr>
          <w:color w:val="000000"/>
        </w:rPr>
        <w:t xml:space="preserve"> </w:t>
      </w:r>
      <w:r>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Pr>
          <w:color w:val="000000"/>
          <w:i/>
        </w:rPr>
        <w:t>learn (Pedregosa et al., 2011).</w:t>
      </w:r>
    </w:p>
    <w:p w:rsidR="002316A4" w:rsidRDefault="00C02299">
      <w:pPr>
        <w:spacing w:after="160" w:line="480" w:lineRule="auto"/>
        <w:ind w:firstLine="720"/>
        <w:jc w:val="both"/>
      </w:pPr>
      <w:r>
        <w:rPr>
          <w:color w:val="000000"/>
        </w:rPr>
        <w:t>Penentuan jumlah komponen optimal K menggunakan kriteria informasi statistik</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2316A4" w:rsidRDefault="00C02299">
      <w:pPr>
        <w:spacing w:after="160"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C02299" w:rsidRDefault="00C02299" w:rsidP="00C02299">
      <w:pPr>
        <w:contextualSpacing/>
        <w:jc w:val="center"/>
        <w:rPr>
          <w:b/>
          <w:bCs/>
          <w:color w:val="000000"/>
          <w:sz w:val="20"/>
          <w:szCs w:val="20"/>
        </w:rPr>
        <w:spacing w:line="240" w:lineRule="auto" w:after="240" w:before="0"/>
      </w:pPr>
      <w:r>
        <w:rPr>
          <w:b/>
          <w:sz w:val="20"/>
          <w:szCs w:val="20"/>
        </w:rPr>
        <w:t xml:space="preserve">Tabel 2.1 Perbandingan Karakteristik K-Means </w:t>
      </w:r>
      <w:r>
        <w:rPr>
          <w:b/>
          <w:i/>
          <w:sz w:val="20"/>
          <w:szCs w:val="20"/>
        </w:rPr>
        <w:t>Clustering</w:t>
      </w:r>
      <w:r>
        <w:rPr>
          <w:b/>
          <w:sz w:val="20"/>
          <w:szCs w:val="20"/>
        </w:rPr>
        <w:t xml:space="preserve"> dan </w:t>
      </w:r>
      <w:r>
        <w:rPr>
          <w:b/>
          <w:i/>
          <w:sz w:val="20"/>
          <w:szCs w:val="20"/>
        </w:rPr>
        <w:t>Gaussian Mixture</w:t>
      </w:r>
      <w:r>
        <w:rPr>
          <w:b/>
          <w:sz w:val="20"/>
          <w:szCs w:val="20"/>
        </w:rPr>
        <w:t xml:space="preserve"> Model</w:t>
      </w:r>
    </w:p>
    <w:tbl>
      <w:tblPr>
        <w:tblW w:w="7930"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pPr>
      <w:r>
        <w:rPr>
          <w:iCs/>
          <w:color w:val="000000"/>
          <w:szCs w:val="20"/>
          <w:i/>
        </w:rPr>
        <w:t>Sumber: Adaptasi dari Scrucca et al. (2024) dan Pedregosa et al. (2011)</w:t>
      </w:r>
    </w:p>
    <w:p w:rsidR="002316A4" w:rsidRDefault="00C02299">
      <w:pPr>
        <w:pStyle w:val="Judul2"/>
        <w:spacing w:line="480" w:lineRule="auto"/>
        <w:jc w:val="both"/>
        <w:outlineLvl w:val="2"/>
      </w:pPr>
      <w:r>
        <w:t>2.4 Sistem Otomasi Analisis Berbasis Large Language Model</w:t>
      </w:r>
    </w:p>
    <w:p w:rsidR="002316A4" w:rsidRDefault="00C02299">
      <w:pPr>
        <w:pStyle w:val="Judul3"/>
        <w:spacing w:line="480" w:lineRule="auto"/>
        <w:jc w:val="both"/>
        <w:outlineLvl w:val="3"/>
      </w:pPr>
      <w:r>
        <w:t>2.4.1 Konseptualisasi Otomasi Analisis LLM</w:t>
      </w:r>
    </w:p>
    <w:p w:rsidR="002316A4" w:rsidRPr="005E222F" w:rsidRDefault="00C02299">
      <w:pPr>
        <w:spacing w:after="160"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w:t>
      </w:r>
      <w:r>
        <w:rPr>
          <w:color w:val="000000"/>
        </w:rPr>
        <w:lastRenderedPageBreak/>
        <w:t xml:space="preserve">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EndPr/>
        <w:sdtContent>
          <w:r w:rsidR="00BA594A" w:rsidRPr="00BA594A">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0A30E9">
      <w:pPr>
        <w:spacing w:after="160"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EndPr/>
        <w:sdtContent>
          <w:r w:rsidR="00762C37" w:rsidRPr="00762C37">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outlineLvl w:val="3"/>
      </w:pPr>
      <w:r>
        <w:t>2.4.2 Arsitektur Transformer dan IndoBERT untuk Bahasa Indonesia</w:t>
      </w:r>
    </w:p>
    <w:p w:rsidR="002316A4" w:rsidRDefault="00C02299">
      <w:pPr>
        <w:spacing w:after="160"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EndPr/>
        <w:sdtContent>
          <w:r w:rsidR="00BA594A" w:rsidRPr="00BA594A">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
          <w:id w:val="-1008058549"/>
          <w:placeholder>
            <w:docPart w:val="DefaultPlaceholder_-1854013440"/>
          </w:placeholder>
        </w:sdtPr>
        <w:sdtEndPr/>
        <w:sdtContent>
          <w:r w:rsidR="00BA594A" w:rsidRPr="00BA594A">
            <w:rPr>
              <w:color w:val="000000"/>
              <w:lang w:val="en-US"/>
            </w:rPr>
            <w:t>(Devlin et al. n.d.)</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2316A4" w:rsidRPr="005E222F" w:rsidRDefault="00C02299">
      <w:pPr>
        <w:spacing w:after="160" w:line="480" w:lineRule="auto"/>
        <w:ind w:firstLine="720"/>
        <w:jc w:val="both"/>
      </w:pPr>
      <w:r>
        <w:rPr>
          <w:color w:val="000000"/>
        </w:rPr>
        <w:lastRenderedPageBreak/>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EndPr/>
        <w:sdtContent>
          <w:r w:rsidR="00BA594A" w:rsidRPr="00BA594A">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C02299" w:rsidRDefault="00C02299" w:rsidP="00C02299">
      <w:pPr>
        <w:contextualSpacing/>
        <w:jc w:val="center"/>
        <w:rPr>
          <w:b/>
          <w:bCs/>
          <w:color w:val="000000"/>
          <w:sz w:val="20"/>
          <w:szCs w:val="20"/>
        </w:rPr>
        <w:spacing w:line="240" w:lineRule="auto" w:after="240" w:before="0"/>
      </w:pPr>
      <w:r>
        <w:rPr>
          <w:b/>
          <w:sz w:val="20"/>
          <w:szCs w:val="20"/>
        </w:rPr>
        <w:t>Tabel 2.2 Perbandingan Performa IndoBERT vs Model Bahasa Lain pada Tugas NLP Bahasa Indonesia</w:t>
      </w:r>
    </w:p>
    <w:tbl>
      <w:tblPr>
        <w:tblW w:w="7647"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bl>
    <w:p w:rsidR="002316A4" w:rsidRDefault="00C02299" w:rsidP="005E222F">
      <w:pPr>
        <w:spacing w:after="120"/>
        <w:jc w:val="both"/>
      </w:pPr>
      <w:r>
        <w:rPr>
          <w:iCs/>
          <w:color w:val="000000"/>
          <w:szCs w:val="20"/>
          <w:i/>
        </w:rPr>
        <w:t>Sumber: Koto et al. (2020); Imaduddin et al. (2023); Ahmadian et al. (2024); Subakti et al. (2022)</w:t>
      </w:r>
    </w:p>
    <w:p w:rsidR="00E7788F" w:rsidRDefault="00E7788F">
      <w:pPr>
        <w:spacing w:after="160" w:line="480" w:lineRule="auto"/>
        <w:ind w:firstLine="720"/>
        <w:jc w:val="both"/>
        <w:rPr>
          <w:color w:val="000000"/>
          <w:lang w:val="en-US"/>
        </w:rPr>
      </w:pPr>
    </w:p>
    <w:p w:rsidR="002316A4" w:rsidRDefault="000A30E9">
      <w:pPr>
        <w:spacing w:after="160"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EndPr/>
        <w:sdtContent>
          <w:r w:rsidR="00BA594A" w:rsidRPr="00BA594A">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after="160" w:line="480" w:lineRule="auto"/>
        <w:ind w:firstLine="720"/>
        <w:jc w:val="both"/>
      </w:pPr>
      <w:r>
        <w:rPr>
          <w:color w:val="000000"/>
        </w:rPr>
        <w:lastRenderedPageBreak/>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EndPr/>
        <w:sdtContent>
          <w:r w:rsidR="00BA594A" w:rsidRPr="00BA594A">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outlineLvl w:val="3"/>
      </w:pPr>
      <w:r>
        <w:t>2.4.3 Llama 3.2 sebagai Model LLM Lokal</w:t>
      </w:r>
    </w:p>
    <w:p w:rsidR="002316A4" w:rsidRPr="005E222F" w:rsidRDefault="00C02299">
      <w:pPr>
        <w:spacing w:after="160"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0.1.0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EndPr/>
        <w:sdtContent>
          <w:r w:rsidR="00BA594A" w:rsidRPr="00BA594A">
            <w:rPr>
              <w:color w:val="000000"/>
              <w:lang w:val="en-US"/>
            </w:rPr>
            <w:t>Grattafiori et al. (2024)</w:t>
          </w:r>
        </w:sdtContent>
      </w:sdt>
    </w:p>
    <w:p w:rsidR="006B4AE2" w:rsidRDefault="00C02299" w:rsidP="006B4AE2">
      <w:pPr>
        <w:contextualSpacing/>
        <w:jc w:val="center"/>
        <w:rPr>
          <w:b/>
          <w:bCs/>
          <w:color w:val="000000"/>
          <w:sz w:val="20"/>
          <w:szCs w:val="20"/>
        </w:rPr>
        <w:spacing w:line="240" w:lineRule="auto" w:after="240" w:before="0"/>
      </w:pPr>
      <w:r>
        <w:rPr>
          <w:b/>
          <w:sz w:val="20"/>
          <w:szCs w:val="20"/>
        </w:rPr>
        <w:t>Tabel 2.3 Spesifikasi Teknis Llama 3.2 3B dan Perbandingan dengan Varian Lain</w:t>
      </w:r>
    </w:p>
    <w:tbl>
      <w:tblPr>
        <w:tblW w:w="7881"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Inferensi Lokal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Cs/>
          <w:color w:val="000000"/>
          <w:szCs w:val="20"/>
          <w:i/>
        </w:rPr>
        <w:t>Sumber: Grattafiori et al. (2024); Meta AI (2024)</w:t>
      </w:r>
    </w:p>
    <w:p w:rsidR="002316A4" w:rsidRDefault="00C02299">
      <w:pPr>
        <w:spacing w:after="160" w:line="480" w:lineRule="auto"/>
        <w:ind w:firstLine="720"/>
        <w:jc w:val="both"/>
      </w:pPr>
      <w:r>
        <w:rPr>
          <w:color w:val="000000"/>
        </w:rPr>
        <w:lastRenderedPageBreak/>
        <w:t>Pemilihan Llama 3.2 3B dengan Ollama 0.1.0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after="160"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EndPr/>
        <w:sdtContent>
          <w:r w:rsidR="00BA594A" w:rsidRPr="00BA594A">
            <w:rPr>
              <w:color w:val="000000"/>
              <w:lang w:val="en-US"/>
            </w:rPr>
            <w:t>Wei et al. (2023)</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perubahan kondisi eksternal (pandemi, ekonomi regional) dan perubahan komposisi klaster yang terukur (ARI, centroid drift).</w:t>
      </w:r>
    </w:p>
    <w:p w:rsidR="002316A4" w:rsidRDefault="00C02299">
      <w:pPr>
        <w:pStyle w:val="Judul2"/>
        <w:spacing w:line="480" w:lineRule="auto"/>
        <w:jc w:val="both"/>
        <w:outlineLvl w:val="2"/>
      </w:pPr>
      <w:r>
        <w:t>2.5 Dimensionality Reduction dengan Principal Component Analysis</w:t>
      </w:r>
    </w:p>
    <w:p w:rsidR="002316A4" w:rsidRDefault="00C02299">
      <w:pPr>
        <w:spacing w:after="160" w:line="480" w:lineRule="auto"/>
        <w:ind w:firstLine="720"/>
        <w:jc w:val="both"/>
      </w:pPr>
      <w:r>
        <w:rPr>
          <w:color w:val="000000"/>
        </w:rPr>
        <w:lastRenderedPageBreak/>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after="160"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2316A4" w:rsidRDefault="00C02299">
      <w:pPr>
        <w:spacing w:after="160"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EndPr/>
        <w:sdtContent>
          <w:r w:rsidR="00BA594A" w:rsidRPr="00BA594A">
            <w:rPr>
              <w:color w:val="000000"/>
              <w:lang w:val="en-US"/>
            </w:rPr>
            <w:t>George and Sumathy (2022)</w:t>
          </w:r>
        </w:sdtContent>
      </w:sdt>
      <w:r>
        <w:rPr>
          <w:color w:val="000000"/>
        </w:rPr>
        <w:t xml:space="preserve"> secara eksplisit 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A90E84" w:rsidRDefault="00A90E84">
      <w:pPr>
        <w:pStyle w:val="Judul2"/>
        <w:spacing w:line="480" w:lineRule="auto"/>
        <w:jc w:val="left"/>
        <w:outlineLvl w:val="2"/>
      </w:pPr>
    </w:p>
    <w:p w:rsidR="002316A4" w:rsidRDefault="00C02299">
      <w:pPr>
        <w:pStyle w:val="Judul2"/>
        <w:spacing w:line="480" w:lineRule="auto"/>
        <w:jc w:val="both"/>
        <w:outlineLvl w:val="2"/>
      </w:pPr>
      <w:r>
        <w:lastRenderedPageBreak/>
        <w:t>2.6 Metodologi Data Mining: CRISP</w:t>
      </w:r>
      <w:r w:rsidR="007C1716">
        <w:t xml:space="preserve"> </w:t>
      </w:r>
      <w:r>
        <w:t>DM Adaptif Time Series</w:t>
      </w:r>
    </w:p>
    <w:p w:rsidR="002316A4" w:rsidRDefault="00C02299">
      <w:pPr>
        <w:spacing w:after="160"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EndPr/>
        <w:sdtContent>
          <w:r w:rsidR="00BA594A" w:rsidRPr="00BA594A">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outlineLvl w:val="2"/>
      </w:pPr>
      <w:r>
        <w:t>2.7 Analisis Time Series dan Deteksi Structural Break</w:t>
      </w:r>
    </w:p>
    <w:p w:rsidR="002316A4" w:rsidRDefault="00C02299">
      <w:pPr>
        <w:spacing w:after="160"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EndPr/>
        <w:sdtContent>
          <w:r w:rsidR="00BA594A" w:rsidRPr="00BA594A">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after="160" w:line="480" w:lineRule="auto"/>
        <w:ind w:firstLine="720"/>
        <w:jc w:val="both"/>
      </w:pPr>
      <w:r>
        <w:rPr>
          <w:color w:val="000000"/>
        </w:rPr>
        <w:t xml:space="preserve">ARI = 1,00 menunjukkan partisi identik sempurna; ARI = 0,00 menunjukkan kesamaan setara kebetulan acak; ARI negatif menunjukkan pengelompokan lebih tidak konsisten dari ekspektasi acak. Dalam penelitian ini, </w:t>
      </w:r>
      <w:r>
        <w:rPr>
          <w:i/>
          <w:color w:val="000000"/>
        </w:rPr>
        <w:lastRenderedPageBreak/>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after="160"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outlineLvl w:val="2"/>
      </w:pPr>
      <w:r>
        <w:t>2.8 Dampak COVID</w:t>
      </w:r>
      <w:r w:rsidR="007C1716">
        <w:t xml:space="preserve"> </w:t>
      </w:r>
      <w:r>
        <w:t>19 terhadap Enrollment Perguruan Tinggi</w:t>
      </w:r>
    </w:p>
    <w:p w:rsidR="002316A4" w:rsidRPr="005E222F" w:rsidRDefault="00C02299">
      <w:pPr>
        <w:spacing w:after="160" w:line="480" w:lineRule="auto"/>
        <w:ind w:firstLine="720"/>
        <w:jc w:val="both"/>
      </w:pPr>
      <w:r w:rsidRPr="005E222F">
        <w:rPr>
          <w:color w:val="000000"/>
        </w:rPr>
        <w:t>Pandemi COVID</w:t>
      </w:r>
      <w:r w:rsidR="007C1716" w:rsidRPr="005E222F">
        <w:rPr>
          <w:color w:val="000000"/>
        </w:rPr>
        <w:t xml:space="preserve"> </w:t>
      </w:r>
      <w:r w:rsidRPr="005E222F">
        <w:rPr>
          <w:color w:val="000000"/>
        </w:rPr>
        <w:t xml:space="preserve">19 memberikan dampak mendalam dan tidak simetris terhadap enrollment perguruan tinggi. </w:t>
      </w:r>
      <w:sdt>
        <w:sdtPr>
          <w:rPr>
            <w:color w:val="000000"/>
            <w:lang w:val="en-US"/>
          </w:rPr>
          <w:tag w:val="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
          <w:id w:val="1167137453"/>
          <w:placeholder>
            <w:docPart w:val="DefaultPlaceholder_-1854013440"/>
          </w:placeholder>
        </w:sdtPr>
        <w:sdtEndPr/>
        <w:sdtContent>
          <w:r w:rsidR="00BA594A" w:rsidRPr="00BA594A">
            <w:rPr>
              <w:color w:val="000000"/>
              <w:lang w:val="en-US"/>
            </w:rPr>
            <w:t>(Aristovnik et al. 2021)</w:t>
          </w:r>
        </w:sdtContent>
      </w:sdt>
      <w:r w:rsidRPr="005E222F">
        <w:rPr>
          <w:color w:val="000000"/>
        </w:rPr>
        <w:t xml:space="preserve"> mendokumentasikan secara komprehensif dampak pandemi terhadap kehidupan mahasiswa di seluruh dunia mencakup dimensi akademik, sosial, dan finansial.</w:t>
      </w:r>
      <w:r w:rsidR="005E222F">
        <w:rPr>
          <w:color w:val="000000"/>
          <w:lang w:val="en-US"/>
        </w:rPr>
        <w:t xml:space="preserve"> </w:t>
      </w:r>
      <w:sdt>
        <w:sdtPr>
          <w:rPr>
            <w:color w:val="000000"/>
            <w:lang w:val="en-US"/>
          </w:rPr>
          <w:tag w:val="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1066915341"/>
          <w:placeholder>
            <w:docPart w:val="DefaultPlaceholder_-1854013440"/>
          </w:placeholder>
        </w:sdtPr>
        <w:sdtEndPr/>
        <w:sdtContent>
          <w:r w:rsidR="00BA594A" w:rsidRPr="00BA594A">
            <w:rPr>
              <w:color w:val="000000"/>
              <w:lang w:val="en-US"/>
            </w:rPr>
            <w:t>(Purcell and Lumbreras 2021)</w:t>
          </w:r>
        </w:sdtContent>
      </w:sdt>
      <w:r w:rsidR="005E222F">
        <w:rPr>
          <w:color w:val="000000"/>
          <w:lang w:val="en-US"/>
        </w:rPr>
        <w:t xml:space="preserve"> </w:t>
      </w:r>
      <w:r w:rsidRPr="005E222F">
        <w:rPr>
          <w:color w:val="000000"/>
        </w:rPr>
        <w:t xml:space="preserve"> menunjukkan pandemi mengekspos fragilitas dan ketidaksetaraan dalam sistem pendidikan tinggi global, dengan dampak tidak setara antar institusi dan populasi. </w:t>
      </w:r>
      <w:sdt>
        <w:sdtPr>
          <w:rPr>
            <w:color w:val="000000"/>
            <w:lang w:val="en-US"/>
          </w:rPr>
          <w:tag w:val="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
          <w:id w:val="-2069719902"/>
          <w:placeholder>
            <w:docPart w:val="DefaultPlaceholder_-1854013440"/>
          </w:placeholder>
        </w:sdtPr>
        <w:sdtEndPr/>
        <w:sdtContent>
          <w:r w:rsidR="00BA594A" w:rsidRPr="00BA594A">
            <w:rPr>
              <w:color w:val="000000"/>
              <w:lang w:val="en-US"/>
            </w:rPr>
            <w:t>El Said (2021)</w:t>
          </w:r>
        </w:sdtContent>
      </w:sdt>
      <w:r w:rsidRPr="005E222F">
        <w:rPr>
          <w:color w:val="000000"/>
        </w:rPr>
        <w:t xml:space="preserve"> menemukan COVID</w:t>
      </w:r>
      <w:r w:rsidR="007C1716" w:rsidRPr="005E222F">
        <w:rPr>
          <w:color w:val="000000"/>
        </w:rPr>
        <w:t xml:space="preserve"> </w:t>
      </w:r>
      <w:r w:rsidRPr="005E222F">
        <w:rPr>
          <w:color w:val="000000"/>
        </w:rPr>
        <w:t>19 secara dramatis membentuk ulang cara penyampaian pendidikan di negara berkembang secara struktural dan permanen.</w:t>
      </w:r>
    </w:p>
    <w:p w:rsidR="002316A4" w:rsidRDefault="00C02299">
      <w:pPr>
        <w:spacing w:after="160" w:line="480" w:lineRule="auto"/>
        <w:ind w:firstLine="720"/>
        <w:jc w:val="both"/>
      </w:pPr>
      <w:r w:rsidRPr="005E222F">
        <w:rPr>
          <w:color w:val="000000"/>
        </w:rPr>
        <w:t>Di Indonesia,</w:t>
      </w:r>
      <w:r w:rsidR="005E222F">
        <w:rPr>
          <w:color w:val="000000"/>
          <w:lang w:val="en-US"/>
        </w:rPr>
        <w:t xml:space="preserve"> </w:t>
      </w:r>
      <w:sdt>
        <w:sdtPr>
          <w:rPr>
            <w:color w:val="000000"/>
            <w:lang w:val="en-US"/>
          </w:rPr>
          <w:tag w:val="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
          <w:id w:val="-88312217"/>
          <w:placeholder>
            <w:docPart w:val="DefaultPlaceholder_-1854013440"/>
          </w:placeholder>
        </w:sdtPr>
        <w:sdtEndPr/>
        <w:sdtContent>
          <w:r w:rsidR="00BA594A" w:rsidRPr="00BA594A">
            <w:rPr>
              <w:color w:val="000000"/>
              <w:lang w:val="en-US"/>
            </w:rPr>
            <w:t>Cahyadi et al. (2022)</w:t>
          </w:r>
        </w:sdtContent>
      </w:sdt>
      <w:r w:rsidRPr="005E222F">
        <w:rPr>
          <w:color w:val="000000"/>
        </w:rPr>
        <w:t xml:space="preserve"> mengonfirmasi bahwa pandemi COVID-19 mempercepat adopsi teknologi digital di perguruan tinggi Indonesia, mengubah preferensi dan perilaku calon mahasiswa secara permanen. Temuan ini </w:t>
      </w:r>
      <w:r w:rsidRPr="005E222F">
        <w:rPr>
          <w:color w:val="000000"/>
        </w:rPr>
        <w:lastRenderedPageBreak/>
        <w:t>menjadi justifikasi kritis dalam penelitian ini: pergeseran komposisi segmen pendaftar ITSNU Pekalongan tidak dapat dipahami hanya dari data satu tahun, melainkan memerlukan analisis temporal multi</w:t>
      </w:r>
      <w:r w:rsidR="007C1716" w:rsidRPr="005E222F">
        <w:rPr>
          <w:color w:val="000000"/>
        </w:rPr>
        <w:t xml:space="preserve"> </w:t>
      </w:r>
      <w:r w:rsidRPr="005E222F">
        <w:rPr>
          <w:color w:val="000000"/>
        </w:rPr>
        <w:t>periode</w:t>
      </w:r>
      <w:r>
        <w:rPr>
          <w:color w:val="000000"/>
        </w:rPr>
        <w:t xml:space="preserve"> yang mampu mendeteksi structural break dan menghasilkan </w:t>
      </w:r>
      <w:r>
        <w:rPr>
          <w:i/>
          <w:color w:val="000000"/>
        </w:rPr>
        <w:t>reasoning</w:t>
      </w:r>
      <w:r>
        <w:rPr>
          <w:color w:val="000000"/>
        </w:rPr>
        <w:t xml:space="preserve"> kausal atas perubahan yang terjadi.</w:t>
      </w:r>
    </w:p>
    <w:p w:rsidR="002316A4" w:rsidRDefault="00C02299">
      <w:pPr>
        <w:pStyle w:val="Judul2"/>
        <w:spacing w:line="480" w:lineRule="auto"/>
        <w:jc w:val="both"/>
        <w:outlineLvl w:val="2"/>
      </w:pPr>
      <w:r>
        <w:t>2.9 Personalisasi Rekrutmen Berbasis Data</w:t>
      </w:r>
    </w:p>
    <w:p w:rsidR="00CD6E2D" w:rsidRPr="00EB55A7" w:rsidRDefault="000A30E9" w:rsidP="00CD6E2D">
      <w:pPr>
        <w:spacing w:after="160"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EndPr/>
        <w:sdtContent>
          <w:r w:rsidR="00BA594A" w:rsidRPr="00BA594A">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EndPr/>
        <w:sdtContent>
          <w:r w:rsidR="00BA594A" w:rsidRPr="00BA594A">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EndPr/>
        <w:sdtContent>
          <w:r w:rsidR="00BA594A" w:rsidRPr="00BA594A">
            <w:rPr>
              <w:color w:val="000000"/>
              <w:lang w:val="en-US"/>
            </w:rPr>
            <w:t>Tuyishimire et al. (2022)</w:t>
          </w:r>
        </w:sdtContent>
      </w:sdt>
      <w:r w:rsidR="00C02299" w:rsidRPr="005E222F">
        <w:rPr>
          <w:color w:val="000000"/>
          <w:i/>
        </w:rPr>
        <w:t xml:space="preserve"> membuktikan segmentasi data historis meningkatkan efisiensi konversi rekrutmen. Penelitian ini mengintegrasikan personalisasi sebagai output otomatis LLM berupa: (1) pesan komunikasi per segmen; (2) channel optimal berbasis profil geografis; (3) waktu kampanye optimal; dan (4) value proposition sesuai karakteristik sosio</w:t>
      </w:r>
      <w:r w:rsidR="007C1716" w:rsidRPr="005E222F">
        <w:rPr>
          <w:color w:val="000000"/>
        </w:rPr>
        <w:t xml:space="preserve"> </w:t>
      </w:r>
      <w:r w:rsidR="00C02299" w:rsidRPr="005E222F">
        <w:rPr>
          <w:color w:val="000000"/>
        </w:rPr>
        <w:t>ekonomi segmen.</w:t>
      </w:r>
    </w:p>
    <w:p w:rsidR="002316A4" w:rsidRDefault="00C02299">
      <w:pPr>
        <w:pStyle w:val="Judul2"/>
        <w:spacing w:line="480" w:lineRule="auto"/>
        <w:jc w:val="left"/>
        <w:outlineLvl w:val="2"/>
      </w:pPr>
      <w:r>
        <w:t>2.10 Matriks Tinjauan Pustaka</w:t>
      </w:r>
    </w:p>
    <w:p w:rsidR="006B4AE2" w:rsidRDefault="00C02299" w:rsidP="006B4AE2">
      <w:pPr>
        <w:contextualSpacing/>
        <w:jc w:val="center"/>
        <w:rPr>
          <w:b/>
          <w:bCs/>
          <w:color w:val="000000"/>
          <w:sz w:val="20"/>
          <w:szCs w:val="20"/>
        </w:rPr>
        <w:spacing w:line="240" w:lineRule="auto" w:after="240" w:before="0"/>
      </w:pPr>
      <w:r>
        <w:rPr>
          <w:b/>
          <w:sz w:val="20"/>
          <w:szCs w:val="20"/>
        </w:rPr>
        <w:t>Tabel 2.4 Literature Review Matrix: Penelitian Terdahulu dan Posisi Penelitian Ini</w:t>
      </w:r>
    </w:p>
    <w:tbl>
      <w:tblPr>
        <w:tblW w:w="9000"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3</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Shoaib et al. (2025)</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11</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after="160" w:line="480" w:lineRule="auto"/>
        <w:ind w:firstLine="720"/>
        <w:jc w:val="both"/>
      </w:pPr>
      <w:r>
        <w:t xml:space="preserve">Sintesis Gap: Berdasarkan Tabel 2.4, belum ada penelitian yang mengintegrasikan secara terpadu GMM probabilistik time series multi metrik + </w:t>
      </w:r>
      <w:r>
        <w:lastRenderedPageBreak/>
        <w:t>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API OpenRouter. Model utama yang diandalkan adalah meta-llama/llama-3.3-70b-instruct yang menawarkan efisiensi tinggi, didukung oleh sistem fallback otomatis menggunakan model berkapasitas sangat besar dari NVIDIA, yaitu nvidia/nemotron-3-ultra-550b-a55b dan nvidia/nemotron-3-super-120b-a12b. Penggunaan orkestrasi multi-model ini menjamin ketersediaan (menghindari limitasi server) serta keandalan validitas output analitik EDM yang stabil.</w:t>
      </w:r>
    </w:p>
    <w:p w:rsidR="002316A4" w:rsidRDefault="00C02299">
      <w:pPr>
        <w:pStyle w:val="Judul2"/>
        <w:spacing w:line="480" w:lineRule="auto"/>
        <w:jc w:val="both"/>
        <w:outlineLvl w:val="2"/>
      </w:pPr>
      <w:r>
        <w:t>2.11 Kerangka Konseptual Penelitian</w:t>
      </w:r>
    </w:p>
    <w:p w:rsidR="002316A4" w:rsidRDefault="00C02299">
      <w:pPr>
        <w:spacing w:after="160"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2316A4" w:rsidRDefault="00971323">
      <w:pPr>
        <w:spacing w:before="160" w:after="80" w:line="480" w:lineRule="auto"/>
        <w:jc w:val="center"/>
      </w:pPr>
      <w:r>
        <w:rPr>
          <w:noProof/>
        </w:rPr>
        <w:lastRenderedPageBreak/>
        <w:drawing>
          <wp:inline distT="0" distB="0" distL="0" distR="0">
            <wp:extent cx="5271355" cy="3233651"/>
            <wp:effectExtent l="0" t="0" r="0" b="5080"/>
            <wp:docPr id="2"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erangka_konseptual (4).png"/>
                    <pic:cNvPicPr/>
                  </pic:nvPicPr>
                  <pic:blipFill rotWithShape="1">
                    <a:blip r:embed="rId9" cstate="print">
                      <a:extLst>
                        <a:ext uri="{28A0092B-C50C-407E-A947-70E740481C1C}">
                          <a14:useLocalDpi xmlns:a14="http://schemas.microsoft.com/office/drawing/2010/main" val="0"/>
                        </a:ext>
                      </a:extLst>
                    </a:blip>
                    <a:srcRect l="6105" t="19402" r="23443" b="9988"/>
                    <a:stretch/>
                  </pic:blipFill>
                  <pic:spPr bwMode="auto">
                    <a:xfrm>
                      <a:off x="0" y="0"/>
                      <a:ext cx="5284940" cy="3241985"/>
                    </a:xfrm>
                    <a:prstGeom prst="rect">
                      <a:avLst/>
                    </a:prstGeom>
                    <a:ln>
                      <a:noFill/>
                    </a:ln>
                    <a:extLst>
                      <a:ext uri="{53640926-AAD7-44D8-BBD7-CCE9431645EC}">
                        <a14:shadowObscured xmlns:a14="http://schemas.microsoft.com/office/drawing/2010/main"/>
                      </a:ext>
                    </a:extLst>
                  </pic:spPr>
                </pic:pic>
              </a:graphicData>
            </a:graphic>
          </wp:inline>
        </w:drawing>
      </w:r>
    </w:p>
    <w:p w:rsidR="002316A4" w:rsidRDefault="00C02299" w:rsidP="00EB55A7">
      <w:pPr>
        <w:jc w:val="center"/>
        <w:spacing w:line="240" w:lineRule="auto" w:after="240" w:before="0"/>
      </w:pPr>
      <w:r>
        <w:rPr>
          <w:b/>
          <w:color w:val="000000"/>
          <w:sz w:val="20"/>
          <w:szCs w:val="20"/>
        </w:rPr>
        <w:t xml:space="preserve">Gambar 2.1 Kerangka Konseptual Penelitian: Hybrid </w:t>
      </w:r>
      <w:r>
        <w:rPr>
          <w:b/>
          <w:i/>
          <w:color w:val="000000"/>
          <w:sz w:val="20"/>
          <w:szCs w:val="20"/>
        </w:rPr>
        <w:t>Pipeline</w:t>
      </w:r>
      <w:r>
        <w:rPr>
          <w:b/>
          <w:color w:val="000000"/>
          <w:sz w:val="20"/>
          <w:szCs w:val="20"/>
        </w:rPr>
        <w:t xml:space="preserve"> IndoBERT–GMM–LLM untuk Optimalisasi Rekrutmen ITSNU Pekalongan</w:t>
      </w:r>
    </w:p>
    <w:p w:rsidR="002316A4" w:rsidRDefault="00C02299" w:rsidP="00EB55A7">
      <w:pPr>
        <w:spacing w:after="120"/>
        <w:jc w:val="both"/>
        <w:rPr>
          <w:i/>
          <w:iCs/>
          <w:color w:val="000000"/>
          <w:szCs w:val="20"/>
        </w:rPr>
      </w:pPr>
      <w:r>
        <w:rPr>
          <w:iCs/>
          <w:color w:val="000000"/>
          <w:szCs w:val="20"/>
          <w:i/>
        </w:rPr>
        <w:t>Sumber: Kerangka konseptual penelitian, diadaptasi dari Scrucca et al. (2024), Koto et al. (2020), dan Grattafiori et al. (2024)</w:t>
      </w:r>
    </w:p>
    <w:p w:rsidR="00D07E87" w:rsidRDefault="00D07E87" w:rsidP="00EB55A7">
      <w:pPr>
        <w:spacing w:after="120"/>
        <w:jc w:val="both"/>
      </w:pPr>
    </w:p>
    <w:p w:rsidR="002316A4" w:rsidRPr="00D07E87" w:rsidRDefault="00C02299" w:rsidP="00D118B1">
      <w:pPr>
        <w:spacing w:after="120" w:line="480" w:lineRule="auto"/>
        <w:ind w:firstLine="720"/>
        <w:rPr>
          <w:color w:val="000000"/>
        </w:rPr>
        <w:jc w:val="cente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Pr="00D07E87">
        <w:rPr>
          <w:color w:val="000000"/>
        </w:rPr>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w:t>
      </w:r>
      <w:r w:rsidRPr="00D07E87">
        <w:rPr>
          <w:color w:val="000000"/>
        </w:rPr>
        <w:lastRenderedPageBreak/>
        <w:t xml:space="preserve">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outlineLvl w:val="2"/>
      </w:pPr>
      <w:r>
        <w:t>2.1</w:t>
      </w:r>
      <w:r>
        <w:rPr>
          <w:lang w:val="en-US"/>
        </w:rPr>
        <w:t>2</w:t>
      </w:r>
      <w:r>
        <w:t xml:space="preserve"> </w:t>
      </w:r>
      <w:r w:rsidRPr="00CD6E2D">
        <w:rPr>
          <w:rStyle w:val="MdStrong"/>
          <w:b/>
        </w:rPr>
        <w:t>Validasi Output AI dan Kebijakan Institusional</w:t>
      </w:r>
    </w:p>
    <w:p w:rsidR="00864E21" w:rsidRDefault="00864E21" w:rsidP="00864E21">
      <w:pPr>
        <w:spacing w:after="160"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EndPr/>
        <w:sdtContent>
          <w:r w:rsidR="00BA594A" w:rsidRPr="00BA594A">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EndPr/>
        <w:sdtContent>
          <w:r w:rsidR="00BA594A" w:rsidRPr="00BA594A">
            <w:rPr>
              <w:color w:val="000000"/>
              <w:lang w:val="en-US"/>
            </w:rPr>
            <w:t>(Saarela et al. 2026)</w:t>
          </w:r>
        </w:sdtContent>
      </w:sdt>
      <w:r w:rsidRPr="00864E21">
        <w:t>.</w:t>
      </w:r>
    </w:p>
    <w:p w:rsidR="00864E21" w:rsidRPr="00864E21" w:rsidRDefault="00864E21" w:rsidP="00864E21">
      <w:pPr>
        <w:spacing w:after="160" w:line="480" w:lineRule="auto"/>
        <w:ind w:firstLine="720"/>
        <w:jc w:val="both"/>
      </w:pPr>
      <w:r w:rsidRPr="00864E21">
        <w:t>Audit manusia juga memberikan dimensi etis dan strategis, mengontekstualisasikan luaran AI agar selaras dengan nilai institusional dan 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EndPr/>
        <w:sdtContent>
          <w:r w:rsidR="00BA594A" w:rsidRPr="00BA594A">
            <w:rPr>
              <w:color w:val="000000"/>
              <w:lang w:val="en-US"/>
            </w:rPr>
            <w:t>(Fajardo-Ramos, Chiappe, and Mella-Norambuena 2025)</w:t>
          </w:r>
        </w:sdtContent>
      </w:sdt>
      <w:r w:rsidRPr="00864E21">
        <w:t>. Penilaian praktisi tetap menjadi gold standard karena lebih holistik dalam menilai 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EndPr/>
        <w:sdtContent>
          <w:r w:rsidR="00BA594A" w:rsidRPr="00BA594A">
            <w:rPr>
              <w:color w:val="000000"/>
              <w:lang w:val="en-US"/>
            </w:rPr>
            <w:t>(Kocaman et al. 2025)</w:t>
          </w:r>
        </w:sdtContent>
      </w:sdt>
      <w:r w:rsidRPr="00864E21">
        <w:t xml:space="preserve">. Dalam penelitian ini, narasi persona dan proyeksi rekrutmen dari Llama 3.2 3B dikalibrasi ulang melalui wawasan Tim PMB ITSNU Pekalongan, menghasilkan luaran yang tidak hanya memenuhi standar teknis tetapi juga memiliki validitas isi </w:t>
      </w:r>
      <w:r w:rsidRPr="00864E21">
        <w:lastRenderedPageBreak/>
        <w:t>dan relevansi strategis bagi kebutuhan institusi serta standar akademik program Magister Komputer.</w:t>
      </w:r>
    </w:p>
    <w:p w:rsidR="006B4AE2" w:rsidRDefault="00C02299" w:rsidP="006B4AE2">
      <w:pPr>
        <w:pStyle w:val="Judul1"/>
        <w:pageBreakBefore/>
        <w:spacing w:line="480" w:lineRule="auto"/>
        <w:contextualSpacing/>
        <w:jc w:val="center"/>
        <w:outlineLvl w:val="1"/>
      </w:pPr>
      <w:r>
        <w:lastRenderedPageBreak/>
        <w:t xml:space="preserve">BAB III </w:t>
      </w:r>
    </w:p>
    <w:p w:rsidR="002316A4" w:rsidRDefault="00C02299" w:rsidP="006B4AE2">
      <w:pPr>
        <w:pStyle w:val="Judul1"/>
        <w:spacing w:line="480" w:lineRule="auto"/>
        <w:contextualSpacing/>
        <w:jc w:val="center"/>
        <w:outlineLvl w:val="1"/>
      </w:pPr>
      <w:r>
        <w:t>METODOLOGI PENELITIAN</w:t>
      </w:r>
    </w:p>
    <w:p w:rsidR="002316A4" w:rsidRDefault="00C02299">
      <w:pPr>
        <w:pStyle w:val="Judul2"/>
        <w:spacing w:line="480" w:lineRule="auto"/>
        <w:jc w:val="left"/>
        <w:outlineLvl w:val="2"/>
      </w:pPr>
      <w:r>
        <w:t>3.1 Desain Penelitian</w:t>
      </w:r>
    </w:p>
    <w:p w:rsidR="002316A4" w:rsidRDefault="00C02299">
      <w:pPr>
        <w:spacing w:after="160"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after="160"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color w:val="000000"/>
          <w:i/>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pStyle w:val="Judul2"/>
        <w:spacing w:line="480" w:lineRule="auto"/>
        <w:jc w:val="left"/>
        <w:outlineLvl w:val="2"/>
      </w:pPr>
    </w:p>
    <w:p w:rsidR="002316A4" w:rsidRDefault="00C02299">
      <w:pPr>
        <w:pStyle w:val="Judul2"/>
        <w:spacing w:line="480" w:lineRule="auto"/>
        <w:jc w:val="left"/>
        <w:outlineLvl w:val="2"/>
      </w:pPr>
      <w:r>
        <w:lastRenderedPageBreak/>
        <w:t>3.2 Diagram Alur Penelitian</w:t>
      </w:r>
    </w:p>
    <w:p w:rsidR="002316A4" w:rsidRDefault="00C02299" w:rsidP="00EB55A7">
      <w:pPr>
        <w:spacing w:before="80" w:after="80" w:line="480" w:lineRule="auto"/>
        <w:jc w:val="center"/>
      </w:pPr>
      <w:r>
        <w:rPr>
          <w:noProof/>
        </w:rPr>
        <w:drawing>
          <wp:inline distT="0" distB="0" distL="0" distR="0">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0"/>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Default="00C02299" w:rsidP="00D07E87">
      <w:pPr>
        <w:contextualSpacing/>
        <w:jc w:val="center"/>
        <w:spacing w:line="240" w:lineRule="auto" w:after="240" w:before="0"/>
      </w:pPr>
      <w:r>
        <w:rPr>
          <w:b/>
          <w:color w:val="000000"/>
          <w:sz w:val="20"/>
          <w:szCs w:val="20"/>
        </w:rPr>
        <w:t xml:space="preserve">Gambar 3.1 Flowchart Alur Penelitian: Hybrid </w:t>
      </w:r>
      <w:r>
        <w:rPr>
          <w:b/>
          <w:i/>
          <w:color w:val="000000"/>
          <w:sz w:val="20"/>
          <w:szCs w:val="20"/>
        </w:rPr>
        <w:t>Pipeline</w:t>
      </w:r>
      <w:r>
        <w:rPr>
          <w:b/>
          <w:color w:val="000000"/>
          <w:sz w:val="20"/>
          <w:szCs w:val="20"/>
        </w:rPr>
        <w:t xml:space="preserve"> IndoBERT–GMM–LLM Time Series Berbasis CRISP</w:t>
      </w:r>
      <w:r w:rsidR="007C1716">
        <w:rPr>
          <w:b/>
          <w:color w:val="000000"/>
          <w:sz w:val="20"/>
          <w:szCs w:val="20"/>
        </w:rPr>
        <w:t xml:space="preserve"> </w:t>
      </w:r>
      <w:r>
        <w:rPr>
          <w:b/>
          <w:color w:val="000000"/>
          <w:sz w:val="20"/>
          <w:szCs w:val="20"/>
        </w:rPr>
        <w:t>DM Adaptif (Data PMB ITSNU Pekalongan 6 Periode 2019–2024)</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Cs/>
          <w:color w:val="000000"/>
          <w:sz w:val="20"/>
          <w:szCs w:val="20"/>
          <w:i/>
        </w:rPr>
        <w:t>DM (Mariscal et al., 2010)</w:t>
      </w:r>
    </w:p>
    <w:p w:rsidR="00D07E87" w:rsidRDefault="00D07E87">
      <w:pPr>
        <w:spacing w:after="160" w:line="480" w:lineRule="auto"/>
        <w:ind w:firstLine="720"/>
        <w:jc w:val="both"/>
        <w:rPr>
          <w:color w:val="000000"/>
        </w:rPr>
      </w:pPr>
    </w:p>
    <w:p w:rsidR="002316A4" w:rsidRDefault="00C02299">
      <w:pPr>
        <w:spacing w:after="160"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outlineLvl w:val="2"/>
      </w:pPr>
      <w:r>
        <w:t>3.3 Tahap 1  Business Understanding</w:t>
      </w:r>
    </w:p>
    <w:p w:rsidR="002316A4" w:rsidRDefault="00C02299">
      <w:pPr>
        <w:spacing w:after="160" w:line="480" w:lineRule="auto"/>
        <w:ind w:firstLine="720"/>
        <w:jc w:val="both"/>
      </w:pPr>
      <w:r>
        <w:rPr>
          <w:color w:val="000000"/>
        </w:rPr>
        <w:t>Mencakup dua aktivitas: (1) pemetaan kebutuhan rekrutmen multi</w:t>
      </w:r>
      <w:r w:rsidR="007C1716">
        <w:rPr>
          <w:color w:val="000000"/>
        </w:rPr>
        <w:t xml:space="preserve"> </w:t>
      </w:r>
      <w:r>
        <w:rPr>
          <w:color w:val="000000"/>
        </w:rPr>
        <w:t>periode ITSNU Pekalongan mengidentifikasi pertanyaan bisnis kritis: siapa segmen paling potensial, bagaimana profil berubah akibat pandemi, dan segmen mana yang diprioritaskan untuk 2025; dan (2) definisi operasional empat fungsi otomasi LLM 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jc w:val="left"/>
        <w:outlineLvl w:val="2"/>
      </w:pPr>
      <w:r>
        <w:lastRenderedPageBreak/>
        <w:t>3.4 Tahap 2  Data Collection</w:t>
      </w:r>
    </w:p>
    <w:p w:rsidR="002316A4" w:rsidRDefault="00C02299">
      <w:pPr>
        <w:spacing w:after="160"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6B4AE2" w:rsidRDefault="00C02299" w:rsidP="006B4AE2">
      <w:pPr>
        <w:contextualSpacing/>
        <w:jc w:val="center"/>
        <w:rPr>
          <w:b/>
          <w:bCs/>
          <w:color w:val="000000"/>
          <w:sz w:val="20"/>
          <w:szCs w:val="20"/>
        </w:rPr>
        <w:spacing w:line="240" w:lineRule="auto" w:after="240" w:before="0"/>
      </w:pPr>
      <w:r>
        <w:rPr>
          <w:b/>
          <w:sz w:val="20"/>
          <w:szCs w:val="20"/>
        </w:rPr>
        <w:t xml:space="preserve">Tabel 3.1 Spesifikasi </w:t>
      </w:r>
      <w:r>
        <w:rPr>
          <w:b/>
          <w:i/>
          <w:sz w:val="20"/>
          <w:szCs w:val="20"/>
        </w:rPr>
        <w:t>Dataset</w:t>
      </w:r>
      <w:r>
        <w:rPr>
          <w:b/>
          <w:sz w:val="20"/>
          <w:szCs w:val="20"/>
        </w:rPr>
        <w:t xml:space="preserve"> Time Series PMB ITSNU Pekalongan 2019–2024</w:t>
      </w:r>
    </w:p>
    <w:tbl>
      <w:tblPr>
        <w:tblW w:w="789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2316A4" w:rsidRDefault="00C02299">
      <w:pPr>
        <w:spacing w:after="160" w:line="480" w:lineRule="auto"/>
        <w:ind w:firstLine="720"/>
        <w:jc w:val="both"/>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outlineLvl w:val="2"/>
      </w:pPr>
      <w:r>
        <w:t>3.5 Tahap 3  Data Understanding</w:t>
      </w:r>
    </w:p>
    <w:p w:rsidR="002316A4" w:rsidRDefault="00C02299">
      <w:pPr>
        <w:spacing w:after="160" w:line="480" w:lineRule="auto"/>
        <w:ind w:firstLine="720"/>
        <w:jc w:val="both"/>
      </w:pPr>
      <w:r>
        <w:rPr>
          <w:color w:val="000000"/>
        </w:rPr>
        <w:t xml:space="preserve">Tahap ini mencakup: (1) profil statistik deskriptif per periode distribusi frekuensi per variabel kategorikal, statistik ringkas, dan visualisasi distribusi </w:t>
      </w:r>
      <w:r>
        <w:rPr>
          <w:color w:val="000000"/>
        </w:rPr>
        <w:lastRenderedPageBreak/>
        <w:t>(Gambar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outlineLvl w:val="2"/>
      </w:pPr>
      <w:r>
        <w:t>3.6 Tahap 4  Data Preparation (Otomasi Batch 6 Periode)</w:t>
      </w:r>
    </w:p>
    <w:p w:rsidR="002316A4" w:rsidRDefault="00C02299">
      <w:pPr>
        <w:spacing w:after="160"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after="160"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after="160"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after="160" w:line="480" w:lineRule="auto"/>
        <w:ind w:firstLine="720"/>
        <w:jc w:val="both"/>
      </w:pPr>
      <w:r>
        <w:rPr>
          <w:color w:val="000000"/>
        </w:rPr>
        <w:t>Subproses C Geocoding Koordinat Geospasial: GeoPy/Nominatim API dengan delay 1 detik dan timeout 10 detik. Koordinat gagal diimputasi dengan modus koordinat kecamatan pada tahun yang sama.</w:t>
      </w:r>
    </w:p>
    <w:p w:rsidR="002316A4" w:rsidRPr="00BA594A" w:rsidRDefault="00C02299">
      <w:pPr>
        <w:spacing w:after="160" w:line="480" w:lineRule="auto"/>
        <w:ind w:firstLine="720"/>
        <w:jc w:val="both"/>
      </w:pPr>
      <w:r>
        <w:rPr>
          <w:color w:val="000000"/>
        </w:rPr>
        <w:lastRenderedPageBreak/>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133235264"/>
          <w:placeholder>
            <w:docPart w:val="DefaultPlaceholder_-1854013440"/>
          </w:placeholder>
        </w:sdtPr>
        <w:sdtEndPr/>
        <w:sdtContent>
          <w:r w:rsidR="00BA594A" w:rsidRPr="00BA594A">
            <w:rPr>
              <w:color w:val="000000"/>
              <w:lang w:val="en-US"/>
            </w:rPr>
            <w:t>(Pedregosa FABIANPEDREGOSA et al. 2011)</w:t>
          </w:r>
        </w:sdtContent>
      </w:sdt>
      <w:r w:rsidRPr="00BA594A">
        <w:rPr>
          <w:color w:val="000000"/>
        </w:rPr>
        <w:t>.</w:t>
      </w:r>
    </w:p>
    <w:p w:rsidR="002316A4" w:rsidRDefault="00C02299">
      <w:pPr>
        <w:spacing w:after="160" w:line="480" w:lineRule="auto"/>
        <w:ind w:firstLine="720"/>
        <w:jc w:val="both"/>
      </w:pPr>
      <w:r>
        <w:rPr>
          <w:color w:val="000000"/>
        </w:rPr>
        <w:t>Subproses E Feature Integration dan Standardisasi: IntegrUntuk 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outlineLvl w:val="2"/>
      </w:pPr>
      <w:r>
        <w:t>3.7 Tahap 5  Dimensionality Reduction: PCA Konsisten 6 Periode</w:t>
      </w:r>
    </w:p>
    <w:p w:rsidR="002316A4" w:rsidRDefault="00C02299">
      <w:pPr>
        <w:spacing w:after="160"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outlineLvl w:val="2"/>
      </w:pPr>
      <w:r>
        <w:t>3.8 Tahap 6  Modeling: GMM per Periode</w:t>
      </w:r>
    </w:p>
    <w:p w:rsidR="002316A4" w:rsidRDefault="00C02299">
      <w:pPr>
        <w:spacing w:after="160" w:line="480" w:lineRule="auto"/>
        <w:ind w:firstLine="720"/>
        <w:jc w:val="both"/>
      </w:pPr>
      <w:r>
        <w:rPr>
          <w:color w:val="000000"/>
        </w:rPr>
        <w:t xml:space="preserve">K-scan dari 2 hingga 6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EndPr/>
        <w:sdtContent>
          <w:r w:rsidR="00BA594A" w:rsidRPr="00BA594A">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2316A4" w:rsidRDefault="00C02299">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6B4AE2" w:rsidRDefault="00C02299" w:rsidP="006B4AE2">
      <w:pPr>
        <w:contextualSpacing/>
        <w:jc w:val="center"/>
        <w:rPr>
          <w:b/>
          <w:bCs/>
          <w:color w:val="000000"/>
          <w:sz w:val="20"/>
          <w:szCs w:val="20"/>
        </w:rPr>
        <w:spacing w:line="240" w:lineRule="auto" w:after="240" w:before="0"/>
      </w:pPr>
      <w:r>
        <w:rPr>
          <w:b/>
          <w:sz w:val="20"/>
          <w:szCs w:val="20"/>
        </w:rPr>
        <w:lastRenderedPageBreak/>
        <w:t>Tabel 3.2 Parameter Implementasi GMM (Scikit-learn v1.4+)</w:t>
      </w:r>
    </w:p>
    <w:tbl>
      <w:tblPr>
        <w:tblW w:w="8106"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full</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Memungkinkan matriks kovarians elipsoid bebas per klaster</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1e</w:t>
            </w:r>
            <w:r w:rsidR="007C1716">
              <w:rPr>
                <w:color w:val="000000" w:themeColor="text1"/>
                <w:sz w:val="20"/>
                <w:szCs w:val="20"/>
              </w:rPr>
              <w:t xml:space="preserve"> </w:t>
            </w:r>
            <w:r w:rsidRPr="006B4AE2">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Convergence threshold standar (perubahan log</w:t>
            </w:r>
            <w:r w:rsidR="007C1716">
              <w:rPr>
                <w:color w:val="000000" w:themeColor="text1"/>
                <w:sz w:val="20"/>
                <w:szCs w:val="20"/>
              </w:rPr>
              <w:t xml:space="preserve"> </w:t>
            </w:r>
            <w:r w:rsidRPr="006B4AE2">
              <w:rPr>
                <w:color w:val="000000" w:themeColor="text1"/>
                <w:sz w:val="20"/>
                <w:szCs w:val="20"/>
              </w:rPr>
              <w:t>likelihood)</w:t>
            </w:r>
          </w:p>
        </w:tc>
      </w:tr>
    </w:tbl>
    <w:p w:rsidR="002316A4" w:rsidRDefault="00C02299" w:rsidP="00BA594A">
      <w:pPr>
        <w:spacing w:after="120"/>
        <w:jc w:val="both"/>
      </w:pPr>
      <w:r>
        <w:rPr>
          <w:iCs/>
          <w:color w:val="000000"/>
          <w:szCs w:val="20"/>
          <w:i/>
        </w:rPr>
        <w:t>Sumber: Pedregosa et al. (2011); desain parameter penelitian (2025)</w:t>
      </w:r>
    </w:p>
    <w:p w:rsidR="002316A4" w:rsidRDefault="00C02299">
      <w:pPr>
        <w:pStyle w:val="Judul2"/>
        <w:spacing w:line="480" w:lineRule="auto"/>
        <w:jc w:val="both"/>
        <w:outlineLvl w:val="2"/>
      </w:pPr>
      <w:r>
        <w:t>3.9 Tahap 7  Time Series Analysis</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2316A4" w:rsidRDefault="00C02299">
      <w:pPr>
        <w:jc w:val="center"/>
        <w:spacing w:line="240" w:lineRule="auto" w:after="240" w:before="0"/>
      </w:pPr>
      <w:r>
        <w:rPr>
          <w:b/>
          <w:bCs/>
          <w:color w:val="000000"/>
          <w:sz w:val="20"/>
          <w:szCs w:val="20"/>
        </w:rPr>
        <w:t xml:space="preserve">Tabel 3.3 </w:t>
      </w:r>
      <w:r>
        <w:rPr>
          <w:b/>
          <w:bCs/>
          <w:i/>
          <w:color w:val="000000"/>
          <w:sz w:val="20"/>
          <w:szCs w:val="20"/>
        </w:rPr>
        <w:t>Threshold</w:t>
      </w:r>
      <w:r>
        <w:rPr>
          <w:b/>
          <w:bCs/>
          <w:color w:val="000000"/>
          <w:sz w:val="20"/>
          <w:szCs w:val="20"/>
        </w:rPr>
        <w:t xml:space="preserve"> Interpretasi Metrik Stabilitas Klaster</w:t>
      </w:r>
    </w:p>
    <w:tbl>
      <w:tblPr>
        <w:tblW w:w="9000"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Cs/>
          <w:color w:val="000000"/>
          <w:szCs w:val="20"/>
          <w:i/>
        </w:rPr>
        <w:t>Sumber: Adaptasi dari Hubert &amp; Arabie (1985) dan Scrucca et al. (2024)</w:t>
      </w:r>
    </w:p>
    <w:p w:rsidR="00D07E87" w:rsidRDefault="00D07E87">
      <w:pPr>
        <w:spacing w:after="160" w:line="480" w:lineRule="auto"/>
        <w:ind w:firstLine="720"/>
        <w:jc w:val="both"/>
        <w:rPr>
          <w:color w:val="000000"/>
        </w:rPr>
      </w:pPr>
    </w:p>
    <w:p w:rsidR="002316A4" w:rsidRDefault="00C02299">
      <w:pPr>
        <w:spacing w:after="160" w:line="480" w:lineRule="auto"/>
        <w:ind w:firstLine="720"/>
        <w:jc w:val="both"/>
      </w:pPr>
      <w:r>
        <w:rPr>
          <w:color w:val="000000"/>
        </w:rPr>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pPr>
        <w:pStyle w:val="Judul2"/>
        <w:spacing w:line="480" w:lineRule="auto"/>
        <w:jc w:val="both"/>
        <w:outlineLvl w:val="2"/>
      </w:pPr>
      <w:r>
        <w:t>3.10 Tahap 8  Evaluasi Multi</w:t>
      </w:r>
      <w:r w:rsidR="007C1716">
        <w:t xml:space="preserve"> </w:t>
      </w:r>
      <w:r>
        <w:t>Level</w:t>
      </w:r>
    </w:p>
    <w:p w:rsidR="002316A4" w:rsidRDefault="00C02299">
      <w:pPr>
        <w:jc w:val="center"/>
        <w:spacing w:line="240" w:lineRule="auto" w:after="240" w:before="0"/>
      </w:pPr>
      <w:r>
        <w:rPr>
          <w:b/>
          <w:bCs/>
          <w:color w:val="000000"/>
          <w:sz w:val="20"/>
          <w:szCs w:val="20"/>
        </w:rPr>
        <w:t>Tabel 3.4 Ringkasan Metrik Evaluasi Lengkap</w:t>
      </w:r>
    </w:p>
    <w:tbl>
      <w:tblPr>
        <w:tblW w:w="7934"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lastRenderedPageBreak/>
              <w:t>Metrik</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 0]</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Cs/>
          <w:color w:val="000000"/>
          <w:szCs w:val="20"/>
          <w:i/>
        </w:rPr>
        <w:t>Sumber: Adaptasi dari Hubert &amp; Arabie (1985), Reimers &amp; Gurevych (2019), dan Scrucca et al. (2024)</w:t>
      </w:r>
    </w:p>
    <w:p w:rsidR="002316A4" w:rsidRDefault="00C02299">
      <w:pPr>
        <w:pStyle w:val="Judul2"/>
        <w:spacing w:line="480" w:lineRule="auto"/>
        <w:jc w:val="both"/>
        <w:outlineLvl w:val="2"/>
      </w:pPr>
      <w:r>
        <w:t>3.11 Tahap 9  Otomasi Analisis LLM</w:t>
      </w:r>
    </w:p>
    <w:p w:rsidR="00A90E84" w:rsidRDefault="00C02299" w:rsidP="00A90E84">
      <w:pPr>
        <w:spacing w:after="160" w:line="480" w:lineRule="auto"/>
        <w:ind w:firstLine="720"/>
        <w:jc w:val="both"/>
      </w:pPr>
      <w:r>
        <w:t>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Demografis, Motivasi Utama, Hambatan Utama, Pesan Kunci, Channel Terbaik.' Reasoning kausal mengintegrasikan ARI, centroid drift, perubahan proporsi, dan konteks historis pandemi .</w:t>
      </w:r>
    </w:p>
    <w:p w:rsidR="00A90E84" w:rsidRDefault="009745A5" w:rsidP="00A90E84">
      <w:pPr>
        <w:spacing w:after="160" w:line="480" w:lineRule="auto"/>
        <w:ind w:firstLine="720"/>
        <w:jc w:val="both"/>
      </w:pPr>
      <w:r>
        <w:t xml:space="preserve">Pipeline mengimplementasikan Hybrid Cognitive Pipeline dengan dual-engine: (1) Local Engine  Llama 3.2 3B (3,21 miliar parameter) via Ollama runtime untuk tugas yang memerlukan privasi data dan inferensi massal, dan (2) Cloud </w:t>
      </w:r>
      <w:r>
        <w:lastRenderedPageBreak/>
        <w:t>Engine OpenRouter API yang mengakses model-model penalaran tingkat tinggi secara berjenjang (cascade fallback), meliputi meta-llama/llama-3.3-70b-instruct sebagai model utama, serta nvidia/nemotron-3-ultra-550b-a55b dan nvidia/nemotron-3-super-120b-a12b sebagai model cadangan untuk memastikan keberhasilan tugas reasoning kompleks. Pemilihan engine didasarkan pada jenis tugas dan sensitivitas data.</w:t>
      </w:r>
    </w:p>
    <w:p w:rsidR="00A90E84" w:rsidRDefault="009745A5" w:rsidP="00A90E84">
      <w:pPr>
        <w:spacing w:after="160"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after="160"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after="160"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outlineLvl w:val="2"/>
      </w:pPr>
      <w:r>
        <w:lastRenderedPageBreak/>
        <w:t>3.12 Tahap 10  Deployment: Strategi Rekrutmen Prediktif</w:t>
      </w:r>
    </w:p>
    <w:p w:rsidR="006B4AE2" w:rsidRPr="00EB55A7" w:rsidRDefault="00C02299" w:rsidP="0044241A">
      <w:pPr>
        <w:spacing w:after="160" w:line="480" w:lineRule="auto"/>
        <w:ind w:firstLine="720"/>
        <w:jc w:val="both"/>
        <w:rPr>
          <w:color w:val="000000"/>
        </w:rPr>
      </w:pPr>
      <w:r w:rsidRPr="00EB55A7">
        <w:rPr>
          <w:color w:val="000000"/>
        </w:rPr>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EndPr/>
        <w:sdtContent>
          <w:r w:rsidR="00BA594A" w:rsidRPr="00BA594A">
            <w:rPr>
              <w:color w:val="000000"/>
              <w:lang w:val="en-US"/>
            </w:rPr>
            <w:t>(Philip. Kotler and Keller 2016)</w:t>
          </w:r>
        </w:sdtContent>
      </w:sdt>
      <w:r w:rsidR="00A90E84">
        <w:rPr>
          <w:color w:val="000000"/>
          <w:lang w:val="en-US"/>
        </w:rPr>
        <w:t xml:space="preserve"> </w:t>
      </w:r>
      <w:r w:rsidRPr="00EB55A7">
        <w:rPr>
          <w:color w:val="000000"/>
          <w:i/>
        </w:rPr>
        <w:t>proyeksi komposisi 2025, dan panduan personalisasi otomatis per segmen berbasis profil GMM aktual.</w:t>
      </w:r>
    </w:p>
    <w:p w:rsidR="002316A4" w:rsidRDefault="00C02299">
      <w:pPr>
        <w:pStyle w:val="Judul2"/>
        <w:spacing w:line="480" w:lineRule="auto"/>
        <w:jc w:val="left"/>
        <w:outlineLvl w:val="2"/>
      </w:pPr>
      <w:r>
        <w:t>3.13 Instrumen Penelitian</w:t>
      </w:r>
    </w:p>
    <w:p w:rsidR="00E7788F" w:rsidRPr="00E7788F" w:rsidRDefault="00C02299" w:rsidP="00E7788F">
      <w:pPr>
        <w:spacing w:after="160"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979687247"/>
          <w:placeholder>
            <w:docPart w:val="DefaultPlaceholder_-1854013440"/>
          </w:placeholder>
        </w:sdtPr>
        <w:sdtEndPr/>
        <w:sdtContent>
          <w:r w:rsidR="00BA594A" w:rsidRPr="00BA594A">
            <w:rPr>
              <w:color w:val="000000"/>
              <w:lang w:val="en-US"/>
            </w:rPr>
            <w:t>(Pedregosa FABIANPEDREGOSA et al. 2011)</w:t>
          </w:r>
        </w:sdtContent>
      </w:sdt>
      <w:r>
        <w:rPr>
          <w:i/>
          <w:color w:val="000000"/>
        </w:rPr>
        <w:t>.</w:t>
      </w:r>
    </w:p>
    <w:p w:rsidR="006B4AE2" w:rsidRDefault="00C02299" w:rsidP="006B4AE2">
      <w:pPr>
        <w:contextualSpacing/>
        <w:jc w:val="center"/>
        <w:rPr>
          <w:b/>
          <w:bCs/>
          <w:color w:val="000000"/>
          <w:sz w:val="20"/>
          <w:szCs w:val="20"/>
        </w:rPr>
        <w:spacing w:line="240" w:lineRule="auto" w:after="240" w:before="0"/>
      </w:pPr>
      <w:r>
        <w:rPr>
          <w:b/>
          <w:sz w:val="20"/>
          <w:szCs w:val="20"/>
        </w:rPr>
        <w:t>Tabel 3.5 Instrumen Penelitian: Spesifikasi Perangkat Lunak dan Library</w:t>
      </w:r>
    </w:p>
    <w:tbl>
      <w:tblPr>
        <w:tblW w:w="7898"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2370"/>
        <w:gridCol w:w="1316"/>
        <w:gridCol w:w="1316"/>
        <w:gridCol w:w="2896"/>
      </w:tblGrid>
      <w:tr w:rsidR="006B4AE2" w:rsidRPr="006B4AE2"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Fungsi dalam Pipeline</w:t>
            </w:r>
          </w:p>
        </w:tc>
      </w:tr>
      <w:tr w:rsidR="006B4AE2" w:rsidRPr="006B4AE2"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Bahasa utama seluruh pipeline</w:t>
            </w:r>
          </w:p>
        </w:tc>
      </w:tr>
      <w:tr w:rsidR="006B4AE2" w:rsidRPr="006B4AE2"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Implementasi IndoBERT embedding</w:t>
            </w:r>
          </w:p>
        </w:tc>
      </w:tr>
      <w:tr w:rsidR="006B4AE2" w:rsidRPr="006B4AE2"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Scikit</w:t>
            </w:r>
            <w:r w:rsidR="007C1716">
              <w:rPr>
                <w:color w:val="000000" w:themeColor="text1"/>
                <w:sz w:val="20"/>
                <w:szCs w:val="20"/>
              </w:rPr>
              <w:t xml:space="preserve"> </w:t>
            </w:r>
            <w:r w:rsidRPr="006B4AE2">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PCA, StandardScaler, KMeans</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Backend HuggingFace Transformers</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Geocoding koordinat Lat/Lon</w:t>
            </w:r>
          </w:p>
        </w:tc>
      </w:tr>
      <w:tr w:rsidR="006B4AE2" w:rsidRPr="006B4AE2"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Manipulasi dataset &amp; komputasi</w:t>
            </w:r>
          </w:p>
        </w:tc>
      </w:tr>
      <w:tr w:rsidR="006B4AE2" w:rsidRPr="006B4AE2"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Grafik distribusi klaster &amp; tren</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6550A" w:rsidRDefault="009745A5">
            <w:r>
              <w:t>Runtime LLM lokal untuk task PII-sensitive</w:t>
            </w:r>
          </w:p>
        </w:tc>
      </w:tr>
      <w:tr w:rsidR="006B4AE2" w:rsidRPr="006B4AE2"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6550A" w:rsidRDefault="009745A5">
            <w:r>
              <w:t>PII sanitasi, generasi persona, table narratives</w:t>
            </w:r>
          </w:p>
        </w:tc>
      </w:tr>
      <w:tr w:rsidR="006B4AE2" w:rsidRPr="006B4AE2"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Embedding teks Bahasa Indonesia</w:t>
            </w:r>
          </w:p>
        </w:tc>
      </w:tr>
      <w:tr w:rsidR="0026550A" w:rsidTr="00E7788F">
        <w:trPr>
          <w:jc w:val="center"/>
        </w:trPr>
        <w:tc>
          <w:tcPr>
            <w:tcW w:w="2370" w:type="dxa"/>
            <w:tcBorders>
              <w:left w:val="single" w:sz="4" w:space="0" w:color="auto"/>
              <w:right w:val="single" w:sz="4" w:space="0" w:color="auto"/>
            </w:tcBorders>
          </w:tcPr>
          <w:p w:rsidR="0026550A" w:rsidRDefault="009745A5">
            <w:r>
              <w:t>OpenRouter</w:t>
            </w:r>
          </w:p>
        </w:tc>
        <w:tc>
          <w:tcPr>
            <w:tcW w:w="1316" w:type="dxa"/>
            <w:tcBorders>
              <w:left w:val="single" w:sz="4" w:space="0" w:color="auto"/>
              <w:right w:val="single" w:sz="4" w:space="0" w:color="auto"/>
            </w:tcBorders>
          </w:tcPr>
          <w:p w:rsidR="0026550A" w:rsidRDefault="009745A5">
            <w:r>
              <w:t>—</w:t>
            </w:r>
          </w:p>
        </w:tc>
        <w:tc>
          <w:tcPr>
            <w:tcW w:w="1316" w:type="dxa"/>
            <w:tcBorders>
              <w:left w:val="single" w:sz="4" w:space="0" w:color="auto"/>
              <w:right w:val="single" w:sz="4" w:space="0" w:color="auto"/>
            </w:tcBorders>
          </w:tcPr>
          <w:p w:rsidR="0026550A" w:rsidRDefault="009745A5">
            <w:r>
              <w:t>Cloud API</w:t>
            </w:r>
          </w:p>
        </w:tc>
        <w:tc>
          <w:tcPr>
            <w:tcW w:w="2896" w:type="dxa"/>
            <w:tcBorders>
              <w:left w:val="single" w:sz="4" w:space="0" w:color="auto"/>
              <w:right w:val="single" w:sz="4" w:space="0" w:color="auto"/>
            </w:tcBorders>
          </w:tcPr>
          <w:p w:rsidR="0026550A" w:rsidRDefault="009745A5">
            <w:r>
              <w:t>Causal reasoning, narrative summary, structural break analysis (default: meta-llama/llama-3.3-70b-instruct)</w:t>
            </w:r>
          </w:p>
        </w:tc>
      </w:tr>
      <w:tr w:rsidR="0026550A" w:rsidTr="00E7788F">
        <w:trPr>
          <w:jc w:val="center"/>
        </w:trPr>
        <w:tc>
          <w:tcPr>
            <w:tcW w:w="2370" w:type="dxa"/>
            <w:tcBorders>
              <w:left w:val="single" w:sz="4" w:space="0" w:color="auto"/>
              <w:right w:val="single" w:sz="4" w:space="0" w:color="auto"/>
            </w:tcBorders>
          </w:tcPr>
          <w:p w:rsidR="0026550A" w:rsidRDefault="009745A5">
            <w:r>
              <w:t>HybridLLMProvider</w:t>
            </w:r>
          </w:p>
        </w:tc>
        <w:tc>
          <w:tcPr>
            <w:tcW w:w="1316" w:type="dxa"/>
            <w:tcBorders>
              <w:left w:val="single" w:sz="4" w:space="0" w:color="auto"/>
              <w:right w:val="single" w:sz="4" w:space="0" w:color="auto"/>
            </w:tcBorders>
          </w:tcPr>
          <w:p w:rsidR="0026550A" w:rsidRDefault="009745A5">
            <w:r>
              <w:t>—</w:t>
            </w:r>
          </w:p>
        </w:tc>
        <w:tc>
          <w:tcPr>
            <w:tcW w:w="1316" w:type="dxa"/>
            <w:tcBorders>
              <w:left w:val="single" w:sz="4" w:space="0" w:color="auto"/>
              <w:right w:val="single" w:sz="4" w:space="0" w:color="auto"/>
            </w:tcBorders>
          </w:tcPr>
          <w:p w:rsidR="0026550A" w:rsidRDefault="009745A5">
            <w:r>
              <w:t>Routing engine</w:t>
            </w:r>
          </w:p>
        </w:tc>
        <w:tc>
          <w:tcPr>
            <w:tcW w:w="2896" w:type="dxa"/>
            <w:tcBorders>
              <w:left w:val="single" w:sz="4" w:space="0" w:color="auto"/>
              <w:right w:val="single" w:sz="4" w:space="0" w:color="auto"/>
            </w:tcBorders>
          </w:tcPr>
          <w:p w:rsidR="0026550A" w:rsidRDefault="009745A5">
            <w: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E7788F" w:rsidRDefault="00E7788F">
      <w:pPr>
        <w:spacing w:after="240"/>
        <w:jc w:val="center"/>
        <w:rPr>
          <w:b/>
          <w:bCs/>
          <w:color w:val="000000"/>
          <w:sz w:val="20"/>
          <w:szCs w:val="20"/>
        </w:rPr>
      </w:pPr>
    </w:p>
    <w:p w:rsidR="002316A4" w:rsidRDefault="00C02299">
      <w:pPr>
        <w:jc w:val="center"/>
        <w:spacing w:line="240" w:lineRule="auto" w:after="240" w:before="0"/>
      </w:pPr>
      <w:r>
        <w:rPr>
          <w:b/>
          <w:bCs/>
          <w:color w:val="000000"/>
          <w:sz w:val="20"/>
          <w:szCs w:val="20"/>
        </w:rPr>
        <w:t>Tabel 3.6 Spesifikasi Hardware Minimal dan yang Digunakan</w:t>
      </w:r>
    </w:p>
    <w:tbl>
      <w:tblPr>
        <w:tblW w:w="7934"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after="160" w:line="480" w:lineRule="auto"/>
        <w:ind w:firstLine="720"/>
        <w:jc w:val="both"/>
      </w:pPr>
      <w:r>
        <w:t xml:space="preserve">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w:t>
      </w:r>
      <w:r>
        <w:lastRenderedPageBreak/>
        <w:t>dengan keterbatasan anggaran infrastruktur TI, karena sistem tetap berfungsi penuh pada spesifikasi minimal tanpa GPU.</w:t>
      </w:r>
    </w:p>
    <w:p w:rsidR="002316A4" w:rsidRDefault="00C02299">
      <w:pPr>
        <w:spacing w:after="160"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jc w:val="left"/>
        <w:outlineLvl w:val="2"/>
      </w:pPr>
      <w:r>
        <w:t>3.14 Prosedur Validasi Expert</w:t>
      </w:r>
    </w:p>
    <w:p w:rsidR="002316A4" w:rsidRDefault="00C02299">
      <w:pPr>
        <w:spacing w:after="160"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2316A4" w:rsidRDefault="00C02299">
      <w:pPr>
        <w:spacing w:after="160"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6B4AE2" w:rsidRDefault="00C02299" w:rsidP="006B4AE2">
      <w:pPr>
        <w:contextualSpacing/>
        <w:jc w:val="center"/>
        <w:rPr>
          <w:b/>
          <w:bCs/>
          <w:color w:val="000000"/>
          <w:sz w:val="20"/>
          <w:szCs w:val="20"/>
        </w:rPr>
        <w:spacing w:line="240" w:lineRule="auto" w:after="240" w:before="0"/>
      </w:pPr>
      <w:r>
        <w:rPr>
          <w:b/>
          <w:sz w:val="20"/>
          <w:szCs w:val="20"/>
        </w:rPr>
        <w:lastRenderedPageBreak/>
        <w:t>Tabel 3.7 Instrumen Checklist Expert Validation</w:t>
      </w:r>
    </w:p>
    <w:tbl>
      <w:tblPr>
        <w:tblW w:w="8287"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t>Sumber: Desain instrumen expert validation penelitian (2025)</w:t>
      </w:r>
    </w:p>
    <w:p w:rsidR="002316A4" w:rsidRDefault="00C02299">
      <w:pPr>
        <w:spacing w:after="160" w:line="480" w:lineRule="auto"/>
        <w:ind w:firstLine="720"/>
        <w:jc w:val="both"/>
      </w:pPr>
      <w:r>
        <w:rPr>
          <w:color w:val="000000"/>
        </w:rPr>
        <w:t xml:space="preserve">Validasi dinyatakan berhasil (H3b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jc w:val="left"/>
        <w:outlineLvl w:val="2"/>
      </w:pPr>
      <w:r>
        <w:t>3.15 Etika Penelitian</w:t>
      </w:r>
    </w:p>
    <w:p w:rsidR="00E6202F" w:rsidRDefault="00C02299" w:rsidP="00A90E84">
      <w:pPr>
        <w:spacing w:after="160"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2316A4" w:rsidRDefault="00C02299">
      <w:pPr>
        <w:pStyle w:val="Judul2"/>
        <w:spacing w:line="480" w:lineRule="auto"/>
        <w:jc w:val="both"/>
        <w:outlineLvl w:val="2"/>
      </w:pPr>
      <w:r>
        <w:lastRenderedPageBreak/>
        <w:t>3.16 Jadwal Pelaksanaan Penelitian</w:t>
      </w:r>
    </w:p>
    <w:p w:rsidR="006B4AE2" w:rsidRDefault="00C02299" w:rsidP="006B4AE2">
      <w:pPr>
        <w:contextualSpacing/>
        <w:jc w:val="center"/>
        <w:rPr>
          <w:b/>
          <w:bCs/>
          <w:color w:val="000000"/>
          <w:sz w:val="20"/>
          <w:szCs w:val="20"/>
        </w:rPr>
        <w:spacing w:line="240" w:lineRule="auto" w:after="240" w:before="0"/>
      </w:pPr>
      <w:r>
        <w:rPr>
          <w:b/>
          <w:sz w:val="20"/>
          <w:szCs w:val="20"/>
        </w:rPr>
        <w:t>Tabel 3.8 Jadwal Pelaksanaan Penelitian (6 Bulan)</w:t>
      </w:r>
    </w:p>
    <w:tbl>
      <w:tblPr>
        <w:tblW w:w="7807"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3</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6B4AE2" w:rsidRDefault="00C02299" w:rsidP="006B4AE2">
      <w:pPr>
        <w:pStyle w:val="Judul1"/>
        <w:pageBreakBefore/>
        <w:spacing w:line="480" w:lineRule="auto"/>
        <w:contextualSpacing/>
        <w:jc w:val="center"/>
        <w:outlineLvl w:val="1"/>
      </w:pPr>
      <w:r>
        <w:lastRenderedPageBreak/>
        <w:t xml:space="preserve">BAB IV </w:t>
      </w:r>
    </w:p>
    <w:p w:rsidR="002316A4" w:rsidRDefault="00C02299" w:rsidP="00EB55A7">
      <w:pPr>
        <w:pStyle w:val="Judul1"/>
        <w:spacing w:line="480" w:lineRule="auto"/>
        <w:contextualSpacing/>
        <w:jc w:val="center"/>
        <w:outlineLvl w:val="1"/>
      </w:pPr>
      <w:r>
        <w:t>HASIL PENELITIAN DAN PEMBAHASAN</w:t>
      </w:r>
    </w:p>
    <w:p w:rsidR="002316A4" w:rsidRDefault="00C02299">
      <w:pPr>
        <w:pStyle w:val="Judul2"/>
        <w:spacing w:line="480" w:lineRule="auto"/>
        <w:jc w:val="both"/>
        <w:outlineLvl w:val="2"/>
      </w:pPr>
      <w:r>
        <w:t>4.1 Deskripsi Data Time Series Calon Mahasiswa (2019–2024)</w:t>
      </w:r>
    </w:p>
    <w:p w:rsidR="002316A4" w:rsidRDefault="00C02299">
      <w:pPr>
        <w:pStyle w:val="Judul3"/>
        <w:spacing w:line="480" w:lineRule="auto"/>
        <w:jc w:val="left"/>
        <w:outlineLvl w:val="3"/>
      </w:pPr>
      <w:r>
        <w:t>4.1.1 Gambaran Umum Dataset</w:t>
      </w:r>
    </w:p>
    <w:p w:rsidR="002316A4" w:rsidRDefault="00C02299">
      <w:pPr>
        <w:spacing w:after="160"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2316A4" w:rsidRDefault="00C02299">
      <w:pPr>
        <w:jc w:val="center"/>
        <w:spacing w:line="240" w:lineRule="auto" w:after="240" w:before="0"/>
      </w:pPr>
      <w:r>
        <w:rPr>
          <w:b/>
          <w:bCs/>
          <w:color w:val="000000"/>
          <w:sz w:val="20"/>
          <w:szCs w:val="20"/>
        </w:rPr>
        <w:t>Tabel 4.1 Distribusi Jumlah Pendaftar per Tahun dan Fase Temporal (2019–2024)</w:t>
      </w:r>
    </w:p>
    <w:tbl>
      <w:tblPr>
        <w:tblW w:w="7513"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shd w:val="clear" w:color="auto" w:fill="auto"/>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shd w:val="clear" w:color="auto" w:fill="auto"/>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rPr>
          <w:iCs/>
          <w:color w:val="000000"/>
          <w:szCs w:val="20"/>
        </w:rPr>
        <w:t>Sumber: Data Primer PMB ITSNU Pekalongan, diolah (2025)</w:t>
      </w:r>
    </w:p>
    <w:p w:rsidR="002316A4" w:rsidRDefault="00C02299">
      <w:pPr>
        <w:spacing w:after="160"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baseline) dan 301 pada 2021 (+9,9%). Temuan ini berbeda dari pola yang </w:t>
      </w:r>
      <w:r>
        <w:rPr>
          <w:color w:val="000000"/>
          <w:i/>
        </w:rPr>
        <w:lastRenderedPageBreak/>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after="160"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2316A4" w:rsidRDefault="00C02299">
      <w:pPr>
        <w:spacing w:before="80" w:after="80" w:line="480" w:lineRule="auto"/>
        <w:jc w:val="center"/>
      </w:pPr>
      <w:r>
        <w:rPr>
          <w:noProof/>
        </w:rPr>
        <w:drawing>
          <wp:inline distT="0" distB="0" distL="0" distR="0">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4572000" cy="2762250"/>
                    </a:xfrm>
                    <a:prstGeom prst="rect">
                      <a:avLst/>
                    </a:prstGeom>
                  </pic:spPr>
                </pic:pic>
              </a:graphicData>
            </a:graphic>
          </wp:inline>
        </w:drawing>
      </w:r>
    </w:p>
    <w:p w:rsidR="002316A4" w:rsidRDefault="00C02299" w:rsidP="00EB55A7">
      <w:pPr>
        <w:jc w:val="center"/>
        <w:spacing w:line="240" w:lineRule="auto" w:after="240" w:before="0"/>
      </w:pPr>
      <w:r>
        <w:rPr>
          <w:b/>
          <w:color w:val="000000"/>
          <w:sz w:val="20"/>
          <w:szCs w:val="20"/>
        </w:rPr>
        <w:lastRenderedPageBreak/>
        <w:t>Gambar 4.1 Distribusi Jumlah Pendaftar PMB ITSNU Pekalongan per Tahun (2019–2024)</w:t>
      </w:r>
    </w:p>
    <w:p w:rsidR="002316A4" w:rsidRDefault="00C02299" w:rsidP="00BA594A">
      <w:pPr>
        <w:spacing w:after="120"/>
        <w:jc w:val="both"/>
      </w:pPr>
      <w:r>
        <w:rPr>
          <w:iCs/>
          <w:color w:val="000000"/>
          <w:szCs w:val="20"/>
        </w:rPr>
        <w:t>Sumber: Data Primer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A90E84">
      <w:pPr>
        <w:spacing w:after="120" w:line="480" w:lineRule="auto"/>
        <w:ind w:firstLine="720"/>
        <w:rPr>
          <w:color w:val="000000"/>
        </w:rPr>
        <w:jc w:val="cente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COVID 2019), merah (COVID Crisis 2020–2021), dan hijau (Recovery 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EB55A7" w:rsidRPr="00EB55A7" w:rsidRDefault="00C02299" w:rsidP="00EB55A7">
      <w:pPr>
        <w:pStyle w:val="Judul3"/>
        <w:spacing w:after="160" w:line="480" w:lineRule="auto"/>
        <w:jc w:val="both"/>
        <w:outlineLvl w:val="3"/>
      </w:pPr>
      <w:r>
        <w:t>4.1.2 Distribusi Program Studi Dominan</w:t>
      </w:r>
    </w:p>
    <w:p w:rsidR="00B30C86" w:rsidRDefault="00C02299" w:rsidP="00B30C86">
      <w:pPr>
        <w:contextualSpacing/>
        <w:jc w:val="center"/>
        <w:rPr>
          <w:b/>
          <w:bCs/>
          <w:color w:val="000000"/>
          <w:sz w:val="20"/>
          <w:szCs w:val="20"/>
        </w:rPr>
        <w:spacing w:line="240" w:lineRule="auto" w:after="240" w:before="0"/>
      </w:pPr>
      <w:r>
        <w:rPr>
          <w:b/>
          <w:sz w:val="20"/>
          <w:szCs w:val="20"/>
        </w:rPr>
        <w:t>Tabel 4.2 Distribusi Program Studi Dominan (Seluruh Periode 2019–2024)</w:t>
      </w:r>
    </w:p>
    <w:tbl>
      <w:tblPr>
        <w:tblW w:w="7797"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4111"/>
        <w:gridCol w:w="1843"/>
        <w:gridCol w:w="1843"/>
      </w:tblGrid>
      <w:tr w:rsidR="00B30C86" w:rsidRPr="00B30C86" w:rsidTr="00B30C86">
        <w:trPr>
          <w:trHeight w:val="209"/>
          <w:tblHeader/>
        </w:trPr>
        <w:tc>
          <w:tcPr>
            <w:tcW w:w="4111"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rPr>
          <w:iCs/>
          <w:color w:val="000000"/>
          <w:szCs w:val="20"/>
        </w:rPr>
        <w:t>Sumber: Data Primer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lastRenderedPageBreak/>
        <w:t>Tabel 4.2 mengungkap dominasi yang kuat program berbasis teknologi informasi. Sarjana Informatika (30,9%) dan Sarjana Teknologi Informasi (28,2%) secara gabungan menyerap 59,1% dari seluruh 2.362 pendaftar hampir tiga perempat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outlineLvl w:val="2"/>
      </w:pPr>
      <w:r>
        <w:t>4.2 Hasil Otomasi Data Preparation (Tahap 4A–4E)</w:t>
      </w:r>
    </w:p>
    <w:p w:rsidR="002316A4" w:rsidRDefault="00C02299" w:rsidP="00BA594A">
      <w:pPr>
        <w:pStyle w:val="Judul3"/>
        <w:spacing w:after="160" w:line="480" w:lineRule="auto"/>
        <w:jc w:val="both"/>
        <w:outlineLvl w:val="3"/>
      </w:pPr>
      <w:r>
        <w:t>4.2.1 Hasil Text Preprocessing Otomatis</w:t>
      </w:r>
    </w:p>
    <w:p w:rsidR="002316A4" w:rsidRPr="00BA594A" w:rsidRDefault="00C02299" w:rsidP="00BA594A">
      <w:pPr>
        <w:contextualSpacing/>
        <w:jc w:val="center"/>
        <w:rPr>
          <w:b/>
          <w:bCs/>
          <w:color w:val="000000"/>
          <w:sz w:val="20"/>
          <w:szCs w:val="20"/>
        </w:rPr>
        <w:spacing w:line="240" w:lineRule="auto" w:after="240" w:before="0"/>
      </w:pPr>
      <w:r>
        <w:rPr>
          <w:b/>
          <w:sz w:val="20"/>
          <w:szCs w:val="20"/>
        </w:rPr>
        <w:t xml:space="preserve">Tabel 4.3 Contoh Hasil Otomasi Text </w:t>
      </w:r>
      <w:r>
        <w:rPr>
          <w:b/>
          <w:i/>
          <w:sz w:val="20"/>
          <w:szCs w:val="20"/>
        </w:rPr>
        <w:t>Preprocessing</w:t>
      </w:r>
      <w:r>
        <w:rPr>
          <w:b/>
          <w:sz w:val="20"/>
          <w:szCs w:val="20"/>
        </w:rPr>
        <w:t xml:space="preserve"> (Normalisasi Singkatan Bahasa Indonesia)</w:t>
      </w:r>
    </w:p>
    <w:tbl>
      <w:tblPr>
        <w:tblW w:w="801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4009"/>
        <w:gridCol w:w="4009"/>
      </w:tblGrid>
      <w:tr w:rsidR="00B30C86" w:rsidRPr="00B30C86" w:rsidTr="00B30C86">
        <w:trPr>
          <w:trHeight w:val="221"/>
          <w:tblHeader/>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lastRenderedPageBreak/>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Default="00C02299" w:rsidP="00BA594A">
      <w:pPr>
        <w:pStyle w:val="Judul3"/>
        <w:spacing w:after="160" w:line="480" w:lineRule="auto"/>
        <w:jc w:val="both"/>
        <w:outlineLvl w:val="3"/>
      </w:pPr>
      <w:r>
        <w:t>4.2.2 Validasi Stabilitas Embedding IndoBERT</w:t>
      </w:r>
    </w:p>
    <w:p w:rsidR="002316A4" w:rsidRPr="00BA594A" w:rsidRDefault="00C02299" w:rsidP="00BA594A">
      <w:pPr>
        <w:contextualSpacing/>
        <w:jc w:val="center"/>
        <w:rPr>
          <w:b/>
          <w:bCs/>
          <w:color w:val="000000"/>
          <w:sz w:val="20"/>
          <w:szCs w:val="20"/>
        </w:rPr>
        <w:spacing w:line="240" w:lineRule="auto" w:after="240" w:before="0"/>
      </w:pPr>
      <w:r>
        <w:rPr>
          <w:b/>
          <w:sz w:val="20"/>
          <w:szCs w:val="20"/>
        </w:rPr>
        <w:t xml:space="preserve">Tabel 4.4 Validasi Stabilitas </w:t>
      </w:r>
      <w:r>
        <w:rPr>
          <w:b/>
          <w:i/>
          <w:sz w:val="20"/>
          <w:szCs w:val="20"/>
        </w:rPr>
        <w:t>Embedding</w:t>
      </w:r>
      <w:r>
        <w:rPr>
          <w:b/>
          <w:sz w:val="20"/>
          <w:szCs w:val="20"/>
        </w:rPr>
        <w:t xml:space="preserve"> IndoBERT: Cosine Similarity Rata-rata Antar Periode</w:t>
      </w:r>
    </w:p>
    <w:tbl>
      <w:tblPr>
        <w:tblW w:w="7936"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693"/>
        <w:gridCol w:w="1568"/>
        <w:gridCol w:w="992"/>
        <w:gridCol w:w="3683"/>
      </w:tblGrid>
      <w:tr w:rsidR="00C56195" w:rsidRPr="00C56195" w:rsidTr="00C56195">
        <w:trPr>
          <w:trHeight w:val="194"/>
          <w:tblHeader/>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Transisi Periode</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Cosine Similarity</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Kategori</w:t>
            </w:r>
          </w:p>
        </w:tc>
        <w:tc>
          <w:tcPr>
            <w:tcW w:w="368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Interpretasi</w:t>
            </w:r>
          </w:p>
        </w:tc>
      </w:tr>
      <w:tr w:rsidR="00C56195" w:rsidRPr="00C56195" w:rsidTr="00C56195">
        <w:trPr>
          <w:trHeight w:val="802"/>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2019 → 2020</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0,7901</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Moderat</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Di atas threshold 0,70  perubahan klaster mencerminkan data, bukan artefak</w:t>
            </w:r>
          </w:p>
        </w:tc>
      </w:tr>
      <w:tr w:rsidR="00C56195" w:rsidRPr="00C56195" w:rsidTr="00C56195">
        <w:trPr>
          <w:trHeight w:val="595"/>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2020 → 2021</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0,8024</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baik; fase COVID Crisis stabil secara semantik</w:t>
            </w:r>
          </w:p>
        </w:tc>
      </w:tr>
      <w:tr w:rsidR="00C56195" w:rsidRPr="00C56195" w:rsidTr="00C56195">
        <w:trPr>
          <w:trHeight w:val="595"/>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2021 → 2022</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0,8128</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Nilai tertinggi; transisi Recovery paling konsisten secara semantik</w:t>
            </w:r>
          </w:p>
        </w:tc>
      </w:tr>
      <w:tr w:rsidR="00C56195" w:rsidRPr="00C56195" w:rsidTr="00C56195">
        <w:trPr>
          <w:trHeight w:val="388"/>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2022 → 2023</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0,8009</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terjaga meski lonjakan volume 2023</w:t>
            </w:r>
          </w:p>
        </w:tc>
      </w:tr>
      <w:tr w:rsidR="00C56195" w:rsidRPr="00C56195" w:rsidTr="00C56195">
        <w:trPr>
          <w:trHeight w:val="401"/>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2023 → 2024</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0,8095</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baik menuju stabilisasi 2024</w:t>
            </w:r>
          </w:p>
        </w:tc>
      </w:tr>
      <w:tr w:rsidR="00C56195" w:rsidRPr="00C56195" w:rsidTr="00C56195">
        <w:trPr>
          <w:trHeight w:val="582"/>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Rata-rata keseluruhan</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0,8031</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Semua transisi di atas threshold 0,70 → H2 TERKONFIRMASI</w:t>
            </w:r>
          </w:p>
        </w:tc>
      </w:tr>
    </w:tbl>
    <w:p w:rsidR="002316A4" w:rsidRDefault="00C02299" w:rsidP="00EB55A7">
      <w:pPr>
        <w:spacing w:after="160" w:line="480" w:lineRule="auto"/>
        <w:ind w:firstLine="720"/>
        <w:jc w:val="both"/>
      </w:pPr>
      <w:r>
        <w:rPr>
          <w:iCs/>
          <w:color w:val="000000"/>
          <w:szCs w:val="20"/>
        </w:rPr>
        <w:lastRenderedPageBreak/>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71323" w:rsidRDefault="00C02299" w:rsidP="00971323">
      <w:pPr>
        <w:spacing w:after="120" w:line="480" w:lineRule="auto"/>
        <w:ind w:firstLine="720"/>
        <w:jc w:val="both"/>
      </w:pPr>
      <w:r w:rsidRPr="00971323">
        <w:rPr>
          <w:color w:val="000000"/>
        </w:rPr>
        <w:t xml:space="preserve">Tabel 4.4 menyajikan hasil validasi kritis yang mengkonfirmasi Hipotesis 2 (H2). Nilai cosine similarity rata-rata 0,8031 pada seluruh 5 transisi berada di atas </w:t>
      </w:r>
      <w:r w:rsidRPr="00971323">
        <w:rPr>
          <w:i/>
          <w:color w:val="000000"/>
        </w:rPr>
        <w:t>threshold</w:t>
      </w:r>
      <w:r w:rsidRPr="00971323">
        <w:rPr>
          <w:color w:val="000000"/>
          <w:i/>
        </w:rPr>
        <w:t xml:space="preserve"> 0,70 yang ditetapkan. Dua temuan penting dari tabel ini. Pertama, nilai terendah justru terjadi pada transisi 2019→2020 (0,7901) yaitu transisi yang secara struktural mengalami perubahan paling dramatis (structural break dengan ARI = −0,0036 dan centroid drift 20,35). Ini membuktikan bahwa perbedaan yang terdeteksi pada analisis GMM benar-benar mencerminkan perubahan substantif populasi pendaftar, bukan ketidakstabilan teknis model. Kedua, nilai tertinggi pada transisi 2021→2022 (0,8128) konsisten dengan fakta bahwa perpindahan dari fase COVID Crisis ke Recovery melibatkan entitas institusional (sekolah asal, wilayah) yang sebagian besar sama, meskipun distribusinya berubah. Temuan ini memvalidasi strategi frozen weights IndoBERT yang dipilih (Subakti et al., 2022; Reimers &amp; Gurevych, 2019).</w:t>
      </w:r>
    </w:p>
    <w:p w:rsidR="002316A4" w:rsidRDefault="00C02299">
      <w:pPr>
        <w:pStyle w:val="Judul3"/>
        <w:spacing w:line="480" w:lineRule="auto"/>
        <w:jc w:val="both"/>
        <w:outlineLvl w:val="3"/>
      </w:pPr>
      <w:r>
        <w:t>4.2.3 Hasil PCA Dimensionality Reduction</w:t>
      </w:r>
    </w:p>
    <w:p w:rsidR="002316A4" w:rsidRDefault="00C02299">
      <w:pPr>
        <w:spacing w:after="160"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semua periode berada dalam ruang fitur yang sama syarat mutlak agar pergeseran posisi klaster antar waktu dapat diinterpretasikan sebagai </w:t>
      </w:r>
      <w:r>
        <w:rPr>
          <w:color w:val="000000"/>
        </w:rPr>
        <w:lastRenderedPageBreak/>
        <w:t>perubahan substantif populasi, bukan perubahan basis koordinat (Jolliffe &amp; Cadima, 2016). Reduksi dimensi ini juga memungkinkan visualisasi klaster dalam ruang PCA 2D yang disajikan pada Gambar 4.2a–4.2f.</w:t>
      </w:r>
    </w:p>
    <w:p w:rsidR="002316A4" w:rsidRDefault="00C02299" w:rsidP="00BA594A">
      <w:pPr>
        <w:pStyle w:val="Judul2"/>
        <w:spacing w:line="480" w:lineRule="auto"/>
        <w:jc w:val="both"/>
        <w:outlineLvl w:val="2"/>
      </w:pPr>
      <w:r>
        <w:t>4.3 Hasil Segmentasi Probabilistik GMM Time Series (Tahap 6)</w:t>
      </w:r>
    </w:p>
    <w:p w:rsidR="002316A4" w:rsidRDefault="00C02299" w:rsidP="00BA594A">
      <w:pPr>
        <w:pStyle w:val="Judul3"/>
        <w:spacing w:after="160" w:line="480" w:lineRule="auto"/>
        <w:jc w:val="both"/>
        <w:outlineLvl w:val="3"/>
      </w:pPr>
      <w:r>
        <w:t>4.3.1 Penentuan Jumlah Komponen Optimal (K-Scan)</w:t>
      </w:r>
    </w:p>
    <w:p w:rsidR="002316A4" w:rsidRPr="00BA594A" w:rsidRDefault="00C02299" w:rsidP="00BA594A">
      <w:pPr>
        <w:contextualSpacing/>
        <w:jc w:val="center"/>
        <w:rPr>
          <w:b/>
          <w:bCs/>
          <w:color w:val="000000"/>
          <w:sz w:val="20"/>
          <w:szCs w:val="20"/>
        </w:rPr>
        <w:spacing w:line="240" w:lineRule="auto" w:after="240" w:before="0"/>
      </w:pPr>
      <w:r>
        <w:rPr>
          <w:b/>
          <w:sz w:val="20"/>
          <w:szCs w:val="20"/>
        </w:rPr>
        <w:t>Tabel 4.5 Nilai BIC Optimal dan Silhouette Score per Tahun (K-Scan 2–6)</w:t>
      </w:r>
    </w:p>
    <w:tbl>
      <w:tblPr>
        <w:tblW w:w="7875"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768"/>
        <w:gridCol w:w="1255"/>
        <w:gridCol w:w="1260"/>
        <w:gridCol w:w="1551"/>
        <w:gridCol w:w="1551"/>
        <w:gridCol w:w="1490"/>
      </w:tblGrid>
      <w:tr w:rsidR="00707891" w:rsidRPr="00707891" w:rsidTr="00707891">
        <w:trPr>
          <w:trHeight w:val="221"/>
          <w:tblHeader/>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Tahun</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Fase</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 Optimal</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BIC Optimal</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Silhouette Score</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20.594,43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0,0683</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28.991,05</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66.631,38</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0,0496</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10.935,41</w:t>
            </w:r>
          </w:p>
        </w:tc>
      </w:tr>
      <w:tr w:rsidR="00707891" w:rsidRPr="00707891" w:rsidTr="00707891">
        <w:trPr>
          <w:trHeight w:val="208"/>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80.792,73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4.595,64</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138.331,39</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0,0138</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−28.915,23</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212.737,22</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0,0905</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−89.231,81</w:t>
            </w:r>
          </w:p>
        </w:tc>
      </w:tr>
      <w:tr w:rsidR="00707891" w:rsidRPr="00707891" w:rsidTr="00707891">
        <w:trPr>
          <w:trHeight w:val="208"/>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163.307,13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0,0279</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−57.135,11</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Tabel 4.5 menyajikan hasil K-scan yang mengungkap dua pola utama. Pertama, terdapat tren konsolidasi K yang jelas dari waktu ke waktu: fase Pre</w:t>
      </w:r>
      <w:r w:rsidR="007C1716" w:rsidRPr="00971323">
        <w:rPr>
          <w:color w:val="000000"/>
        </w:rPr>
        <w:t xml:space="preserve"> </w:t>
      </w:r>
      <w:r w:rsidRPr="00971323">
        <w:rPr>
          <w:color w:val="000000"/>
        </w:rPr>
        <w:t xml:space="preserve">COVID dan COVID Crisis konsisten menghasilkan K=6 (fragmentasi tinggi), sementara fase Recovery menunjukkan konsolidasi progresif dari K=5 (2022) → K=2 (2023) → K=3 (2024). Penurunan K mengindikasikan bahwa segmen pendaftar semakin homogen, kemungkinan akibat kampanye rekrutmen yang semakin terfokus pada segmen tertentu. Kedua, nilai BIC yang jauh lebih besar </w:t>
      </w:r>
      <w:r w:rsidRPr="00971323">
        <w:rPr>
          <w:color w:val="000000"/>
        </w:rPr>
        <w:lastRenderedPageBreak/>
        <w:t>pada fase Recovery (138.331–212.737) dibandingkan fase Pre</w:t>
      </w:r>
      <w:r w:rsidR="007C1716" w:rsidRPr="00971323">
        <w:rPr>
          <w:color w:val="000000"/>
        </w:rPr>
        <w:t xml:space="preserve"> </w:t>
      </w:r>
      <w:r w:rsidRPr="00971323">
        <w:rPr>
          <w:color w:val="000000"/>
          <w:i/>
        </w:rPr>
        <w:t>COVID (20.594) mencerminkan ukuran dataset yang jauh lebih besar nilai BIC sensitif terhadap N, bukan penurunan kualitas model. Nilai Silhouette Score tertinggi (0,0905) pada 2023 dengan K=2 menunjukkan dua kelompok besar pendaftar pada tahun tersebut memiliki diferensiasi yang paling jelas. Scrucca et al. (2024) menegaskan nilai Silhouette Score dalam rentang 0,01–0,10 tetap bermakna dalam soft clustering seperti GMM, mengingat sifat inheren overlap antar segmen.</w:t>
      </w:r>
    </w:p>
    <w:p w:rsidR="002316A4" w:rsidRDefault="00C02299" w:rsidP="00EB55A7">
      <w:pPr>
        <w:spacing w:before="80" w:after="80" w:line="480" w:lineRule="auto"/>
        <w:jc w:val="center"/>
      </w:pPr>
      <w:r>
        <w:rPr>
          <w:noProof/>
        </w:rPr>
        <w:drawing>
          <wp:inline distT="0" distB="0" distL="0" distR="0">
            <wp:extent cx="4381500" cy="2524125"/>
            <wp:effectExtent l="0" t="0" r="0" b="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2"/>
                    <a:srcRect/>
                    <a:stretch>
                      <a:fillRect/>
                    </a:stretch>
                  </pic:blipFill>
                  <pic:spPr bwMode="auto">
                    <a:xfrm>
                      <a:off x="0" y="0"/>
                      <a:ext cx="4381500" cy="2524125"/>
                    </a:xfrm>
                    <a:prstGeom prst="rect">
                      <a:avLst/>
                    </a:prstGeom>
                  </pic:spPr>
                </pic:pic>
              </a:graphicData>
            </a:graphic>
          </wp:inline>
        </w:drawing>
      </w:r>
    </w:p>
    <w:p w:rsidR="00EB55A7" w:rsidRDefault="00C02299" w:rsidP="00EB55A7">
      <w:pPr>
        <w:spacing w:after="160" w:line="480" w:lineRule="auto"/>
        <w:ind w:firstLine="720"/>
        <w:contextualSpacing/>
        <w:jc w:val="both"/>
      </w:pPr>
      <w:r>
        <w:rPr>
          <w:color w:val="000000"/>
          <w:sz w:val="20"/>
          <w:szCs w:val="20"/>
        </w:rPr>
        <w:t>Gambar 4.3a Silhouette Score GMM per Periode (2019–2024)</w:t>
      </w:r>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2316A4" w:rsidRDefault="00C02299" w:rsidP="00EB55A7">
      <w:pPr>
        <w:spacing w:after="160" w:line="480" w:lineRule="auto"/>
        <w:ind w:firstLine="720"/>
        <w:jc w:val="both"/>
      </w:pPr>
      <w:r>
        <w:rPr>
          <w:color w:val="000000"/>
        </w:rPr>
        <w:t xml:space="preserve">Gambar 4.3a menampilkan visualisasi tren Silhouette Score GMM selama enam periode dalam bentuk line chart. Grafik memperlihatkan fluktuasi yang tidak monoton: penurunan dari 0,0683 (2019) ke nilai terendah pada 2020 (0,0496), sedikit pemulihan di 2021 (0,0585), penurunan drastis ke 0,0138 pada 2022, kemudian lonjakan signifikan ke puncak 0,0905 pada 2023, dan kembali turun ke 0,0279 pada 2024. Pola ini konsisten dengan perubahan K optimal yang </w:t>
      </w:r>
      <w:r>
        <w:rPr>
          <w:color w:val="000000"/>
        </w:rPr>
        <w:lastRenderedPageBreak/>
        <w:t>terjadiketika K meningkat (lebih banyak klaster kecil), Silhouette Score cenderung lebih rendah karena overlap antar klaster meningkat. Sebaliknya, K=2 pada 2023 menghasilkan dua klaster yang paling terpisah satu sama lain, menghasilkan Silhouette Score tertinggi. Gambar ini memperkuat narasi konsolidasi segmen yang terjadi selama fase Recovery.</w:t>
      </w:r>
    </w:p>
    <w:p w:rsidR="002316A4" w:rsidRDefault="00C02299" w:rsidP="00EB55A7">
      <w:pPr>
        <w:pStyle w:val="Judul2"/>
        <w:spacing w:line="480" w:lineRule="auto"/>
        <w:jc w:val="both"/>
        <w:outlineLvl w:val="2"/>
      </w:pPr>
      <w:r>
        <w:t>4.4 Hasil Time Series Analysis dan Deteksi Structural Break (Tahap 7)</w:t>
      </w:r>
    </w:p>
    <w:p w:rsidR="002316A4" w:rsidRPr="00BA594A" w:rsidRDefault="00C02299" w:rsidP="00BA594A">
      <w:pPr>
        <w:contextualSpacing/>
        <w:jc w:val="center"/>
        <w:rPr>
          <w:b/>
          <w:bCs/>
          <w:color w:val="000000"/>
          <w:sz w:val="20"/>
          <w:szCs w:val="20"/>
        </w:rPr>
        <w:spacing w:line="240" w:lineRule="auto" w:after="240" w:before="0"/>
      </w:pPr>
      <w:r>
        <w:rPr>
          <w:b/>
          <w:sz w:val="20"/>
          <w:szCs w:val="20"/>
        </w:rPr>
        <w:t>Tabel 4.6 Analisis Stabilitas Klaster: ARI, Jaccard Similarity, dan Centroid Drift Antar Periode</w:t>
      </w:r>
    </w:p>
    <w:tbl>
      <w:tblPr>
        <w:tblW w:w="7795"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403"/>
        <w:gridCol w:w="863"/>
        <w:gridCol w:w="878"/>
        <w:gridCol w:w="991"/>
        <w:gridCol w:w="995"/>
        <w:gridCol w:w="2665"/>
      </w:tblGrid>
      <w:tr w:rsidR="00707891" w:rsidRPr="00707891" w:rsidTr="00707891">
        <w:trPr>
          <w:trHeight w:val="250"/>
          <w:tblHeader/>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Centroid Drift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Kategori</w:t>
            </w:r>
          </w:p>
        </w:tc>
        <w:tc>
          <w:tcPr>
            <w:tcW w:w="268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 → 2020</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−0,0036</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20,3555</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Lonjakan +87,7%; komposisi segmen berubah fundamental  H1 TERKONFIRMASI</w:t>
            </w:r>
          </w:p>
        </w:tc>
      </w:tr>
      <w:tr w:rsidR="00707891" w:rsidRPr="00707891" w:rsidTr="00707891">
        <w:trPr>
          <w:trHeight w:val="500"/>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 → 2021</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0,0160</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17,2465</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Adaptasi pandemi berlanjut; K tetap 6 tetapi posisi sentroid bergeser</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 → 2022</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0,0055</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0,8333</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Perubahan K (6→5); centroid drift ∞ = reorganisasi total klaster</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 → 2023</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−0,0036</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Konsolidasi K (5→2); lonjakan 2023 +48,5% dengan profil sangat homogen</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 → 2024</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0,0021</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0,6667</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Transisi K (2→3); penurunan 2024 −26,0% memunculkan segmen ketiga</w:t>
            </w:r>
          </w:p>
        </w:tc>
      </w:tr>
    </w:tbl>
    <w:p w:rsidR="002316A4" w:rsidRDefault="00C02299" w:rsidP="00EB55A7">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2316A4" w:rsidRDefault="00C02299" w:rsidP="00EB55A7">
      <w:pPr>
        <w:spacing w:after="120"/>
        <w:contextualSpacing/>
        <w:jc w:val="both"/>
        <w:rPr>
          <w:i/>
          <w:iCs/>
          <w:color w:val="000000"/>
          <w:szCs w:val="20"/>
        </w:rPr>
      </w:pPr>
      <w:r>
        <w:rPr>
          <w:iCs/>
          <w:color w:val="000000"/>
          <w:szCs w:val="20"/>
        </w:rPr>
        <w:t>Sumber: Hasil analisis stabilitas GMM (2025)</w:t>
      </w:r>
    </w:p>
    <w:p w:rsidR="00971323" w:rsidRDefault="00971323" w:rsidP="00EB55A7">
      <w:pPr>
        <w:spacing w:after="120"/>
        <w:contextualSpacing/>
        <w:jc w:val="both"/>
      </w:pPr>
    </w:p>
    <w:p w:rsidR="002316A4" w:rsidRPr="00971323" w:rsidRDefault="00C02299" w:rsidP="007A5F01">
      <w:pPr>
        <w:spacing w:after="120" w:line="480" w:lineRule="auto"/>
        <w:ind w:firstLine="720"/>
        <w:jc w:val="both"/>
      </w:pPr>
      <w:r w:rsidRPr="00971323">
        <w:rPr>
          <w:color w:val="000000"/>
        </w:rPr>
        <w:t>Tabel 4.6 menyajikan temuan paling signifikan dalam penelitian ini: seluruh 5 transisi antar periode dikonfirmasi sebagai Structural Break (ARI &lt; 0,30), mengkonfirmasi Hipotesis 1 (H1) secara menyeluruh dan melampaui ekspektasi awal yang hanya menduga structural break pada transisi 2019→2020.</w:t>
      </w:r>
    </w:p>
    <w:p w:rsidR="002316A4" w:rsidRDefault="00C02299" w:rsidP="00EB55A7">
      <w:pPr>
        <w:spacing w:after="160" w:line="480" w:lineRule="auto"/>
        <w:ind w:firstLine="720"/>
        <w:jc w:val="both"/>
      </w:pPr>
      <w:r>
        <w:rPr>
          <w:color w:val="000000"/>
        </w:rPr>
        <w:lastRenderedPageBreak/>
        <w:t>Analisis tiga metrik komplementer mengungkap nuansa penting di balik angka ARI. Pertama, nilai ARI negatif (−0,0036) pada transisi 2019→2020 dan 2022→2023 mengindikasikan bahwa pengelompokan pada kedua periode tersebut lebih acak dibandingkan ekspektasi kebetulan (Hubert &amp; Arabie, 1985) sebuah indikator perubahan struktural yang sangat fundamental. Kedua, nilai Jaccard = 1,0000 pada transisi 2019→2020 dan 2020→2021 menunjukkan semua klaster dari periode sebelumnya "terwakili" pada periode berikutnya (K sama = 6), namun posisi dan komposisi anggota klaster berubah drastis tercermin dari centroid drift 20,35 (2019→2020) dan 17,25 (2020→2021). Ketiga, nilai centroid drift ∞ pada tiga transisi terakhir (2021→2022, 2022→2023, 2023→2024) bukan error, melainkan mencerminkan perubahan K sehingga perbandingan sentroid langsung tidak dapat dilakukan sebuah bentuk structural break yang bahkan lebih dramatis daripada drift yang terukur.</w:t>
      </w:r>
    </w:p>
    <w:p w:rsidR="002316A4" w:rsidRDefault="00C02299">
      <w:pPr>
        <w:spacing w:after="160"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2316A4" w:rsidRDefault="00C02299">
      <w:pPr>
        <w:spacing w:before="80" w:after="80" w:line="480" w:lineRule="auto"/>
        <w:jc w:val="center"/>
      </w:pPr>
      <w:r>
        <w:rPr>
          <w:noProof/>
        </w:rPr>
        <w:lastRenderedPageBreak/>
        <w:drawing>
          <wp:inline distT="0" distB="0" distL="0" distR="0">
            <wp:extent cx="4381500" cy="2524125"/>
            <wp:effectExtent l="0" t="0" r="0" b="0"/>
            <wp:docPr id="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3"/>
                    <a:srcRect/>
                    <a:stretch>
                      <a:fillRect/>
                    </a:stretch>
                  </pic:blipFill>
                  <pic:spPr bwMode="auto">
                    <a:xfrm>
                      <a:off x="0" y="0"/>
                      <a:ext cx="4381500" cy="2524125"/>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4.3b ARI Stabilitas Klaster Antar Periode (2019–2024)</w:t>
      </w:r>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 xml:space="preserve">Gambar 4.3b memvisualisasikan nilai ARI untuk setiap transisi antar periode dalam bentuk bar chart horizontal. Seluruh batang berada di bawah nilai 0,030 jauh di bawah </w:t>
      </w:r>
      <w:r>
        <w:rPr>
          <w:i/>
          <w:color w:val="000000"/>
        </w:rPr>
        <w:t>threshold</w:t>
      </w:r>
      <w:r>
        <w:rPr>
          <w:color w:val="000000"/>
        </w:rPr>
        <w:t xml:space="preserve"> structural break (ARI &lt; 0,30) maupun </w:t>
      </w:r>
      <w:r>
        <w:rPr>
          <w:i/>
          <w:color w:val="000000"/>
        </w:rPr>
        <w:t>threshold</w:t>
      </w:r>
      <w:r>
        <w:rPr>
          <w:color w:val="000000"/>
        </w:rPr>
        <w:t xml:space="preserve"> stabilitas (ARI &gt; 0,60). Secara visual, batang yang bernilai negatif (2019→2020 dan 2022→2023) paling mudah diidentifikasi sebagai perubahan paling dramatis posisinya di sebelah kiri garis nol menunjukkan bahwa klasterisasi lebih mirip penugasan acak daripada pengelompokan yang bermakna. Batang dengan nilai tertinggi (2020→2021, ARI = 0,0160) sekalipun tetap berada sangat jauh di bawah </w:t>
      </w:r>
      <w:r>
        <w:rPr>
          <w:i/>
          <w:color w:val="000000"/>
        </w:rPr>
        <w:t>threshold</w:t>
      </w:r>
      <w:r>
        <w:rPr>
          <w:color w:val="000000"/>
        </w:rPr>
        <w:t xml:space="preserve"> 0,30. Gambar ini menjadi bukti visual yang kuat bahwa ITSNU Pekalongan mengalami perubahan struktural segmen di setiap tahunnya.</w:t>
      </w:r>
    </w:p>
    <w:p w:rsidR="002316A4" w:rsidRDefault="00C02299" w:rsidP="00EB55A7">
      <w:pPr>
        <w:pStyle w:val="Judul3"/>
        <w:spacing w:line="480" w:lineRule="auto"/>
        <w:jc w:val="both"/>
        <w:outlineLvl w:val="3"/>
      </w:pPr>
      <w:r>
        <w:t>4.4.1 Proyeksi Jumlah Pendaftar 2025</w:t>
      </w:r>
    </w:p>
    <w:p w:rsidR="002316A4" w:rsidRDefault="00C02299">
      <w:pPr>
        <w:spacing w:after="160" w:line="480" w:lineRule="auto"/>
        <w:ind w:firstLine="720"/>
        <w:jc w:val="both"/>
      </w:pPr>
      <w:r>
        <w:rPr>
          <w:color w:val="000000"/>
        </w:rPr>
        <w:lastRenderedPageBreak/>
        <w:t>Proyeksi jumlah pendaftar 2025 menggunakan regresi linear pada tren Recovery (2022–2024) menghasilkan estimasi 592 pendaftar untuk tahun 2025.</w:t>
      </w:r>
    </w:p>
    <w:p w:rsidR="002316A4" w:rsidRDefault="00C02299">
      <w:pPr>
        <w:spacing w:before="80" w:after="80" w:line="480" w:lineRule="auto"/>
        <w:jc w:val="center"/>
      </w:pPr>
      <w:r>
        <w:rPr>
          <w:noProof/>
        </w:rPr>
        <w:drawing>
          <wp:inline distT="0" distB="0" distL="0" distR="0">
            <wp:extent cx="4381500" cy="2524125"/>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4"/>
                    <a:srcRect/>
                    <a:stretch>
                      <a:fillRect/>
                    </a:stretch>
                  </pic:blipFill>
                  <pic:spPr bwMode="auto">
                    <a:xfrm>
                      <a:off x="0" y="0"/>
                      <a:ext cx="4381500" cy="2524125"/>
                    </a:xfrm>
                    <a:prstGeom prst="rect">
                      <a:avLst/>
                    </a:prstGeom>
                  </pic:spPr>
                </pic:pic>
              </a:graphicData>
            </a:graphic>
          </wp:inline>
        </w:drawing>
      </w:r>
    </w:p>
    <w:p w:rsidR="002316A4" w:rsidRDefault="00C02299" w:rsidP="00EB55A7">
      <w:pPr>
        <w:contextualSpacing/>
        <w:jc w:val="center"/>
        <w:spacing w:line="240" w:lineRule="auto" w:after="240" w:before="0"/>
      </w:pPr>
      <w:r>
        <w:rPr>
          <w:b/>
          <w:color w:val="000000"/>
          <w:sz w:val="20"/>
          <w:szCs w:val="20"/>
        </w:rPr>
        <w:t>Gambar 4.4 Proyeksi Jumlah Pendaftar ITSNU Pekalongan Tahun 2025 Berbasis Tren Recovery (2022–2024)</w:t>
      </w:r>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E6202F">
      <w:pPr>
        <w:spacing w:after="120" w:line="480" w:lineRule="auto"/>
        <w:ind w:firstLine="720"/>
        <w:jc w:val="center"/>
      </w:pPr>
      <w:r w:rsidRPr="007A5F01">
        <w:rPr>
          <w:color w:val="000000"/>
        </w:rPr>
        <w:t>Gambar 4.4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outlineLvl w:val="2"/>
      </w:pPr>
      <w:r>
        <w:lastRenderedPageBreak/>
        <w:t>4.5 Hasil Evaluasi Multi</w:t>
      </w:r>
      <w:r w:rsidR="007C1716">
        <w:t xml:space="preserve"> </w:t>
      </w:r>
      <w:r>
        <w:t>Level (Tahap 8)</w:t>
      </w:r>
    </w:p>
    <w:p w:rsidR="002316A4" w:rsidRDefault="00C02299">
      <w:pPr>
        <w:pStyle w:val="Judul3"/>
        <w:spacing w:after="160" w:line="480" w:lineRule="auto"/>
        <w:jc w:val="both"/>
        <w:outlineLvl w:val="3"/>
      </w:pPr>
      <w:r>
        <w:t>4.5.1 Evaluasi Internal GMM per Periode</w:t>
      </w:r>
    </w:p>
    <w:p w:rsidR="002316A4" w:rsidRPr="00BA594A" w:rsidRDefault="00C02299" w:rsidP="00BA594A">
      <w:pPr>
        <w:contextualSpacing/>
        <w:jc w:val="center"/>
        <w:rPr>
          <w:b/>
          <w:bCs/>
          <w:color w:val="000000"/>
          <w:sz w:val="20"/>
          <w:szCs w:val="20"/>
        </w:rPr>
        <w:spacing w:line="240" w:lineRule="auto" w:after="240" w:before="0"/>
      </w:pPr>
      <w:r>
        <w:rPr>
          <w:b/>
          <w:sz w:val="20"/>
          <w:szCs w:val="20"/>
        </w:rPr>
        <w:t>Tabel 4.7 Ringkasan Metrik Evaluasi Internal GMM per Periode</w:t>
      </w:r>
    </w:p>
    <w:tbl>
      <w:tblPr>
        <w:tblW w:w="7875"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768"/>
        <w:gridCol w:w="1237"/>
        <w:gridCol w:w="512"/>
        <w:gridCol w:w="1056"/>
        <w:gridCol w:w="1532"/>
        <w:gridCol w:w="1521"/>
        <w:gridCol w:w="1249"/>
      </w:tblGrid>
      <w:tr w:rsidR="00707891" w:rsidRPr="00707891" w:rsidTr="00707891">
        <w:trPr>
          <w:trHeight w:val="236"/>
          <w:tblHeader/>
        </w:trPr>
        <w:tc>
          <w:tcPr>
            <w:tcW w:w="63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w:t>
            </w:r>
            <w:r w:rsidR="007C1716">
              <w:rPr>
                <w:b/>
                <w:bCs/>
                <w:color w:val="000000" w:themeColor="text1"/>
                <w:sz w:val="20"/>
                <w:szCs w:val="20"/>
              </w:rPr>
              <w:t xml:space="preserve"> </w:t>
            </w:r>
            <w:r w:rsidRPr="00707891">
              <w:rPr>
                <w:b/>
                <w:bCs/>
                <w:color w:val="000000" w:themeColor="text1"/>
                <w:sz w:val="20"/>
                <w:szCs w:val="20"/>
              </w:rPr>
              <w:t>Harabasz</w:t>
            </w:r>
          </w:p>
        </w:tc>
        <w:tc>
          <w:tcPr>
            <w:tcW w:w="15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w:t>
            </w:r>
            <w:r w:rsidR="007C1716">
              <w:rPr>
                <w:b/>
                <w:bCs/>
                <w:color w:val="000000" w:themeColor="text1"/>
                <w:sz w:val="20"/>
                <w:szCs w:val="20"/>
              </w:rPr>
              <w:t xml:space="preserve"> </w:t>
            </w:r>
            <w:r w:rsidRPr="00707891">
              <w:rPr>
                <w:b/>
                <w:bCs/>
                <w:color w:val="000000" w:themeColor="text1"/>
                <w:sz w:val="20"/>
                <w:szCs w:val="20"/>
              </w:rPr>
              <w:t>Bouldin</w:t>
            </w:r>
          </w:p>
        </w:tc>
        <w:tc>
          <w:tcPr>
            <w:tcW w:w="12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w:t>
            </w:r>
            <w:r w:rsidR="007C1716">
              <w:rPr>
                <w:color w:val="000000" w:themeColor="text1"/>
                <w:sz w:val="20"/>
                <w:szCs w:val="20"/>
              </w:rPr>
              <w:t xml:space="preserve"> </w:t>
            </w:r>
            <w:r w:rsidRPr="00707891">
              <w:rPr>
                <w:color w:val="000000" w:themeColor="text1"/>
                <w:sz w:val="20"/>
                <w:szCs w:val="20"/>
              </w:rPr>
              <w:t>COVID</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0,0683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7,23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2,9794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28.991,05</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0,0496</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11,91</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3,6303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10.935,41</w:t>
            </w:r>
          </w:p>
        </w:tc>
      </w:tr>
      <w:tr w:rsidR="00707891" w:rsidRPr="00707891" w:rsidTr="00707891">
        <w:trPr>
          <w:trHeight w:val="222"/>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14,17</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3,4786</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4.595,64</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0,0138</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14,19</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3,4279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−28.915,23</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0,0905</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12,53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3,9169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−89.231,81</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0,0279</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18,01</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4,1920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−57.135,11</w:t>
            </w:r>
          </w:p>
        </w:tc>
      </w:tr>
    </w:tbl>
    <w:p w:rsidR="002316A4" w:rsidRDefault="00C02299" w:rsidP="00EB55A7">
      <w:pPr>
        <w:spacing w:after="120"/>
        <w:contextualSpacing/>
        <w:jc w:val="both"/>
      </w:pPr>
      <w:r>
        <w:rPr>
          <w:iCs/>
          <w:color w:val="000000"/>
          <w:szCs w:val="20"/>
        </w:rPr>
        <w:t>Sumber: Hasil evaluasi GMM (2025)</w:t>
      </w:r>
    </w:p>
    <w:p w:rsidR="003F0C54" w:rsidRDefault="00FB4563" w:rsidP="00EB55A7">
      <w:pPr>
        <w:spacing w:after="160" w:line="480" w:lineRule="auto"/>
        <w:ind w:firstLine="720"/>
        <w:contextualSpacing/>
        <w:jc w:val="both"/>
      </w:pPr>
      <w:r>
        <w:rPr>
          <w:iCs/>
        </w:rPr>
        <w:t xml:space="preserve">Catatan: Threshold interpretasi Silhouette Score pada tabel di atas berlaku untuk hard clustering konvensional. Untuk soft clustering probabilistik seperti GMM, </w:t>
      </w:r>
      <w:sdt>
        <w:sdtPr>
          <w:rPr>
            <w:i/>
            <w:iCs/>
            <w:color w:val="000000"/>
          </w:rPr>
          <w:tag w:val="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1039014126"/>
          <w:placeholder>
            <w:docPart w:val="DefaultPlaceholder_-1854013440"/>
          </w:placeholder>
        </w:sdtPr>
        <w:sdtEndPr/>
        <w:sdtContent>
          <w:r w:rsidR="000D6197" w:rsidRPr="000D6197">
            <w:rPr>
              <w:iCs/>
              <w:color w:val="000000"/>
            </w:rPr>
            <w:t>(Saqr and López-Pernas 2024)</w:t>
          </w:r>
        </w:sdtContent>
      </w:sdt>
      <w:r>
        <w:rPr>
          <w:iCs/>
        </w:rPr>
        <w:t xml:space="preserve"> menegaskan bahwa nilai Silhouette Score dalam rentang 0,01–0,10 tetap bermakna secara substansif karena sifat inheren overlap antar segmen dalam model campuran Gaussian.</w:t>
      </w:r>
    </w:p>
    <w:p w:rsidR="002316A4" w:rsidRPr="007A5F01" w:rsidRDefault="00C02299" w:rsidP="007A5F01">
      <w:pPr>
        <w:spacing w:after="120" w:line="480" w:lineRule="auto"/>
        <w:ind w:firstLine="720"/>
        <w:jc w:val="both"/>
      </w:pPr>
      <w:r w:rsidRPr="007A5F01">
        <w:rPr>
          <w:color w:val="000000"/>
        </w:rPr>
        <w:t>Tabel 4.7 menyajikan empat metrik evaluasi internal untuk setiap periode. Beberapa pola penting perlu dicermati. Pertama, nilai Log</w:t>
      </w:r>
      <w:r w:rsidR="007C1716" w:rsidRPr="007A5F01">
        <w:rPr>
          <w:color w:val="000000"/>
        </w:rPr>
        <w:t xml:space="preserve"> </w:t>
      </w:r>
      <w:r w:rsidRPr="007A5F01">
        <w:rPr>
          <w:color w:val="000000"/>
        </w:rPr>
        <w:t>Likelihood berubah dari positif (Pre</w:t>
      </w:r>
      <w:r w:rsidR="007C1716" w:rsidRPr="007A5F01">
        <w:rPr>
          <w:color w:val="000000"/>
        </w:rPr>
        <w:t xml:space="preserve"> </w:t>
      </w:r>
      <w:r w:rsidRPr="007A5F01">
        <w:rPr>
          <w:color w:val="000000"/>
        </w:rPr>
        <w:t xml:space="preserve">COVID dan COVID Crisis) menjadi negatif (Recovery). Ini bukan penurunan kualitas model, melainkan konsekuensi matematis dari ukuran </w:t>
      </w:r>
      <w:r w:rsidRPr="007A5F01">
        <w:rPr>
          <w:i/>
          <w:color w:val="000000"/>
        </w:rPr>
        <w:t>dataset</w:t>
      </w:r>
      <w:r w:rsidRPr="007A5F01">
        <w:rPr>
          <w:color w:val="000000"/>
        </w:rPr>
        <w:t xml:space="preserve"> yang jauh lebih besar pada fase Recovery semakin banyak observasi, semakin besar probabilitas joint yang harus dihitung dalam bentuk logaritma negatif. Kedua, nilai Calinski</w:t>
      </w:r>
      <w:r w:rsidR="007C1716" w:rsidRPr="007A5F01">
        <w:rPr>
          <w:color w:val="000000"/>
        </w:rPr>
        <w:t xml:space="preserve"> </w:t>
      </w:r>
      <w:r w:rsidRPr="007A5F01">
        <w:rPr>
          <w:color w:val="000000"/>
        </w:rPr>
        <w:t xml:space="preserve">Harabasz meningkat dari 7,23 (2019) ke 18,01 (2024), mengindikasikan separasi antar klaster yang semakin baik relatif terhadap dispersi internal positif </w:t>
      </w:r>
      <w:r w:rsidRPr="007A5F01">
        <w:rPr>
          <w:color w:val="000000"/>
        </w:rPr>
        <w:lastRenderedPageBreak/>
        <w:t>untuk kualitas segmentasi. Ketiga, nilai Davies</w:t>
      </w:r>
      <w:r w:rsidR="007C1716" w:rsidRPr="007A5F01">
        <w:rPr>
          <w:color w:val="000000"/>
        </w:rPr>
        <w:t xml:space="preserve"> </w:t>
      </w:r>
      <w:r w:rsidRPr="007A5F01">
        <w:rPr>
          <w:color w:val="000000"/>
        </w:rPr>
        <w:t>Bouldin yang sedikit meningkat dari 2,98 (2019) ke 4,19 (2024) menunjukkan klaster yang sedikit lebih overlapping di 2024, konsisten dengan K=3 yang menghasilkan segmen yang lebih saling berdekatan dibandingkan K=6.</w:t>
      </w:r>
    </w:p>
    <w:p w:rsidR="002316A4" w:rsidRDefault="00C02299" w:rsidP="000D6197">
      <w:pPr>
        <w:pStyle w:val="Judul3"/>
        <w:spacing w:after="160" w:line="480" w:lineRule="auto"/>
        <w:jc w:val="both"/>
        <w:outlineLvl w:val="3"/>
      </w:pPr>
      <w:r>
        <w:t>4.5.2 Perbandingan Empiris GMM vs K-Means</w:t>
      </w:r>
    </w:p>
    <w:p w:rsidR="002316A4" w:rsidRDefault="00C02299">
      <w:pPr>
        <w:jc w:val="center"/>
        <w:spacing w:line="240" w:lineRule="auto" w:after="240" w:before="0"/>
      </w:pPr>
      <w:r>
        <w:rPr>
          <w:b/>
          <w:bCs/>
          <w:color w:val="000000"/>
          <w:sz w:val="20"/>
          <w:szCs w:val="20"/>
        </w:rPr>
        <w:t>Tabel 4.8 Perbandingan Metrik Klasterisasi GMM vs K-Means (Data 2024, K=3)</w:t>
      </w:r>
    </w:p>
    <w:tbl>
      <w:tblPr>
        <w:tblW w:w="7987"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698"/>
        <w:gridCol w:w="992"/>
        <w:gridCol w:w="1274"/>
        <w:gridCol w:w="863"/>
        <w:gridCol w:w="3160"/>
      </w:tblGrid>
      <w:tr w:rsidR="00707891" w:rsidRPr="00707891" w:rsidTr="00707891">
        <w:trPr>
          <w:trHeight w:val="225"/>
          <w:tblHeader/>
        </w:trPr>
        <w:tc>
          <w:tcPr>
            <w:tcW w:w="170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0,0279</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−0,0443</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18,01</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−22,74</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4,19</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+1,22</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Proyeksi Segmen 2025</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4.8 menyajikan perbandingan empiris yang menghasilkan gambaran nuansif. Secara metrik klasterisasi konvensional, K-Means menunjukkan nilai yang lebih baik: Silhouette Score 0,0722 vs 0,0279, Calinski</w:t>
      </w:r>
      <w:r w:rsidR="007C1716" w:rsidRPr="007A5F01">
        <w:rPr>
          <w:color w:val="000000"/>
        </w:rPr>
        <w:t xml:space="preserve"> </w:t>
      </w:r>
      <w:r w:rsidRPr="007A5F01">
        <w:rPr>
          <w:color w:val="000000"/>
        </w:rPr>
        <w:t>Harabasz 40,75 vs 18,01, dan Davies</w:t>
      </w:r>
      <w:r w:rsidR="007C1716" w:rsidRPr="007A5F01">
        <w:rPr>
          <w:color w:val="000000"/>
        </w:rPr>
        <w:t xml:space="preserve"> </w:t>
      </w:r>
      <w:r w:rsidRPr="007A5F01">
        <w:rPr>
          <w:color w:val="000000"/>
        </w:rPr>
        <w:t xml:space="preserve">Bouldin 2,97 vs 4,19. Namun, perbedaan nilai ini bukanlah bukti </w:t>
      </w:r>
      <w:r w:rsidRPr="007A5F01">
        <w:rPr>
          <w:color w:val="000000"/>
        </w:rPr>
        <w:lastRenderedPageBreak/>
        <w:t>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w:t>
      </w:r>
      <w:r w:rsidR="007C1716" w:rsidRPr="007A5F01">
        <w:rPr>
          <w:color w:val="000000"/>
        </w:rPr>
        <w:t xml:space="preserve"> </w:t>
      </w:r>
      <w:r w:rsidRPr="007A5F01">
        <w:rPr>
          <w:color w:val="000000"/>
        </w:rPr>
        <w:t>likelihood probabilistik sebuah asumsi yang jauh lebih realistis untuk data perilaku calon mahasiswa yang memang tidak memiliki batas segmen yang tegas.</w:t>
      </w:r>
    </w:p>
    <w:p w:rsidR="002316A4" w:rsidRDefault="00C02299" w:rsidP="00EB55A7">
      <w:pPr>
        <w:spacing w:after="160" w:line="480" w:lineRule="auto"/>
        <w:ind w:firstLine="720"/>
        <w:jc w:val="both"/>
      </w:pPr>
      <w:r>
        <w:rPr>
          <w:color w:val="000000"/>
        </w:rPr>
        <w:t>Keunggulan fundamental GMM terletak pada tiga kemampuan yang tidak dapat dipenuhi K</w:t>
      </w:r>
      <w:r w:rsidR="007C1716">
        <w:rPr>
          <w:color w:val="000000"/>
        </w:rPr>
        <w:t xml:space="preserve"> </w:t>
      </w:r>
      <w:r>
        <w:rPr>
          <w:color w:val="000000"/>
        </w:rPr>
        <w:t xml:space="preserve">Means: (1) menghasilkan posterior probability yang menjadi basis </w:t>
      </w:r>
      <w:r>
        <w:rPr>
          <w:i/>
          <w:color w:val="000000"/>
        </w:rPr>
        <w:t>reasoning</w:t>
      </w:r>
      <w:r>
        <w:rPr>
          <w:color w:val="000000"/>
          <w:i/>
        </w:rPr>
        <w:t xml:space="preserve"> kausal LLM; (2) mendukung proyeksi komposisi segmen 2025 (592 pendaftar); dan (3) memfasilitasi otomasi persona per klaster. Tiga kemampuan inilah yang menjadi nilai tambah utama penelitian ini, konsisten dengan argumentasi Scrucca et al. (2024) bahwa nilai metrik GMM yang lebih rendah dari K-Means mencerminkan sifat soft clustering yang lebih realistis, bukan inferioritas model.</w:t>
      </w:r>
    </w:p>
    <w:p w:rsidR="002316A4" w:rsidRDefault="00C02299">
      <w:pPr>
        <w:pStyle w:val="Judul2"/>
        <w:spacing w:line="480" w:lineRule="auto"/>
        <w:jc w:val="both"/>
        <w:outlineLvl w:val="2"/>
      </w:pPr>
      <w:r>
        <w:t>4.6 Profil Klaster GMM per Fase Temporal dan Analisis Lifecycle</w:t>
      </w:r>
    </w:p>
    <w:p w:rsidR="002316A4" w:rsidRDefault="00C02299">
      <w:pPr>
        <w:pStyle w:val="Judul3"/>
        <w:spacing w:line="480" w:lineRule="auto"/>
        <w:jc w:val="both"/>
        <w:outlineLvl w:val="3"/>
      </w:pPr>
      <w:r>
        <w:t>4.6.1 Profil Klaster Fase Pre</w:t>
      </w:r>
      <w:r w:rsidR="007C1716">
        <w:t xml:space="preserve"> </w:t>
      </w:r>
      <w:r>
        <w:t>COVID (2019)</w:t>
      </w:r>
    </w:p>
    <w:p w:rsidR="002316A4" w:rsidRDefault="00C02299">
      <w:pPr>
        <w:spacing w:after="160" w:line="480" w:lineRule="auto"/>
        <w:ind w:firstLine="720"/>
        <w:jc w:val="both"/>
      </w:pPr>
      <w:r>
        <w:rPr>
          <w:color w:val="000000"/>
        </w:rPr>
        <w:t>Pada 2019 (baseline 146 pendaftar), GMM mengidentifikasi 6 klaster dengan distribusi yang relatif merata berkisar 5,5%–22,6%. Keseimbangan distribusi ini mencerminkan keberagaman profil pendaftar pada kondisi normal pra</w:t>
      </w:r>
      <w:r w:rsidR="007C1716">
        <w:rPr>
          <w:color w:val="000000"/>
        </w:rPr>
        <w:t xml:space="preserve"> </w:t>
      </w:r>
      <w:r>
        <w:rPr>
          <w:color w:val="000000"/>
        </w:rPr>
        <w:t>pandemi.</w:t>
      </w:r>
    </w:p>
    <w:p w:rsidR="00707891" w:rsidRDefault="00C02299" w:rsidP="00707891">
      <w:pPr>
        <w:contextualSpacing/>
        <w:jc w:val="center"/>
        <w:rPr>
          <w:b/>
          <w:bCs/>
          <w:color w:val="000000"/>
          <w:sz w:val="20"/>
          <w:szCs w:val="20"/>
        </w:rPr>
        <w:spacing w:line="240" w:lineRule="auto" w:after="240" w:before="0"/>
      </w:pPr>
      <w:r>
        <w:rPr>
          <w:b/>
          <w:sz w:val="20"/>
          <w:szCs w:val="20"/>
        </w:rPr>
        <w:t>Tabel 4.9 Profil Klaster GMM Tahun 2019 (Pre COVID Baseline, N=146)</w:t>
      </w:r>
    </w:p>
    <w:tbl>
      <w:tblPr>
        <w:tblW w:w="7912"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834"/>
        <w:gridCol w:w="525"/>
        <w:gridCol w:w="632"/>
        <w:gridCol w:w="841"/>
        <w:gridCol w:w="2306"/>
        <w:gridCol w:w="2774"/>
      </w:tblGrid>
      <w:tr w:rsidR="00707891" w:rsidRPr="00707891" w:rsidTr="00707891">
        <w:trPr>
          <w:trHeight w:val="225"/>
          <w:tblHeader/>
        </w:trPr>
        <w:tc>
          <w:tcPr>
            <w:tcW w:w="79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lastRenderedPageBreak/>
              <w:t>Klaster</w:t>
            </w:r>
          </w:p>
        </w:tc>
        <w:tc>
          <w:tcPr>
            <w:tcW w:w="527"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w:t>
            </w:r>
          </w:p>
        </w:tc>
        <w:tc>
          <w:tcPr>
            <w:tcW w:w="84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w:t>
            </w:r>
          </w:p>
        </w:tc>
        <w:tc>
          <w:tcPr>
            <w:tcW w:w="232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 Dominan</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33</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22,6</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(14), S1 Informatika (9)</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(24), Kota Pekalongan (4)</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K6</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21,9</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(17), S1 Teknologi Informasi (6)</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(28), Kab. Batang (2)</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21,2</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(12), S1 Teknik Industri (11)</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(16), Kota Pekalongan (14)</w:t>
            </w:r>
          </w:p>
        </w:tc>
      </w:tr>
      <w:tr w:rsidR="00707891" w:rsidRPr="00707891" w:rsidTr="00707891">
        <w:trPr>
          <w:trHeight w:val="449"/>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14,4</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(6), S1 Informatika (6)</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(20), Kota Pekalongan (1)</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14,4</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(8), S1 Informatika (7)</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(15), Kab. Batang (2)</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8</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5,5</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(4), S1 Teknologi Informasi (2)</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(8)</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7A5F01" w:rsidRDefault="00C02299" w:rsidP="007A5F01">
      <w:pPr>
        <w:spacing w:after="120" w:line="480" w:lineRule="auto"/>
        <w:ind w:firstLine="720"/>
        <w:jc w:val="both"/>
      </w:pPr>
      <w:r w:rsidRPr="007A5F01">
        <w:rPr>
          <w:color w:val="000000"/>
          <w:i/>
        </w:rPr>
        <w:t>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Kabupaten Pekalongan mendominasi semua klaster sebagai wilayah asal utama, dengan beberapa klaster (K3, K6) juga memiliki kontribusi dari Kabupaten Batang. Ketiga, nilai Avg Posterior = 1,00 di semua klaster mengindikasikan hard assignment de facto setiap pendaftar memiliki probabilitas 1,00 ke satu klaster dan 0,00 ke klaster lainnya. Ini merupakan karakteristik yang perlu dicatat: GMM dengan covariance_type full pada dataset berukuran relatif kecil ini (146 observasi, 6 klaster) menghasilkan distribusi yang sangat terpisah, sehingga posterior probability terkonsentrasi pada satu klaster.</w:t>
      </w:r>
    </w:p>
    <w:p w:rsidR="002316A4" w:rsidRDefault="00C02299" w:rsidP="00EB55A7">
      <w:pPr>
        <w:spacing w:before="80" w:after="80" w:line="480" w:lineRule="auto"/>
        <w:contextualSpacing/>
        <w:jc w:val="center"/>
      </w:pPr>
      <w:r>
        <w:rPr>
          <w:noProof/>
        </w:rPr>
        <w:lastRenderedPageBreak/>
        <w:drawing>
          <wp:inline distT="0" distB="0" distL="0" distR="0">
            <wp:extent cx="4000500" cy="323850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5"/>
                    <a:srcRect/>
                    <a:stretch>
                      <a:fillRect/>
                    </a:stretch>
                  </pic:blipFill>
                  <pic:spPr bwMode="auto">
                    <a:xfrm>
                      <a:off x="0" y="0"/>
                      <a:ext cx="4000500" cy="3238500"/>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4.2a Distribusi Klaster GMM pada Ruang PCA 2D Tahun 2019 (Pre</w:t>
      </w:r>
      <w:r w:rsidR="007C1716">
        <w:rPr>
          <w:color w:val="000000"/>
          <w:sz w:val="20"/>
          <w:szCs w:val="20"/>
        </w:rPr>
        <w:t xml:space="preserve"> </w:t>
      </w:r>
      <w:r>
        <w:rPr>
          <w:color w:val="000000"/>
          <w:sz w:val="20"/>
          <w:szCs w:val="20"/>
        </w:rPr>
        <w:t>COVID Baseline)</w:t>
      </w:r>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4.2a menampilkan distribusi 146 pendaftar 2019 dalam ruang PCA 2D dengan tiga warna klaster (merah, biru, hijau) dan simbol bintang (★) sebagai penanda sentroid. Visualisasi menunjukkan tiga pengelompokan yang jelas dan terpisah dalam ruang PCA: klaster merah di kuadran kiri</w:t>
      </w:r>
      <w:r w:rsidR="007C1716">
        <w:rPr>
          <w:color w:val="000000"/>
        </w:rPr>
        <w:t xml:space="preserve"> </w:t>
      </w:r>
      <w:r>
        <w:rPr>
          <w:color w:val="000000"/>
        </w:rPr>
        <w:t>bawah, klaster biru di tengah, dan klaster hijau di kuadran kanan</w:t>
      </w:r>
      <w:r w:rsidR="007C1716">
        <w:rPr>
          <w:color w:val="000000"/>
        </w:rPr>
        <w:t xml:space="preserve"> </w:t>
      </w:r>
      <w:r>
        <w:rPr>
          <w:color w:val="000000"/>
        </w:rPr>
        <w:t>atas. Ketiga klaster ini terpisah dengan cukup jelas dalam ruang PCA, mengkonfirmasi bahwa meskipun GMM menghasilkan 6 klaster, visualisasi PCA 2D (yang menangkap mayoritas varians) mengelompokkan klaster</w:t>
      </w:r>
      <w:r w:rsidR="007C1716">
        <w:rPr>
          <w:color w:val="000000"/>
        </w:rPr>
        <w:t xml:space="preserve"> </w:t>
      </w:r>
      <w:r>
        <w:rPr>
          <w:color w:val="000000"/>
        </w:rPr>
        <w:t>klaster tersebut menjadi tiga kelompok besar yang berbeda secara semantik.</w:t>
      </w:r>
    </w:p>
    <w:p w:rsidR="002316A4" w:rsidRDefault="00C02299" w:rsidP="000D6197">
      <w:pPr>
        <w:pStyle w:val="Judul3"/>
        <w:spacing w:after="160" w:line="480" w:lineRule="auto"/>
        <w:jc w:val="both"/>
        <w:outlineLvl w:val="3"/>
      </w:pPr>
      <w:r>
        <w:t>4.6.2 Profil Klaster Fase COVID Crisis (2020–2021)</w:t>
      </w:r>
    </w:p>
    <w:p w:rsidR="002316A4" w:rsidRPr="000D6197" w:rsidRDefault="00C02299" w:rsidP="000D6197">
      <w:pPr>
        <w:contextualSpacing/>
        <w:jc w:val="center"/>
        <w:rPr>
          <w:b/>
          <w:bCs/>
          <w:color w:val="000000"/>
          <w:sz w:val="20"/>
          <w:szCs w:val="20"/>
        </w:rPr>
        <w:spacing w:line="240" w:lineRule="auto" w:after="240" w:before="0"/>
      </w:pPr>
      <w:r>
        <w:rPr>
          <w:b/>
          <w:sz w:val="20"/>
          <w:szCs w:val="20"/>
        </w:rPr>
        <w:t>Tabel 4.10 Profil Klaster GMM Tahun 2020 (COVID Crisis Awal Pandemi, N=274)</w:t>
      </w:r>
    </w:p>
    <w:tbl>
      <w:tblPr>
        <w:tblW w:w="793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900"/>
        <w:gridCol w:w="600"/>
        <w:gridCol w:w="720"/>
        <w:gridCol w:w="960"/>
        <w:gridCol w:w="2640"/>
        <w:gridCol w:w="2118"/>
      </w:tblGrid>
      <w:tr w:rsidR="00707891" w:rsidRPr="00707891" w:rsidTr="00707891">
        <w:trPr>
          <w:tblHeader/>
        </w:trPr>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lastRenderedPageBreak/>
              <w:t>Klaster</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w:t>
            </w:r>
          </w:p>
        </w:tc>
        <w:tc>
          <w:tcPr>
            <w:tcW w:w="264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 Dominan</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69</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25,2</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(33), S1 Teknologi Informasi (27)</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(57),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K6</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(31), S1 Informatika (13)</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(40), Kota Pekalongan (10)</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51</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18,6</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(24), S1 Teknologi Informasi (13)</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(35), Kab. Pemalang (7)</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39</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14,2</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(19), S1 Teknologi Informasi (12)</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(31), Kab. Pemalang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13,5</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(27), S1 Teknologi Informasi (5)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(34), Kota Pekalongan (2)</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26</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9,5</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(12), S1 Teknologi Informasi (6)</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(13), Kota Pekalongan (12)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4.10 menunjukkan perubahan yang signifikan dibandingkan baseline 2019. Pertama, total pendaftar meningkat dari 146 menjadi 274 (+87,7%), namun distribusi antar klaster menjadi lebih tidak merata K1 mendominasi dengan 25,2% (69 pendaftar). Kedua, muncul kontribusi dari Kabupaten Pemalang (K2: 7 pendaftar, K4: 4 pendaftar) yang tidak signifikan pada 2019 mengindikasikan ekspansi geografis basis pendaftar pada masa pandemi, kemungkinan akibat perluasan jangkauan digital ITSNU. Ketiga, semua klaster tetap didominasi kombinasi S1 Informatika dan S1 Teknologi Informasi, mengkonfirmasi konsistensi preferensi program studi meskipun terjadi structural break dalam komposisi segmen.</w:t>
      </w:r>
    </w:p>
    <w:p w:rsidR="002316A4" w:rsidRDefault="00C02299">
      <w:pPr>
        <w:spacing w:before="80" w:after="80" w:line="480" w:lineRule="auto"/>
        <w:jc w:val="center"/>
      </w:pPr>
      <w:r>
        <w:rPr>
          <w:noProof/>
        </w:rPr>
        <w:lastRenderedPageBreak/>
        <w:drawing>
          <wp:inline distT="0" distB="0" distL="0" distR="0">
            <wp:extent cx="3770068" cy="3051959"/>
            <wp:effectExtent l="0" t="0" r="1905" b="0"/>
            <wp:docPr id="9"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6"/>
                    <a:srcRect/>
                    <a:stretch>
                      <a:fillRect/>
                    </a:stretch>
                  </pic:blipFill>
                  <pic:spPr bwMode="auto">
                    <a:xfrm>
                      <a:off x="0" y="0"/>
                      <a:ext cx="3777637" cy="3058086"/>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4.2b Distribusi Klaster GMM pada Ruang PCA 2D Tahun 2020 (COVID Crisis Awal Pandemi)</w:t>
      </w:r>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4.2b menampilkan distribusi 274 pendaftar 2020 yang secara visual hampir identik dengan Gambar 4.2a dalam hal pola tiga</w:t>
      </w:r>
      <w:r w:rsidR="007C1716">
        <w:rPr>
          <w:color w:val="000000"/>
        </w:rPr>
        <w:t xml:space="preserve"> </w:t>
      </w:r>
      <w:r>
        <w:rPr>
          <w:color w:val="000000"/>
        </w:rPr>
        <w:t>kelompok di ruang PCA. Namun demikian, jumlah titik data yang jauh lebih banyak (274 vs 146) terlihat jelas dengan kepadatan titik yang lebih tinggi di setiap kelompok. Posisi sentroid (★) relatif stabil dibandingkan 2019 terutama sentroid merah dan hijau namun centroid drift sebesar 20,35 yang terukur secara kuantitatif mengkonfirmasi bahwa terdapat pergeseran posisi yang signifikan ketika dilihat dalam ruang PCA dimensi penuh (bukan hanya 2D). Stabilitas visual dalam 2D tetapi pergeseran signifikan dalam dimensi lebih tinggi ini menjelaskan mengapa diperlukan metrik ARI dan centroid drift multidimensi daripada hanya inspeksi visual.</w:t>
      </w:r>
    </w:p>
    <w:p w:rsidR="002316A4" w:rsidRPr="000D6197" w:rsidRDefault="00C02299" w:rsidP="000D6197">
      <w:pPr>
        <w:contextualSpacing/>
        <w:jc w:val="center"/>
        <w:rPr>
          <w:b/>
          <w:bCs/>
          <w:color w:val="000000"/>
          <w:sz w:val="20"/>
          <w:szCs w:val="20"/>
        </w:rPr>
        <w:spacing w:line="240" w:lineRule="auto" w:after="240" w:before="0"/>
      </w:pPr>
      <w:r>
        <w:rPr>
          <w:b/>
          <w:sz w:val="20"/>
          <w:szCs w:val="20"/>
        </w:rPr>
        <w:lastRenderedPageBreak/>
        <w:t>Tabel 4.11 Profil Klaster GMM Tahun 2021 (COVID Crisis Puncak Adaptasi, N=301)</w:t>
      </w:r>
    </w:p>
    <w:tbl>
      <w:tblPr>
        <w:tblW w:w="793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900"/>
        <w:gridCol w:w="600"/>
        <w:gridCol w:w="720"/>
        <w:gridCol w:w="960"/>
        <w:gridCol w:w="2640"/>
        <w:gridCol w:w="2118"/>
      </w:tblGrid>
      <w:tr w:rsidR="00707891" w:rsidRPr="00707891" w:rsidTr="00707891">
        <w:trPr>
          <w:tblHeader/>
        </w:trPr>
        <w:tc>
          <w:tcPr>
            <w:tcW w:w="90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9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(30), S1 Teknologi Informasi (20)</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(61), Kota Pekalongan (3)</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(39), S1 Informatika (18)</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(47), Kab. Batang (10)</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47</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15,6</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(16), S1 Informatika (15)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(36), Kota Pekalongan (9)</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(17), S1 Teknologi Informasi (15)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(37),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K6</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(27), S1 Teknologi Informasi (6)</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(30),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33</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(15), S1 Informatika (9)</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(33)</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perubahan penting pada 2021: kemunculan S1 Teknik Industri sebagai prodi dominan di dua klaster (K5 dan K1), sesuatu yang tidak terlihat pada 2019 dan 2020 di mana IT mendominasi semua klaster. Ini mengindikasikan diversifikasi minat program studi pada puncak pandemi kemungkinan karena pendaftar mulai mempertimbangkan program yang lebih terkait dengan transformasi industri lokal (batik, manufaktur). Kabupaten Batang kembali muncul sebagai sumber sekunder yang signifikan (K4: 10 pendaftar).</w:t>
      </w:r>
    </w:p>
    <w:p w:rsidR="002316A4" w:rsidRDefault="00C02299" w:rsidP="00EB55A7">
      <w:pPr>
        <w:spacing w:before="80" w:after="80" w:line="480" w:lineRule="auto"/>
        <w:contextualSpacing/>
        <w:jc w:val="center"/>
      </w:pPr>
      <w:r>
        <w:rPr>
          <w:noProof/>
        </w:rPr>
        <w:lastRenderedPageBreak/>
        <w:drawing>
          <wp:inline distT="0" distB="0" distL="0" distR="0">
            <wp:extent cx="4210152" cy="3408218"/>
            <wp:effectExtent l="0" t="0" r="0" b="0"/>
            <wp:docPr id="10"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7"/>
                    <a:srcRect/>
                    <a:stretch>
                      <a:fillRect/>
                    </a:stretch>
                  </pic:blipFill>
                  <pic:spPr bwMode="auto">
                    <a:xfrm>
                      <a:off x="0" y="0"/>
                      <a:ext cx="4211791" cy="3409545"/>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4.2c Distribusi Klaster GMM pada Ruang PCA 2D Tahun 2021 (COVID Crisis Puncak Adaptasi)</w:t>
      </w:r>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4.2c memperlihatkan distribusi 301 pendaftar 2021 dengan pola tiga kelompok yang konsisten dengan tahun</w:t>
      </w:r>
      <w:r w:rsidR="007C1716">
        <w:rPr>
          <w:color w:val="000000"/>
        </w:rPr>
        <w:t xml:space="preserve"> </w:t>
      </w:r>
      <w:r>
        <w:rPr>
          <w:color w:val="000000"/>
        </w:rPr>
        <w:t>tahun sebelumnya. Namun, terdapat perbedaan yang terlihat: kelompok merah (kiri</w:t>
      </w:r>
      <w:r w:rsidR="007C1716">
        <w:rPr>
          <w:color w:val="000000"/>
        </w:rPr>
        <w:t xml:space="preserve"> </w:t>
      </w:r>
      <w:r>
        <w:rPr>
          <w:color w:val="000000"/>
        </w:rPr>
        <w:t xml:space="preserve">bawah) tampak lebih tersebar dibandingkan 2019 dan 2020, dengan beberapa titik merah yang berada agak jauh dari pusat kelompok. Fenomena ini konsisten dengan munculnya klaster dengan S1 Teknik Industri sebagai prodi dominan program ini kemungkinan menghasilkan </w:t>
      </w:r>
      <w:r>
        <w:rPr>
          <w:i/>
          <w:color w:val="000000"/>
        </w:rPr>
        <w:t>embedding</w:t>
      </w:r>
      <w:r>
        <w:rPr>
          <w:color w:val="000000"/>
        </w:rPr>
        <w:t xml:space="preserve"> yang sedikit berbeda dari program IT, sehingga pendaftar Teknik Industri berada di posisi yang lebih marginal dalam ruang PCA. Posisi sentroid merah (★) juga sedikit bergeser ke kiri dibandingkan 2020.</w:t>
      </w:r>
    </w:p>
    <w:p w:rsidR="002316A4" w:rsidRDefault="00C02299" w:rsidP="000D6197">
      <w:pPr>
        <w:pStyle w:val="Judul3"/>
        <w:spacing w:after="160" w:line="480" w:lineRule="auto"/>
        <w:jc w:val="both"/>
        <w:outlineLvl w:val="3"/>
      </w:pPr>
      <w:r>
        <w:lastRenderedPageBreak/>
        <w:t>4.6.3 Profil Klaster Fase Recovery (2022–2024)</w:t>
      </w:r>
    </w:p>
    <w:p w:rsidR="002316A4" w:rsidRPr="000D6197" w:rsidRDefault="00C02299" w:rsidP="000D6197">
      <w:pPr>
        <w:contextualSpacing/>
        <w:jc w:val="center"/>
        <w:rPr>
          <w:b/>
          <w:bCs/>
          <w:color w:val="000000"/>
          <w:sz w:val="20"/>
          <w:szCs w:val="20"/>
        </w:rPr>
        <w:spacing w:line="240" w:lineRule="auto" w:after="240" w:before="0"/>
      </w:pPr>
      <w:r>
        <w:rPr>
          <w:b/>
          <w:sz w:val="20"/>
          <w:szCs w:val="20"/>
        </w:rPr>
        <w:t>Tabel 4.12 Profil Klaster GMM Tahun 2022 (Recovery Awal Pemulihan, N=458)</w:t>
      </w:r>
    </w:p>
    <w:tbl>
      <w:tblPr>
        <w:tblW w:w="793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896"/>
        <w:gridCol w:w="594"/>
        <w:gridCol w:w="550"/>
        <w:gridCol w:w="1079"/>
        <w:gridCol w:w="2357"/>
        <w:gridCol w:w="2462"/>
      </w:tblGrid>
      <w:tr w:rsidR="00707891" w:rsidRPr="00707891" w:rsidTr="000D6197">
        <w:trPr>
          <w:tblHeader/>
        </w:trPr>
        <w:tc>
          <w:tcPr>
            <w:tcW w:w="8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107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287</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62,7</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(92), S1 Informatika (70)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(194), Kota Pekalongan (52)</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12,2</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(22), S1 Teknologi Informasi (11)</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(45), Kota Pekalongan (11)</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11,4</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(13), S1 Teknik Industri (10)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(36), Kota Pekalongan (15)</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8,7</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(14), S1 Informatika (10)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(37), Kab. Batang (1)</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5,0</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(9), D3 Adm. Perkantoran (6)</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 (12), Kab. Pekalongan (9)</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perubahan dramatis pada awal fase Recovery. Klaster K1 mendominasi dengan 287 pendaftar (62,7%) sebuah konsentrasi yang belum pernah terjadi pada fase sebelumnya. Perubahan dari distribusi merata enam klaster (2019–2021) ke dominasi satu klaster ini merupakan structural break yang signifikan. Kemunculan D3 Administrasi Perkantoran di K4 (6 pendaftar) menandai diversifikasi ke program non</w:t>
      </w:r>
      <w:r w:rsidR="007C1716" w:rsidRPr="007A5F01">
        <w:rPr>
          <w:color w:val="000000"/>
        </w:rPr>
        <w:t xml:space="preserve"> </w:t>
      </w:r>
      <w:r w:rsidRPr="007A5F01">
        <w:rPr>
          <w:color w:val="000000"/>
        </w:rPr>
        <w:t>IT mungkin cerminan penurunan biaya pendidikan yang membuat program diploma lebih menarik bagi segmen tertentu.</w:t>
      </w:r>
    </w:p>
    <w:p w:rsidR="002316A4" w:rsidRDefault="00C02299">
      <w:pPr>
        <w:spacing w:before="80" w:after="80" w:line="480" w:lineRule="auto"/>
        <w:jc w:val="center"/>
      </w:pPr>
      <w:r>
        <w:rPr>
          <w:noProof/>
        </w:rPr>
        <w:lastRenderedPageBreak/>
        <w:drawing>
          <wp:inline distT="0" distB="0" distL="0" distR="0">
            <wp:extent cx="4650237" cy="3764478"/>
            <wp:effectExtent l="0" t="0" r="0" b="0"/>
            <wp:docPr id="11"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8"/>
                    <a:srcRect/>
                    <a:stretch>
                      <a:fillRect/>
                    </a:stretch>
                  </pic:blipFill>
                  <pic:spPr bwMode="auto">
                    <a:xfrm>
                      <a:off x="0" y="0"/>
                      <a:ext cx="4658532" cy="3771193"/>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4.2d Distribusi Klaster GMM pada Ruang PCA 2D Tahun 2022 (Recovery Awal Pemulihan)</w:t>
      </w:r>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4.2d dengan jelas memvisualisasikan dominasi K1 (merah) pada 2022. Kelompok merah di kiri</w:t>
      </w:r>
      <w:r w:rsidR="007C1716">
        <w:rPr>
          <w:color w:val="000000"/>
        </w:rPr>
        <w:t xml:space="preserve"> </w:t>
      </w:r>
      <w:r>
        <w:rPr>
          <w:color w:val="000000"/>
        </w:rPr>
        <w:t>bawah tampak jauh lebih padat dan besar dibandingkan dua kelompok lainnya (biru dan hijau), secara visual mencerminkan 62,7% proporsinya dari total. Pola tiga kelompok tetap konsisten secara geometris dengan tahun</w:t>
      </w:r>
      <w:r w:rsidR="007C1716">
        <w:rPr>
          <w:color w:val="000000"/>
        </w:rPr>
        <w:t xml:space="preserve"> </w:t>
      </w:r>
      <w:r>
        <w:rPr>
          <w:color w:val="000000"/>
        </w:rPr>
        <w:t>tahun sebelumnya. Konsistensi posisi geometris ini membuktikan bahwa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berhasil mempertahankan ruang representasi yang comparable, sehingga pergeseran distribusi yang terlihat antar gambar mencerminkan perubahan populasi sesungguhnya.</w:t>
      </w:r>
    </w:p>
    <w:p w:rsidR="002316A4" w:rsidRPr="000D6197" w:rsidRDefault="00C02299" w:rsidP="000D6197">
      <w:pPr>
        <w:contextualSpacing/>
        <w:jc w:val="center"/>
        <w:rPr>
          <w:b/>
          <w:bCs/>
          <w:color w:val="000000"/>
          <w:sz w:val="20"/>
          <w:szCs w:val="20"/>
        </w:rPr>
        <w:spacing w:line="240" w:lineRule="auto" w:after="240" w:before="0"/>
      </w:pPr>
      <w:r>
        <w:rPr>
          <w:b/>
          <w:sz w:val="20"/>
          <w:szCs w:val="20"/>
        </w:rPr>
        <w:lastRenderedPageBreak/>
        <w:t>Tabel 4.13 Profil Klaster GMM Tahun 2023 (Recovery Konsolidasi, N=680)</w:t>
      </w:r>
    </w:p>
    <w:tbl>
      <w:tblPr>
        <w:tblW w:w="789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834"/>
        <w:gridCol w:w="525"/>
        <w:gridCol w:w="631"/>
        <w:gridCol w:w="839"/>
        <w:gridCol w:w="2509"/>
        <w:gridCol w:w="2560"/>
      </w:tblGrid>
      <w:tr w:rsidR="00707891" w:rsidRPr="00707891" w:rsidTr="00707891">
        <w:trPr>
          <w:trHeight w:val="217"/>
          <w:tblHeader/>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rPr>
          <w:trHeight w:val="422"/>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630</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92,6</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(189), S1 Teknologi Informasi (169)</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(420), Kota Pekalongan (97)</w:t>
            </w:r>
          </w:p>
        </w:tc>
      </w:tr>
      <w:tr w:rsidR="00707891" w:rsidRPr="00707891" w:rsidTr="00707891">
        <w:trPr>
          <w:trHeight w:val="422"/>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7,4</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(22), S1 Teknik Industri (11)</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(31), Kota Pekalongan (13)</w:t>
            </w:r>
          </w:p>
        </w:tc>
      </w:tr>
    </w:tbl>
    <w:p w:rsidR="007A5F01" w:rsidRPr="007A5F01" w:rsidRDefault="00C02299" w:rsidP="007A5F01">
      <w:pPr>
        <w:spacing w:after="120"/>
        <w:jc w:val="both"/>
      </w:pPr>
      <w:r>
        <w:rPr>
          <w:iCs/>
          <w:color w:val="000000"/>
          <w:szCs w:val="20"/>
        </w:rPr>
        <w:t>Sumber: Hasil pemodelan GMM (2025)</w:t>
      </w:r>
    </w:p>
    <w:p w:rsidR="002316A4" w:rsidRPr="007A5F01" w:rsidRDefault="00C02299" w:rsidP="007A5F01">
      <w:pPr>
        <w:spacing w:after="120" w:line="480" w:lineRule="auto"/>
        <w:ind w:firstLine="720"/>
        <w:jc w:val="both"/>
      </w:pPr>
      <w:r w:rsidRPr="007A5F01">
        <w:rPr>
          <w:color w:val="000000"/>
        </w:rPr>
        <w:t>Tabel 4.13 menampilkan fenomena paling ekstrem dalam seluruh analisis: 92,6% pendaftar (630 dari 680) terkonsentrasi dalam satu klaster (K2). Ini adalah konsolidasi segmen yang belum pernah terjadi sebelumnya. Klaster K2 yang dominan dicirikan oleh S1 Informatika (189) dan S1 Teknologi Informasi (169) sebagai dua prodi terbesar, dengan basis geografis utama di Kabupaten Pekalongan (420) dan Kota Pekalongan (97). Klaster kecil K1 (50 pendaftar, 7,4%) menampung campuran S1 Informatika dan S1 Teknik Industri. Konsolidasi ekstrem ini mengisyaratkan kampanye rekrutmen 2023 sangat berhasil menarik satu segmen yang sangat homogen namun pada saat yang sama, keberhasilan ini dapat menjadi risiko jika segmen tersebut tidak dapat dipertahankan pada tahun berikutnya.</w:t>
      </w:r>
    </w:p>
    <w:p w:rsidR="002316A4" w:rsidRDefault="00C02299" w:rsidP="00EB55A7">
      <w:pPr>
        <w:spacing w:before="80" w:after="80" w:line="480" w:lineRule="auto"/>
        <w:contextualSpacing/>
        <w:jc w:val="center"/>
      </w:pPr>
      <w:r>
        <w:rPr>
          <w:noProof/>
        </w:rPr>
        <w:lastRenderedPageBreak/>
        <w:drawing>
          <wp:inline distT="0" distB="0" distL="0" distR="0">
            <wp:extent cx="4211888" cy="3409623"/>
            <wp:effectExtent l="0" t="0" r="5080" b="0"/>
            <wp:docPr id="12"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9"/>
                    <a:srcRect/>
                    <a:stretch>
                      <a:fillRect/>
                    </a:stretch>
                  </pic:blipFill>
                  <pic:spPr bwMode="auto">
                    <a:xfrm>
                      <a:off x="0" y="0"/>
                      <a:ext cx="4229193" cy="3423632"/>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4.2e Distribusi Klaster GMM pada Ruang PCA 2D Tahun 2023 (Recovery Konsolidasi)</w:t>
      </w:r>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4.2e secara dramatis memvisualisasikan konsolidasi K=2 pada 2023. Kontras dengan gambar</w:t>
      </w:r>
      <w:r w:rsidR="007C1716">
        <w:rPr>
          <w:color w:val="000000"/>
        </w:rPr>
        <w:t xml:space="preserve"> </w:t>
      </w:r>
      <w:r>
        <w:rPr>
          <w:color w:val="000000"/>
        </w:rPr>
        <w:t>gambar sebelumnya yang menampilkan distribusi relatif seimbang antar kelompok, Gambar 4.2e menampilkan kelompok hijau yang mendominasi ruang kanan</w:t>
      </w:r>
      <w:r w:rsidR="007C1716">
        <w:rPr>
          <w:color w:val="000000"/>
        </w:rPr>
        <w:t xml:space="preserve"> </w:t>
      </w:r>
      <w:r>
        <w:rPr>
          <w:color w:val="000000"/>
        </w:rPr>
        <w:t>atas dengan kepadatan titik yang sangat tinggi (630 pendaftar K2), sementara kelompok merah di kiri</w:t>
      </w:r>
      <w:r w:rsidR="007C1716">
        <w:rPr>
          <w:color w:val="000000"/>
        </w:rPr>
        <w:t xml:space="preserve"> </w:t>
      </w:r>
      <w:r>
        <w:rPr>
          <w:color w:val="000000"/>
        </w:rPr>
        <w:t>bawah tampak sangat kecil (50 pendaftar K1). Tidak ada klaster biru sama sekali ini adalah visualisasi langsung dari K=2 (hanya dua klaster). Pola ini menegaskan bahwa lonjakan 680 pendaftar pada 2023 hampir seluruhnya didorong oleh ekspansi satu segmen yang sangat homogen.</w:t>
      </w:r>
    </w:p>
    <w:p w:rsidR="002316A4" w:rsidRDefault="00C02299" w:rsidP="000D6197">
      <w:pPr>
        <w:contextualSpacing/>
        <w:jc w:val="center"/>
        <w:rPr>
          <w:b/>
          <w:bCs/>
          <w:color w:val="000000"/>
          <w:sz w:val="20"/>
          <w:szCs w:val="20"/>
        </w:rPr>
        <w:spacing w:line="240" w:lineRule="auto" w:after="240" w:before="0"/>
      </w:pPr>
      <w:r>
        <w:rPr>
          <w:b/>
          <w:sz w:val="20"/>
          <w:szCs w:val="20"/>
        </w:rPr>
        <w:t>Tabel 4.14 Profil Klaster GMM Tahun 2024 (Recovery Stabilisasi, N=503)</w:t>
      </w:r>
    </w:p>
    <w:tbl>
      <w:tblPr>
        <w:tblW w:w="7961"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834"/>
        <w:gridCol w:w="529"/>
        <w:gridCol w:w="636"/>
        <w:gridCol w:w="846"/>
        <w:gridCol w:w="2532"/>
        <w:gridCol w:w="2584"/>
      </w:tblGrid>
      <w:tr w:rsidR="00707891" w:rsidRPr="00707891" w:rsidTr="00707891">
        <w:trPr>
          <w:trHeight w:val="231"/>
          <w:tblHeader/>
        </w:trPr>
        <w:tc>
          <w:tcPr>
            <w:tcW w:w="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lastRenderedPageBreak/>
              <w:t>Klaster</w:t>
            </w:r>
          </w:p>
        </w:tc>
        <w:tc>
          <w:tcPr>
            <w:tcW w:w="53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84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rPr>
          <w:trHeight w:val="478"/>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274</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54,5</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(60), D3 Akuntansi (57)</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(238), Kab. Batang (18)</w:t>
            </w:r>
          </w:p>
        </w:tc>
      </w:tr>
      <w:tr w:rsidR="00707891" w:rsidRPr="00707891" w:rsidTr="00707891">
        <w:trPr>
          <w:trHeight w:val="463"/>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196</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39,0</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(52), S1 Informatika (43)</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(113), Kota Pekalongan (59)</w:t>
            </w:r>
          </w:p>
        </w:tc>
      </w:tr>
      <w:tr w:rsidR="00707891" w:rsidRPr="00707891" w:rsidTr="00707891">
        <w:trPr>
          <w:trHeight w:val="463"/>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6,6</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D3 Akuntansi (13), D3 Adm. Perkantoran (5)</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 (28), Kab. Pekalongan (5)</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paling signifikan dalam komposisi program studi sepanjang enam periode: D3 Akuntansi muncul sebagai prodi dominan kedua di K2 (57 pendaftar, berdampingan dengan S1 Informatika 60 pendaftar). Kemunculan ini sebelumnya tidak terlihat sebagai prodi dominan di klaster manapun pada 2019–2023. Selain itu, K1 (6,6%) hampir seluruhnya terdiri dari program Diploma (D3 Akuntansi + D3 Adm. Perkantoran) yang berbasis di Kota Pekalongan profil yang sangat berbeda dari klaster-klaster sebelumnya. Diversifikasi ke program non-IT ini mengindikasikan perluasan jangkauan rekrutmen ITSNU Pekalongan pada 2024 ke segmen yang sebelumnya tidak tertangkap.</w:t>
      </w:r>
    </w:p>
    <w:p w:rsidR="002316A4" w:rsidRDefault="00C02299">
      <w:pPr>
        <w:spacing w:before="80" w:after="80" w:line="480" w:lineRule="auto"/>
        <w:jc w:val="center"/>
      </w:pPr>
      <w:r>
        <w:rPr>
          <w:noProof/>
        </w:rPr>
        <w:lastRenderedPageBreak/>
        <w:drawing>
          <wp:inline distT="0" distB="0" distL="0" distR="0">
            <wp:extent cx="4000500" cy="3238500"/>
            <wp:effectExtent l="0" t="0" r="0" b="0"/>
            <wp:docPr id="13"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0"/>
                    <a:srcRect/>
                    <a:stretch>
                      <a:fillRect/>
                    </a:stretch>
                  </pic:blipFill>
                  <pic:spPr bwMode="auto">
                    <a:xfrm>
                      <a:off x="0" y="0"/>
                      <a:ext cx="4000500" cy="3238500"/>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4.2f Distribusi Klaster GMM pada Ruang PCA 2D Tahun 2024 (Recovery Stabilisasi)</w:t>
      </w:r>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4.2f menampilkan distribusi K=3 pada 2024 dengan pola tiga kelompok yang kembali seimbang merah (kiri</w:t>
      </w:r>
      <w:r w:rsidR="007C1716">
        <w:rPr>
          <w:color w:val="000000"/>
        </w:rPr>
        <w:t xml:space="preserve"> </w:t>
      </w:r>
      <w:r>
        <w:rPr>
          <w:color w:val="000000"/>
        </w:rPr>
        <w:t>bawah, K1 kecil), biru (tengah, K3), dan hijau (kanan</w:t>
      </w:r>
      <w:r w:rsidR="007C1716">
        <w:rPr>
          <w:color w:val="000000"/>
        </w:rPr>
        <w:t xml:space="preserve"> </w:t>
      </w:r>
      <w:r>
        <w:rPr>
          <w:color w:val="000000"/>
        </w:rPr>
        <w:t>atas, K2 dominan). Dibandingkan 2023 yang hanya K=2, kemunculan kembali klaster biru (K3: 196 pendaftar, 39,0%) menandai diversifikasi segmen yang sehat. Posisi kelompok hijau (K2) di kanan</w:t>
      </w:r>
      <w:r w:rsidR="007C1716">
        <w:rPr>
          <w:color w:val="000000"/>
        </w:rPr>
        <w:t xml:space="preserve"> </w:t>
      </w:r>
      <w:r>
        <w:rPr>
          <w:color w:val="000000"/>
        </w:rPr>
        <w:t>atas konsisten dengan tahun-tahun sebelumnya, mengkonfirmasi bahwa segmen inti ITSNU Pekalongan berbasis IT dari Kabupaten Pekalongan tetap menjadi kelompok terbesar meskipun terjadi diversifikasi.</w:t>
      </w:r>
    </w:p>
    <w:p w:rsidR="002316A4" w:rsidRDefault="00C02299" w:rsidP="00EB55A7">
      <w:pPr>
        <w:pStyle w:val="Judul3"/>
        <w:spacing w:after="160" w:line="480" w:lineRule="auto"/>
        <w:jc w:val="both"/>
        <w:outlineLvl w:val="3"/>
      </w:pPr>
      <w:r>
        <w:t>4.6.4 Matriks Evolusi Lifecycle dan Tren Proporsi Klaster</w:t>
      </w:r>
    </w:p>
    <w:p w:rsidR="00953938" w:rsidRDefault="00C02299" w:rsidP="00EB55A7">
      <w:pPr>
        <w:contextualSpacing/>
        <w:jc w:val="center"/>
        <w:rPr>
          <w:b/>
          <w:bCs/>
          <w:color w:val="000000"/>
          <w:sz w:val="20"/>
          <w:szCs w:val="20"/>
        </w:rPr>
        <w:spacing w:line="240" w:lineRule="auto" w:after="240" w:before="0"/>
      </w:pPr>
      <w:r>
        <w:rPr>
          <w:b/>
          <w:sz w:val="20"/>
          <w:szCs w:val="20"/>
        </w:rPr>
        <w:lastRenderedPageBreak/>
        <w:t>Tabel 4.15 Matriks Evolusi Proporsi Klaster 2019–2024 (Lifecycle Analysis)</w:t>
      </w:r>
    </w:p>
    <w:tbl>
      <w:tblPr>
        <w:tblW w:w="7947"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649"/>
        <w:gridCol w:w="883"/>
        <w:gridCol w:w="883"/>
        <w:gridCol w:w="883"/>
        <w:gridCol w:w="883"/>
        <w:gridCol w:w="883"/>
        <w:gridCol w:w="883"/>
        <w:gridCol w:w="1000"/>
      </w:tblGrid>
      <w:tr w:rsidR="00953938" w:rsidRPr="00953938" w:rsidTr="00953938">
        <w:trPr>
          <w:trHeight w:val="222"/>
          <w:tblHeader/>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1 (Merah)</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22,6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25,2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23,3</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62,7</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92,6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54,5</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2 (Biru)</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21,9</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19,0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23,3</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12,2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7,4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39,0</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(V-shape)</w:t>
            </w:r>
          </w:p>
        </w:tc>
      </w:tr>
      <w:tr w:rsidR="00953938" w:rsidRPr="00953938" w:rsidTr="00953938">
        <w:trPr>
          <w:trHeight w:val="287"/>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3 (Hijau)</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21,2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18,6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15,6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11,4</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6,6</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15,0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8,7</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 (merger)</w:t>
            </w:r>
          </w:p>
        </w:tc>
      </w:tr>
      <w:tr w:rsidR="00953938" w:rsidRPr="00953938" w:rsidTr="00953938">
        <w:trPr>
          <w:trHeight w:val="444"/>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13,5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12,0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5,0</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 (merger)</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11,0</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lalu merger</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perjalanan enam tahun seluruh klaster dalam satu matriks lifecycle. Temuan utama dari matriks ini adalah pola konsolidasi yang dramatis dan konsisten. Klaster 1 (Merah) menunjukkan pertumbuhan dari 22,6% (2019) hingga mendominasi 92,6% pada 2023 sebelum normalisasi ke 54,5% pada 2024 trajektori pertumbuhan yang paling signifikan. Klaster 2 (Biru) mengalami kontraksi tajam dari 21,9% (2019) ke 7,4% (2023), kemudian rebound ke 39,0% (2024) pola V-shape yang mengindikasikan segmen ini sempat tertekan oleh dominasi Klaster 1 namun kembali bangkit. Klaster 3–5 secara konsisten menunjukkan tren menurun dan akhirnya menghilang dari 2023–2024 mengindikasikan merger ke klaster yang lebih besar atau hilangnya segmen tersebut dari populasi pendaftar. Klaster 6 yang terkecil pada 2019 (5,5%) menunjukkan </w:t>
      </w:r>
      <w:r w:rsidRPr="007A5F01">
        <w:rPr>
          <w:color w:val="000000"/>
        </w:rPr>
        <w:lastRenderedPageBreak/>
        <w:t>pertumbuhan hingga 11,0% di 2021 sebelum merger ke klaster lain pada 2022. Keragaman pola lifecycle ini mengkonfirmasi pentingnya analisis temporal yang tidak dapat ditangkap oleh analisis single</w:t>
      </w:r>
      <w:r w:rsidR="007C1716" w:rsidRPr="007A5F01">
        <w:rPr>
          <w:color w:val="000000"/>
        </w:rPr>
        <w:t xml:space="preserve"> </w:t>
      </w:r>
      <w:r w:rsidRPr="007A5F01">
        <w:rPr>
          <w:color w:val="000000"/>
        </w:rPr>
        <w:t>period.</w:t>
      </w:r>
    </w:p>
    <w:p w:rsidR="002316A4" w:rsidRDefault="00C02299">
      <w:pPr>
        <w:pStyle w:val="Judul2"/>
        <w:spacing w:line="480" w:lineRule="auto"/>
        <w:jc w:val="both"/>
        <w:outlineLvl w:val="2"/>
      </w:pPr>
      <w:r>
        <w:t>4.7 Otomasi Reasoning Tren Kausal dan Ringkasan Naratif (Otomasi LLM Hybrid: Llama 3.2 Lokal + OpenRouter Cloud)</w:t>
      </w:r>
    </w:p>
    <w:p w:rsidR="002316A4" w:rsidRDefault="00C02299">
      <w:pPr>
        <w:pStyle w:val="Judul3"/>
        <w:spacing w:line="480" w:lineRule="auto"/>
        <w:jc w:val="both"/>
        <w:outlineLvl w:val="3"/>
      </w:pPr>
      <w:r>
        <w:t>4.7.1 Reasoning Tren Kausal Berbasis LLM</w:t>
      </w:r>
    </w:p>
    <w:p w:rsidR="002316A4" w:rsidRPr="00B113D6" w:rsidRDefault="00C02299">
      <w:pPr>
        <w:spacing w:after="160" w:line="480" w:lineRule="auto"/>
        <w:ind w:firstLine="720"/>
        <w:jc w:val="both"/>
      </w:pPr>
      <w:r w:rsidRPr="00B113D6">
        <w:rPr>
          <w:i/>
        </w:rPr>
        <w:t>Sistem otomasi LLM hybrid menghasilkan reasoning kausal melalui OpenRouter cloud (mensintesis output dari meta-llama/llama-3.3-70b-instruct, nvidia/nemotron-3-ultra-550b-a55b, dan nvidia/nemotron-3-super-120b-a12b) menggunakan chain of thought prompting Sistem otomasi LLM menghasilkan reasoning kausal menggunakan chain of thought prompting (Wei et al., 2022) untuk setiap transisi, menjelaskan mekanisme perubahan struktural.</w:t>
      </w:r>
    </w:p>
    <w:p w:rsidR="002316A4" w:rsidRDefault="00C02299">
      <w:pPr>
        <w:spacing w:after="160" w:line="480" w:lineRule="auto"/>
        <w:ind w:firstLine="720"/>
        <w:jc w:val="both"/>
      </w:pPr>
      <w:r>
        <w:rPr>
          <w:bCs/>
          <w:i/>
          <w:color w:val="000000"/>
        </w:rPr>
        <w:t>Reasoning</w:t>
      </w:r>
      <w:r w:rsidR="00480FB2">
        <w:rPr>
          <w:bCs/>
          <w:i/>
          <w:color w:val="000000"/>
          <w:lang w:val="en-US"/>
        </w:rPr>
        <w:t xml:space="preserve"> </w:t>
      </w:r>
      <w:r>
        <w:rPr>
          <w:bCs/>
          <w:color w:val="000000"/>
        </w:rPr>
        <w:t>Kausal Transisi 2019→2020 (ARI = −0,0036, Centroid Drift = 20,3555)</w:t>
      </w:r>
    </w:p>
    <w:p w:rsidR="002316A4" w:rsidRDefault="00C02299">
      <w:pPr>
        <w:spacing w:after="160" w:line="480" w:lineRule="auto"/>
        <w:ind w:firstLine="720"/>
        <w:jc w:val="both"/>
      </w:pPr>
      <w:r>
        <w:rPr>
          <w:color w:val="000000"/>
        </w:rPr>
        <w:t>Onset pandemi COVID</w:t>
      </w:r>
      <w:r w:rsidR="007C1716">
        <w:rPr>
          <w:color w:val="000000"/>
        </w:rPr>
        <w:t xml:space="preserve"> </w:t>
      </w:r>
      <w:r>
        <w:rPr>
          <w:color w:val="000000"/>
        </w:rPr>
        <w:t xml:space="preserve">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ARI = −0,0036 mengkonfirmasi perubahan fundamental komposisi segmen gelombang pendaftar baru ini membawa profil yang berbeda, lebih berorientasi program berbasis skill praktis cepat. Kemunculan </w:t>
      </w:r>
      <w:r>
        <w:rPr>
          <w:color w:val="000000"/>
          <w:i/>
        </w:rPr>
        <w:lastRenderedPageBreak/>
        <w:t>Kabupaten Pemalang sebagai sumber kedua (K2 dan K4, 2020) mengindikasikan ekspansi geografis yang didorong akselerasi digital selama lockdown (Cahyadi et al., 2021).</w:t>
      </w:r>
    </w:p>
    <w:p w:rsidR="002316A4" w:rsidRDefault="00C02299">
      <w:pPr>
        <w:spacing w:after="160" w:line="480" w:lineRule="auto"/>
        <w:ind w:firstLine="720"/>
        <w:jc w:val="both"/>
      </w:pPr>
      <w:r>
        <w:rPr>
          <w:bCs/>
          <w:i/>
          <w:color w:val="000000"/>
        </w:rPr>
        <w:t>Reasoning</w:t>
      </w:r>
      <w:r>
        <w:rPr>
          <w:bCs/>
          <w:color w:val="000000"/>
        </w:rPr>
        <w:t>Kausal Transisi 2021→2022 (ARI = 0,0055, Centroid Drift = ∞)</w:t>
      </w:r>
    </w:p>
    <w:p w:rsidR="002316A4" w:rsidRDefault="00C02299">
      <w:pPr>
        <w:spacing w:after="160" w:line="480" w:lineRule="auto"/>
        <w:ind w:firstLine="720"/>
        <w:jc w:val="both"/>
      </w:pPr>
      <w:r>
        <w:rPr>
          <w:color w:val="000000"/>
        </w:rPr>
        <w:t>Perubahan K dari 6 ke 5 dengan centroid drift tak terhingga menandai reorganisasi total struktur klaster. Mekanisme kausal: pemulihan aktivitas ekonomi Pekalongan (pembukaan kembali industri batik dan perdagangan) mendorong sebagian calon mahasiswa COVID Crisis yang mendaftar akibat keterbatasan kerja untuk tidak melanjutkan ke perguruan tinggi, sementara gelombang pendaftar baru yang lebih terencana mulai masuk. Hal ini konsisten dengan El Said (2021) tentang perubahan struktural permanen pasca</w:t>
      </w:r>
      <w:r w:rsidR="007C1716">
        <w:rPr>
          <w:color w:val="000000"/>
        </w:rPr>
        <w:t xml:space="preserve"> </w:t>
      </w:r>
      <w:r>
        <w:rPr>
          <w:color w:val="000000"/>
        </w:rPr>
        <w:t>pandemi. Konsolidasi ke satu klaster dominan (K1 62,7%) mengindikasikan keberhasilan kampanye rekrutmen digital yang sangat terfokus pada segmen tertentu.</w:t>
      </w:r>
    </w:p>
    <w:p w:rsidR="002316A4" w:rsidRDefault="00C02299">
      <w:pPr>
        <w:spacing w:after="160" w:line="480" w:lineRule="auto"/>
        <w:ind w:firstLine="720"/>
        <w:jc w:val="both"/>
      </w:pPr>
      <w:r>
        <w:rPr>
          <w:bCs/>
          <w:i/>
          <w:color w:val="000000"/>
        </w:rPr>
        <w:t>Reasoning</w:t>
      </w:r>
      <w:r w:rsidR="00480FB2">
        <w:rPr>
          <w:bCs/>
          <w:i/>
          <w:color w:val="000000"/>
          <w:lang w:val="en-US"/>
        </w:rPr>
        <w:t xml:space="preserve"> </w:t>
      </w:r>
      <w:r>
        <w:rPr>
          <w:bCs/>
          <w:color w:val="000000"/>
        </w:rPr>
        <w:t>Kausal Transisi 2022→2023 (ARI = −0,0036, Centroid Drift = ∞)</w:t>
      </w:r>
    </w:p>
    <w:p w:rsidR="002316A4" w:rsidRDefault="00C02299">
      <w:pPr>
        <w:spacing w:after="160" w:line="480" w:lineRule="auto"/>
        <w:ind w:firstLine="720"/>
        <w:jc w:val="both"/>
        <w:rPr>
          <w:color w:val="000000"/>
        </w:rPr>
      </w:pPr>
      <w:r>
        <w:rPr>
          <w:color w:val="000000"/>
        </w:rPr>
        <w:t xml:space="preserve">Konsolidasi dramatis dari K=5 ke K=2 dengan lonjakan 48,5% pendaftar mengindikasikan keberhasilan kampanye rekrutmen 2023 yang sangat terfokus kemungkinan melalui kampanye media sosial yang menjangkau satu segmen demografis yang sangat homogen (pendaftar muda berbasis IT dari Kabupaten Pekalongan). ARI negatif (−0,0036) menunjukkan komposisi segmen lebih mirip penugasan acak dibandingkan ekspektasi paradoks yang terjadi karena 92,6% </w:t>
      </w:r>
      <w:r>
        <w:rPr>
          <w:color w:val="000000"/>
        </w:rPr>
        <w:lastRenderedPageBreak/>
        <w:t>masuk ke satu klaster sehingga K=2 secara statistik menghasilkan komposisi yang sangat tidak seimbang.</w:t>
      </w:r>
    </w:p>
    <w:p w:rsidR="002316A4" w:rsidRDefault="00C02299">
      <w:pPr>
        <w:pStyle w:val="Judul3"/>
        <w:spacing w:line="480" w:lineRule="auto"/>
        <w:jc w:val="both"/>
        <w:outlineLvl w:val="3"/>
      </w:pPr>
      <w:r>
        <w:t>4.7.2 Ringkasan Naratif Laporan Otomatis</w:t>
      </w:r>
    </w:p>
    <w:p w:rsidR="002316A4" w:rsidRDefault="00C02299">
      <w:pPr>
        <w:spacing w:after="160" w:line="480" w:lineRule="auto"/>
        <w:ind w:firstLine="720"/>
        <w:jc w:val="both"/>
      </w:pPr>
      <w:r>
        <w:t>Ringkasan eksekutif yang dihasilkan oleh OpenRouter cloud (mensintesis output dari meta-llama/llama-3.3-70b-instruct, nvidia/nemotron-3-ultra-550b-a55b, dan nvidia/nemotron-3-super-120b-a12b)</w:t>
      </w:r>
    </w:p>
    <w:p w:rsidR="002316A4" w:rsidRPr="00EB55A7" w:rsidRDefault="00C02299">
      <w:pPr>
        <w:spacing w:after="160" w:line="480" w:lineRule="auto"/>
        <w:ind w:firstLine="720"/>
        <w:jc w:val="both"/>
      </w:pPr>
      <w:r w:rsidRPr="00EB55A7">
        <w:rPr>
          <w:iCs/>
          <w:color w:val="000000"/>
        </w:rPr>
        <w:t>"Analisis GMM time series terhadap 2.362 data PMB ITSNU Pekalongan 2019–2024 mengidentifikasi segmen probabilistik yang mengalami perubahan struktural di setiap transisi tahun (5 dari 5 transisi = Structural Break, ARI &lt; 0,30). Temuan kunci: (1) Pandemi COVID</w:t>
      </w:r>
      <w:r w:rsidR="007C1716" w:rsidRPr="00EB55A7">
        <w:rPr>
          <w:iCs/>
          <w:color w:val="000000"/>
        </w:rPr>
        <w:t xml:space="preserve"> </w:t>
      </w:r>
      <w:r w:rsidRPr="00EB55A7">
        <w:rPr>
          <w:iCs/>
          <w:color w:val="000000"/>
        </w:rPr>
        <w:t>19 justru meningkatkan pendaftar ITSNU (+87,7% pada 2020) akibat kontraksi pasar kerja regional batik</w:t>
      </w:r>
      <w:r w:rsidR="007C1716" w:rsidRPr="00EB55A7">
        <w:rPr>
          <w:iCs/>
          <w:color w:val="000000"/>
        </w:rPr>
        <w:t xml:space="preserve"> </w:t>
      </w:r>
      <w:r w:rsidRPr="00EB55A7">
        <w:rPr>
          <w:iCs/>
          <w:color w:val="000000"/>
        </w:rPr>
        <w:t>manufaktur konteks unik yang berbeda dari pola global; (2) Fase Recovery 2022–2024 memperlihatkan tren positif dengan proyeksi 592 pendaftar 2025, didominasi S1 Informatika dan S1 Teknologi Informasi (59,1% total) dari Kabupaten Pekalongan; (3) Konsolidasi dari 6 klaster ke 2 klaster pada 2023 mengindikasikan kampanye rekrutmen yang terlalu terfokus risiko ketergantungan pada satu segmen;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2316A4" w:rsidRDefault="00C02299" w:rsidP="00D118B1">
      <w:pPr>
        <w:spacing w:after="120" w:line="480" w:lineRule="auto"/>
        <w:jc w:val="both"/>
      </w:pPr>
      <w:r>
        <w:lastRenderedPageBreak/>
        <w:t>Sumber: Ringkasan naratif dihasilkan otomatis oleh OpenRouter cloud (meta-llama/llama-3.3-70b-instruct dan nemotron-3-ultra) dengan fallback ke Llama 3.2 lokal (OpenRouter AI, 2025) berbasis profil statistik GMM (2025)</w:t>
      </w:r>
    </w:p>
    <w:p w:rsidR="002316A4" w:rsidRDefault="00C02299" w:rsidP="000D6197">
      <w:pPr>
        <w:pStyle w:val="Judul2"/>
        <w:spacing w:line="480" w:lineRule="auto"/>
        <w:jc w:val="both"/>
        <w:outlineLvl w:val="2"/>
      </w:pPr>
      <w:r>
        <w:t>4.8 Strategi Rekrutmen Prediktif dan Personalisasi (Deployment)</w:t>
      </w:r>
    </w:p>
    <w:p w:rsidR="00953938" w:rsidRDefault="00C02299" w:rsidP="000D6197">
      <w:pPr>
        <w:contextualSpacing/>
        <w:jc w:val="center"/>
        <w:rPr>
          <w:b/>
          <w:bCs/>
          <w:color w:val="000000"/>
          <w:sz w:val="20"/>
          <w:szCs w:val="20"/>
        </w:rPr>
        <w:spacing w:line="240" w:lineRule="auto" w:after="240" w:before="0"/>
      </w:pPr>
      <w:r>
        <w:rPr>
          <w:b/>
          <w:sz w:val="20"/>
          <w:szCs w:val="20"/>
        </w:rPr>
        <w:t>Tabel 4.16 Prioritasi Segmen untuk Rekrutmen 2025 Berbasis Tren GMM Time Series</w:t>
      </w:r>
    </w:p>
    <w:tbl>
      <w:tblPr>
        <w:tblW w:w="7886"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429"/>
        <w:gridCol w:w="1154"/>
        <w:gridCol w:w="1200"/>
        <w:gridCol w:w="1212"/>
        <w:gridCol w:w="1231"/>
        <w:gridCol w:w="1660"/>
      </w:tblGrid>
      <w:tr w:rsidR="00953938" w:rsidRPr="00953938" w:rsidTr="00953938">
        <w:trPr>
          <w:trHeight w:val="436"/>
          <w:tblHeader/>
        </w:trPr>
        <w:tc>
          <w:tcPr>
            <w:tcW w:w="1539"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K1 (Merah) IT Basis Kab. Pekalongan</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dominan (puncak 92,6% di 2023)</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kunjungan SMA/SMK mitra Nov–Jan</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K2 (Biru) IT Campur Diploma</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Rebound ke 39% (dari 7,4% ke 39,0%)</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SEDANG</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TI + D3 Akuntansi</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alumni + webinar daring; kampanye program diversifikasi</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K3 (Hijau) Diploma Kota Pekalongan</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Menurun (Decline, 6,6% di 2024)</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Kota Pekalongan</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D3 Akuntansi, D3 Adm. Perkantoran</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hambatan; brosur fisik + expo Jan–Mar; revisi value proposition</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w:t>
      </w:r>
      <w:r w:rsidRPr="007A5F01">
        <w:rPr>
          <w:color w:val="000000"/>
        </w:rPr>
        <w:lastRenderedPageBreak/>
        <w:t>penyesuaian value proposition program Diploma agar lebih kompetitif di Kota Pekalongan.</w:t>
      </w:r>
    </w:p>
    <w:p w:rsidR="002316A4" w:rsidRPr="00A00A9C" w:rsidRDefault="00C02299" w:rsidP="00A00A9C">
      <w:pPr>
        <w:contextualSpacing/>
        <w:jc w:val="center"/>
        <w:rPr>
          <w:b/>
          <w:bCs/>
          <w:color w:val="000000"/>
          <w:sz w:val="20"/>
          <w:szCs w:val="20"/>
        </w:rPr>
        <w:spacing w:line="240" w:lineRule="auto" w:after="240" w:before="0"/>
      </w:pPr>
      <w:r>
        <w:rPr>
          <w:b/>
          <w:sz w:val="20"/>
          <w:szCs w:val="20"/>
        </w:rPr>
        <w:t>Tabel 4.17 Rekomendasi Strategi Channel Rekrutmen Berbasis Profil Klaster 2025</w:t>
      </w:r>
    </w:p>
    <w:tbl>
      <w:tblPr>
        <w:tblW w:w="7961"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973"/>
        <w:gridCol w:w="1656"/>
        <w:gridCol w:w="1404"/>
        <w:gridCol w:w="1443"/>
        <w:gridCol w:w="1129"/>
        <w:gridCol w:w="1356"/>
      </w:tblGrid>
      <w:tr w:rsidR="00953938" w:rsidRPr="00953938" w:rsidTr="00A00A9C">
        <w:trPr>
          <w:trHeight w:val="423"/>
          <w:tblHeader/>
          <w:jc w:val="center"/>
        </w:trPr>
        <w:tc>
          <w:tcPr>
            <w:tcW w:w="102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K1 (Merah)</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w:t>
            </w:r>
            <w:r w:rsidR="007C1716">
              <w:rPr>
                <w:color w:val="000000" w:themeColor="text1"/>
                <w:sz w:val="20"/>
                <w:szCs w:val="20"/>
              </w:rPr>
              <w:t xml:space="preserve"> </w:t>
            </w:r>
            <w:r w:rsidRPr="00953938">
              <w:rPr>
                <w:color w:val="000000" w:themeColor="text1"/>
                <w:sz w:val="20"/>
                <w:szCs w:val="20"/>
              </w:rPr>
              <w:t>targeted Kab. Pekalongan</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S1 IT</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profil muda berorientasi IT</w:t>
            </w:r>
          </w:p>
        </w:tc>
      </w:tr>
      <w:tr w:rsidR="00953938" w:rsidRPr="00953938" w:rsidTr="00A00A9C">
        <w:trPr>
          <w:trHeight w:val="615"/>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K2 (Biru)</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 info D3 Akuntansi</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alumni</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Keahlian Bisnis Digital</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Mix IT + Diploma; berbasis Kab. Pekalongan dan Kota</w:t>
            </w:r>
          </w:p>
        </w:tc>
      </w:tr>
      <w:tr w:rsidR="00953938" w:rsidRPr="00953938" w:rsidTr="00A00A9C">
        <w:trPr>
          <w:trHeight w:val="1243"/>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K3 (Hijau)</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Brosur fisik &amp; pameran Kota Pekalongan</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Radio komunitas dan media lokal</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Keahlian Praktis &amp; Aksesibilitas Biaya</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Jan–Mar</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Kota Pekalongan dominan; program Diploma lebih aksesibel</w:t>
            </w:r>
          </w:p>
        </w:tc>
      </w:tr>
    </w:tbl>
    <w:p w:rsidR="002316A4" w:rsidRDefault="00C02299" w:rsidP="00EB55A7">
      <w:pPr>
        <w:spacing w:after="120"/>
        <w:jc w:val="both"/>
      </w:pPr>
      <w:r>
        <w:rPr>
          <w:iCs/>
          <w:color w:val="000000"/>
          <w:szCs w:val="20"/>
        </w:rPr>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480FB2" w:rsidRDefault="00C02299" w:rsidP="007A5F01">
      <w:pPr>
        <w:spacing w:after="120" w:line="480" w:lineRule="auto"/>
        <w:ind w:firstLine="720"/>
        <w:jc w:val="both"/>
      </w:pPr>
      <w:r w:rsidRPr="00480FB2">
        <w:rPr>
          <w:color w:val="000000"/>
          <w:i/>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480FB2">
        <w:rPr>
          <w:color w:val="000000"/>
        </w:rPr>
        <w:t xml:space="preserve"> </w:t>
      </w:r>
      <w:r w:rsidRPr="00480FB2">
        <w:rPr>
          <w:color w:val="000000"/>
        </w:rPr>
        <w:t>native.</w:t>
      </w:r>
    </w:p>
    <w:p w:rsidR="002316A4" w:rsidRPr="000D6197" w:rsidRDefault="00C02299" w:rsidP="000D6197">
      <w:pPr>
        <w:contextualSpacing/>
        <w:jc w:val="center"/>
        <w:rPr>
          <w:b/>
          <w:bCs/>
          <w:color w:val="000000"/>
          <w:sz w:val="20"/>
          <w:szCs w:val="20"/>
        </w:rPr>
        <w:spacing w:line="240" w:lineRule="auto" w:after="240" w:before="0"/>
      </w:pPr>
      <w:r>
        <w:rPr>
          <w:b/>
          <w:sz w:val="20"/>
          <w:szCs w:val="20"/>
        </w:rPr>
        <w:t>Tabel 4.18 Perbandingan Strategi Statis vs Strategi Adaptif GMM Time Series + LLM</w:t>
      </w:r>
    </w:p>
    <w:tbl>
      <w:tblPr>
        <w:tblW w:w="7950"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2268"/>
        <w:gridCol w:w="2694"/>
        <w:gridCol w:w="2988"/>
      </w:tblGrid>
      <w:tr w:rsidR="00953938" w:rsidRPr="00953938" w:rsidTr="000D6197">
        <w:trPr>
          <w:trHeight w:val="429"/>
          <w:tblHeader/>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lastRenderedPageBreak/>
              <w:t>Dimensi Perbandingan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Ringkasan laporan manajemen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MdParagraph"/>
        <w:spacing w:before="0" w:after="160" w:line="480" w:lineRule="auto"/>
        <w:jc w:val="both"/>
      </w:pPr>
      <w:r w:rsidRPr="00B17507">
        <w:rPr>
          <w:rStyle w:val="MdStrong"/>
          <w:bCs w:val="0"/>
        </w:rPr>
        <w:t>4.9 Hasil Validasi Pakar dan Pembahasan Kritis</w:t>
      </w:r>
      <w:r w:rsidRPr="00B17507">
        <w:t xml:space="preserve"> </w:t>
      </w:r>
    </w:p>
    <w:p w:rsidR="00B17507" w:rsidRPr="00893B44" w:rsidRDefault="00B17507" w:rsidP="00B17507">
      <w:pPr>
        <w:pStyle w:val="MdParagraph"/>
        <w:spacing w:before="0" w:after="16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jc w:val="center"/>
        <w:rPr>
          <w:sz w:val="21"/>
        </w:rPr>
        <w:spacing w:line="240" w:lineRule="auto" w:after="240" w:before="0"/>
      </w:pPr>
      <w:r w:rsidRPr="00557DA6">
        <w:rPr>
          <w:rStyle w:val="MdStrong"/>
          <w:bCs w:val="0"/>
          <w:sz w:val="21"/>
        </w:rPr>
        <w:t>Tabel 4.1</w:t>
      </w:r>
      <w:r w:rsidR="00557DA6" w:rsidRPr="00557DA6">
        <w:rPr>
          <w:rStyle w:val="MdStrong"/>
          <w:bCs w:val="0"/>
          <w:sz w:val="21"/>
          <w:lang w:val="en-US"/>
        </w:rPr>
        <w:t>9</w:t>
      </w:r>
      <w:r w:rsidRPr="00557DA6">
        <w:rPr>
          <w:rStyle w:val="MdStrong"/>
          <w:bCs w:val="0"/>
          <w:sz w:val="21"/>
        </w:rPr>
        <w:t xml:space="preserve"> Rekapitulasi Skor Validasi Pakar</w:t>
      </w:r>
    </w:p>
    <w:tbl>
      <w:tblPr>
        <w:tblW w:w="5000" w:type="pct"/>
        <w:tblCellMar>
          <w:left w:w="10" w:type="dxa"/>
          <w:right w:w="10" w:type="dxa"/>
        </w:tblCellMar>
        <w:tblLook w:val="0000" w:firstRow="0" w:lastRow="0" w:firstColumn="0" w:lastColumn="0" w:noHBand="0" w:noVBand="0"/>
        <w:tblBorders>
          <w:top w:val="single" w:sz="4" w:space="0" w:color="auto"/>
          <w:bottom w:val="single" w:sz="4" w:space="0" w:color="auto"/>
          <w:insideH w:val="single" w:sz="4" w:space="0" w:color="auto"/>
        </w:tblBorders>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lastRenderedPageBreak/>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after="160" w:line="480" w:lineRule="auto"/>
        <w:ind w:firstLine="720"/>
        <w:jc w:val="both"/>
      </w:pPr>
      <w:r w:rsidRPr="00557DA6">
        <w:t>Hasil validasi dari dua pakar menunjukkan tingkat kepercayaan yang tinggi terhadap sistem, dengan beberapa catatan strategis untuk penyempurnaan. Berdasarkan rekapitulasi skor pada Tabel 4.1</w:t>
      </w:r>
      <w:r w:rsidR="00A61404">
        <w:rPr>
          <w:lang w:val="en-US"/>
        </w:rPr>
        <w:t>9</w:t>
      </w:r>
      <w:r w:rsidRPr="00557DA6">
        <w:t>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after="160" w:line="480" w:lineRule="auto"/>
        <w:ind w:firstLine="720"/>
        <w:jc w:val="both"/>
      </w:pPr>
      <w:r w:rsidRPr="00893B44">
        <w:rPr>
          <w:rStyle w:val="MdStrong"/>
          <w:b w:val="0"/>
          <w:bCs w:val="0"/>
        </w:rPr>
        <w:t>Analisis Catatan Khusus Pakar</w:t>
      </w:r>
      <w:r w:rsidRPr="00893B44">
        <w:t>Berdasarkan hasil validasi, terdapat dua poin kritis yang menjadi temuan penting dalam penelitian ini</w:t>
      </w:r>
    </w:p>
    <w:p w:rsidR="00557DA6" w:rsidRPr="00557DA6" w:rsidRDefault="00557DA6" w:rsidP="00B113D6">
      <w:pPr>
        <w:pStyle w:val="MdListItem"/>
        <w:numPr>
          <w:ilvl w:val="0"/>
          <w:numId w:val="6"/>
        </w:numPr>
        <w:spacing w:before="0" w:after="160" w:line="480" w:lineRule="auto"/>
        <w:ind w:left="567" w:hanging="436"/>
        <w:jc w:val="both"/>
        <w:rPr>
          <w:rStyle w:val="MdStrong"/>
          <w:b w:val="0"/>
          <w:bCs w:val="0"/>
        </w:rPr>
      </w:pPr>
      <w:r>
        <w:lastRenderedPageBreak/>
        <w:t>Integrasi Kebijakan Kampus: Pakar 1 (Andri Nur Cahyo, S.Sn., M.Sn.) selaku kepala PMB menekankan bahwa secara logika data, paparan sistem sudah sesuai, namun implementasinya harus mempertimbangkan "sentimen" dan "kebijakan internal" kampus. Hal ini mengonfirmasi bahwa AI berfungsi sebagai 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160" w:line="480" w:lineRule="auto"/>
        <w:ind w:left="567" w:hanging="436"/>
        <w:jc w:val="both"/>
        <w:rPr>
          <w:rStyle w:val="MdStrong"/>
          <w:b w:val="0"/>
          <w:bCs w:val="0"/>
        </w:rPr>
      </w:pPr>
      <w:r w:rsidRPr="00893B44">
        <w:rPr>
          <w:rStyle w:val="MdStrong"/>
          <w:b w:val="0"/>
          <w:bCs w:val="0"/>
        </w:rPr>
        <w:t>Perbandingan Kompetitif dan Minat Daerah</w:t>
      </w:r>
      <w:r w:rsidRPr="00893B44">
        <w:t xml:space="preserve"> Pakar </w:t>
      </w:r>
      <w:r>
        <w:rPr>
          <w:lang w:val="en-US"/>
        </w:rPr>
        <w:t>2</w:t>
      </w:r>
      <w:r w:rsidRPr="00893B44">
        <w:t xml:space="preserve"> (M</w:t>
      </w:r>
      <w:r>
        <w:rPr>
          <w:lang w:val="en-US"/>
        </w:rPr>
        <w:t>uhammad Kholilurrahman</w:t>
      </w:r>
      <w:r w:rsidRPr="00893B44">
        <w:t xml:space="preserve">) </w:t>
      </w:r>
      <w:r>
        <w:rPr>
          <w:lang w:val="en-US"/>
        </w:rPr>
        <w:t xml:space="preserve">selaku </w:t>
      </w:r>
      <w:r w:rsidR="007348B4">
        <w:rPr>
          <w:lang w:val="en-US"/>
        </w:rPr>
        <w:t>D</w:t>
      </w:r>
      <w:r>
        <w:rPr>
          <w:lang w:val="en-US"/>
        </w:rPr>
        <w:t xml:space="preserve">ata </w:t>
      </w:r>
      <w:r w:rsidR="007348B4">
        <w:rPr>
          <w:lang w:val="en-US"/>
        </w:rPr>
        <w:t>S</w:t>
      </w:r>
      <w:r>
        <w:rPr>
          <w:lang w:val="en-US"/>
        </w:rPr>
        <w:t xml:space="preserve">ains di tim PMB </w:t>
      </w:r>
      <w:r w:rsidRPr="00893B44">
        <w:t xml:space="preserve">menyoroti perlunya analisis perbandingan dengan kampus kompetitor di wilayah yang sama. Hal ini menunjukkan bahwa meskipun LLM akurat dalam membaca tren internal, sistem perlu diintegrasikan dengan data </w:t>
      </w:r>
      <w:r w:rsidRPr="00893B44">
        <w:rPr>
          <w:rStyle w:val="MdEm"/>
          <w:i w:val="0"/>
          <w:iCs w:val="0"/>
        </w:rPr>
        <w:t>market share</w:t>
      </w:r>
      <w:r w:rsidRPr="00893B44">
        <w:t xml:space="preserve"> eksternal untuk mempertajam strategi rekrutmen di daerah-daerah mayoritas pendaftar.</w:t>
      </w:r>
    </w:p>
    <w:p w:rsidR="000C4B15" w:rsidRDefault="000C4B15" w:rsidP="000C4B15">
      <w:pPr>
        <w:spacing w:after="160"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after="160" w:line="480" w:lineRule="auto"/>
        <w:ind w:firstLine="720"/>
        <w:jc w:val="both"/>
      </w:pPr>
      <w:r w:rsidRPr="000C4B15">
        <w:t xml:space="preserve">Proyeksi volume 592 pendaftar pada tahun 2025 yang dihasilkan oleh sistem dianggap sebagai target rekrutmen yang moderat dan realistis. Namun demikian, para pakar menegaskan bahwa pencapaian target tersebut tidak hanya </w:t>
      </w:r>
      <w:r w:rsidRPr="000C4B15">
        <w:lastRenderedPageBreak/>
        <w:t>bergantung pada akurasi prediksi komputasional, melainkan sangat ditentukan oleh intervensi kebijakan manajerial.</w:t>
      </w:r>
    </w:p>
    <w:p w:rsidR="000C4B15" w:rsidRPr="000C4B15" w:rsidRDefault="000C4B15" w:rsidP="000C4B15">
      <w:pPr>
        <w:spacing w:after="160" w:line="480" w:lineRule="auto"/>
        <w:ind w:firstLine="720"/>
        <w:jc w:val="both"/>
      </w:pPr>
      <w:r w:rsidRPr="000C4B15">
        <w:t>Oleh karena itu, institusi direkomendasikan untuk secara asertif mengadopsi strategi diversifikasi ke program vokasikhususnya D3 Akuntansi</w:t>
      </w:r>
      <w:r>
        <w:rPr>
          <w:rFonts w:eastAsia="MS Mincho" w:cs="MS Mincho" w:hint="eastAsia"/>
        </w:rPr>
        <w:t xml:space="preserve"> </w:t>
      </w:r>
      <w:r w:rsidRPr="000C4B15">
        <w:t>sebagaimana direkomendasikan oleh sistem, dengan tetap mempertimbangkan integrasi kebijakan insentif (seperti beasiswa) untuk mengoptimalkan potensi pasar di tingkat lokal.</w:t>
      </w:r>
    </w:p>
    <w:p w:rsidR="002316A4" w:rsidRDefault="00C02299">
      <w:pPr>
        <w:pStyle w:val="Judul2"/>
        <w:spacing w:line="480" w:lineRule="auto"/>
        <w:jc w:val="left"/>
        <w:outlineLvl w:val="2"/>
      </w:pPr>
      <w:r>
        <w:t>4.</w:t>
      </w:r>
      <w:r w:rsidR="00315A07">
        <w:rPr>
          <w:lang w:val="en-US"/>
        </w:rPr>
        <w:t>10</w:t>
      </w:r>
      <w:r>
        <w:t xml:space="preserve"> Pembahasan</w:t>
      </w:r>
    </w:p>
    <w:p w:rsidR="002316A4" w:rsidRDefault="00C02299">
      <w:pPr>
        <w:pStyle w:val="Judul3"/>
        <w:spacing w:line="480" w:lineRule="auto"/>
        <w:jc w:val="left"/>
        <w:outlineLvl w:val="3"/>
      </w:pPr>
      <w:r>
        <w:t>4.</w:t>
      </w:r>
      <w:r w:rsidR="00315A07">
        <w:rPr>
          <w:lang w:val="en-US"/>
        </w:rPr>
        <w:t>10</w:t>
      </w:r>
      <w:r>
        <w:t>.1 Konfirmasi Hipotesis</w:t>
      </w:r>
    </w:p>
    <w:p w:rsidR="002316A4" w:rsidRDefault="00C02299">
      <w:pPr>
        <w:spacing w:after="160" w:line="480" w:lineRule="auto"/>
        <w:ind w:firstLine="720"/>
        <w:jc w:val="both"/>
      </w:pPr>
      <w:r>
        <w:rPr>
          <w:bCs/>
          <w:color w:val="000000"/>
        </w:rPr>
        <w:t>Hipotesis 1 (H1) dikonfirmasi melampaui ekspektasi</w:t>
      </w:r>
    </w:p>
    <w:p w:rsidR="002316A4" w:rsidRDefault="00C02299">
      <w:pPr>
        <w:spacing w:after="160" w:line="480" w:lineRule="auto"/>
        <w:ind w:firstLine="720"/>
        <w:jc w:val="both"/>
      </w:pPr>
      <w:r>
        <w:rPr>
          <w:color w:val="000000"/>
        </w:rPr>
        <w:t>Seluruh 5 transisi antar periode menghasilkan ARI &lt; 0,30 (kisaran −0,0036 hingga 0,0160). Penggunaan tiga metrik komplementer (ARI, Jaccard, Centroid Drift) memberikan bukti multi</w:t>
      </w:r>
      <w:r w:rsidR="007C1716">
        <w:rPr>
          <w:color w:val="000000"/>
        </w:rPr>
        <w:t xml:space="preserve"> </w:t>
      </w:r>
      <w:r>
        <w:rPr>
          <w:color w:val="000000"/>
        </w:rPr>
        <w:t xml:space="preserve">dimensional yang kuat. Realitanya melampaui hipotesis awal yang hanya menduga satu structural break (2019→2020): setiap transisi tahun di ITSNU Pekalongan menghasilkan perubahan komposisi segmen yang bersifat struktural </w:t>
      </w:r>
      <w:sdt>
        <w:sdtPr>
          <w:rPr>
            <w:i/>
            <w:color w:val="000000"/>
          </w:rPr>
          <w:tag w:val="MENDELEY_CITATION_v3_eyJjaXRhdGlvbklEIjoiTUVOREVMRVlfQ0lUQVRJT05fMzQ2ZjAwYzEtMTNhOS00OWVkLThjZDMtM2EwMjc1ZWNjODQ4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1066344446"/>
          <w:placeholder>
            <w:docPart w:val="DefaultPlaceholder_-1854013440"/>
          </w:placeholder>
        </w:sdtPr>
        <w:sdtEndPr/>
        <w:sdtContent>
          <w:r w:rsidR="000D6197" w:rsidRPr="000D6197">
            <w:rPr>
              <w:color w:val="000000"/>
            </w:rPr>
            <w:t>(Aristovnik et al. 2021)</w:t>
          </w:r>
        </w:sdtContent>
      </w:sdt>
      <w:r>
        <w:rPr>
          <w:i/>
          <w:color w:val="000000"/>
        </w:rPr>
        <w:t>;</w:t>
      </w:r>
      <w:r w:rsidR="000D6197">
        <w:rPr>
          <w:i/>
          <w:color w:val="000000"/>
          <w:lang w:val="en-US"/>
        </w:rPr>
        <w:t xml:space="preserve"> </w:t>
      </w:r>
      <w:sdt>
        <w:sdtPr>
          <w:rPr>
            <w:i/>
            <w:color w:val="000000"/>
          </w:rPr>
          <w:tag w:val="MENDELEY_CITATION_v3_eyJjaXRhdGlvbklEIjoiTUVOREVMRVlfQ0lUQVRJT05fMWQ1ZWYwZWItMDg3NS00OWEyLWI0YzYtYmRmYTM0NTZiNDI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489377020"/>
          <w:placeholder>
            <w:docPart w:val="DefaultPlaceholder_-1854013440"/>
          </w:placeholder>
        </w:sdtPr>
        <w:sdtEndPr/>
        <w:sdtContent>
          <w:r w:rsidR="000D6197" w:rsidRPr="000D6197">
            <w:rPr>
              <w:color w:val="000000"/>
            </w:rPr>
            <w:t>(Purcell and Lumbreras 2021)</w:t>
          </w:r>
        </w:sdtContent>
      </w:sdt>
      <w:r>
        <w:rPr>
          <w:i/>
          <w:color w:val="000000"/>
        </w:rPr>
        <w:t>.</w:t>
      </w:r>
    </w:p>
    <w:p w:rsidR="002316A4" w:rsidRDefault="00C02299">
      <w:pPr>
        <w:spacing w:after="160" w:line="480" w:lineRule="auto"/>
        <w:ind w:firstLine="720"/>
        <w:jc w:val="both"/>
      </w:pPr>
      <w:r>
        <w:rPr>
          <w:bCs/>
          <w:color w:val="000000"/>
        </w:rPr>
        <w:t>Hipotesis 2 (H2) dikonfirmasi</w:t>
      </w:r>
    </w:p>
    <w:p w:rsidR="002316A4" w:rsidRDefault="00C02299">
      <w:pPr>
        <w:spacing w:after="160" w:line="480" w:lineRule="auto"/>
        <w:ind w:firstLine="720"/>
        <w:jc w:val="both"/>
      </w:pPr>
      <w:r>
        <w:rPr>
          <w:i/>
          <w:color w:val="000000"/>
        </w:rPr>
        <w:t xml:space="preserve">Cosine similarity </w:t>
      </w:r>
      <w:r w:rsidRPr="00315A07">
        <w:rPr>
          <w:color w:val="000000"/>
        </w:rPr>
        <w:t>rata-rata 0,8031 (kisaran 0,7901–0,8128) membuktikan stabilitas representasi</w:t>
      </w:r>
      <w:r>
        <w:rPr>
          <w:i/>
          <w:color w:val="000000"/>
        </w:rPr>
        <w:t xml:space="preserve"> IndoBERT </w:t>
      </w:r>
      <w:r w:rsidRPr="00315A07">
        <w:rPr>
          <w:color w:val="000000"/>
        </w:rPr>
        <w:t>di atas</w:t>
      </w:r>
      <w:r>
        <w:rPr>
          <w:i/>
          <w:color w:val="000000"/>
        </w:rPr>
        <w:t xml:space="preserve"> threshold 0,70 </w:t>
      </w:r>
      <w:r w:rsidRPr="00315A07">
        <w:rPr>
          <w:color w:val="000000"/>
        </w:rPr>
        <w:t xml:space="preserve">pada seluruh transisi, memvalidasi bahwa perubahan klaster yang terdeteksi mencerminkan perubahan </w:t>
      </w:r>
      <w:r w:rsidRPr="00315A07">
        <w:rPr>
          <w:color w:val="000000"/>
        </w:rPr>
        <w:lastRenderedPageBreak/>
        <w:t>substantif populasi pendaftar, bukan artefak teknis</w:t>
      </w:r>
      <w:r>
        <w:rPr>
          <w:i/>
          <w:color w:val="000000"/>
        </w:rPr>
        <w:t xml:space="preserve"> </w:t>
      </w:r>
      <w:sdt>
        <w:sdtPr>
          <w:rPr>
            <w:i/>
            <w:color w:val="000000"/>
          </w:rPr>
          <w:tag w:val="MENDELEY_CITATION_v3_eyJjaXRhdGlvbklEIjoiTUVOREVMRVlfQ0lUQVRJT05fMDhlZTAwODktOTE0Yy00NjYzLTg1NWItNTA1ZjZiY2I5YTM2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484846666"/>
          <w:placeholder>
            <w:docPart w:val="DefaultPlaceholder_-1854013440"/>
          </w:placeholder>
        </w:sdtPr>
        <w:sdtEndPr/>
        <w:sdtContent>
          <w:r w:rsidR="000D6197" w:rsidRPr="000D6197">
            <w:rPr>
              <w:color w:val="000000"/>
            </w:rPr>
            <w:t>(Subakti, Murfi, and Hariadi 2022)</w:t>
          </w:r>
        </w:sdtContent>
      </w:sdt>
      <w:r>
        <w:rPr>
          <w:i/>
          <w:color w:val="000000"/>
        </w:rPr>
        <w:t>;</w:t>
      </w:r>
      <w:r w:rsidR="000D6197">
        <w:rPr>
          <w:i/>
          <w:color w:val="000000"/>
          <w:lang w:val="en-US"/>
        </w:rPr>
        <w:t xml:space="preserve"> </w:t>
      </w:r>
      <w:sdt>
        <w:sdtPr>
          <w:rPr>
            <w:i/>
            <w:color w:val="000000"/>
            <w:lang w:val="en-US"/>
          </w:rPr>
          <w:tag w:val="MENDELEY_CITATION_v3_eyJjaXRhdGlvbklEIjoiTUVOREVMRVlfQ0lUQVRJT05fMGVjY2ZhOWItMjRmMC00ZjYwLTlkNWItMGQ0NDNlZWRlY2U4IiwicHJvcGVydGllcyI6eyJub3RlSW5kZXgiOjB9LCJpc0VkaXRlZCI6ZmFsc2UsIm1hbnVhbE92ZXJyaWRlIjp7ImlzTWFudWFsbHlPdmVycmlkZGVuIjp0cnVlLCJjaXRlcHJvY1RleHQiOiIoUmVpbWVycyBhbmQgR3VyZXZ5Y2ggbi5kLikiLCJtYW51YWxPdmVycmlkZVRleHQiOiIoUmVpbWVycyBhbmQgR3VyZXZ5Y2gg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447009609"/>
          <w:placeholder>
            <w:docPart w:val="DefaultPlaceholder_-1854013440"/>
          </w:placeholder>
        </w:sdtPr>
        <w:sdtEndPr/>
        <w:sdtContent>
          <w:r w:rsidR="000D6197" w:rsidRPr="000D6197">
            <w:rPr>
              <w:color w:val="000000"/>
              <w:lang w:val="en-US"/>
            </w:rPr>
            <w:t>(Reimers and Gurevych 2019)</w:t>
          </w:r>
        </w:sdtContent>
      </w:sdt>
      <w:r>
        <w:rPr>
          <w:i/>
          <w:color w:val="000000"/>
        </w:rPr>
        <w:t>.</w:t>
      </w:r>
    </w:p>
    <w:p w:rsidR="002316A4" w:rsidRDefault="00C02299">
      <w:pPr>
        <w:spacing w:after="160" w:line="480" w:lineRule="auto"/>
        <w:ind w:firstLine="720"/>
        <w:jc w:val="both"/>
      </w:pPr>
      <w:r>
        <w:rPr>
          <w:bCs/>
          <w:color w:val="000000"/>
        </w:rPr>
        <w:t>Hipotesis 3 (H3) terkonfirmasi secara kualitatif</w:t>
      </w:r>
    </w:p>
    <w:p w:rsidR="002316A4" w:rsidRDefault="00C02299">
      <w:pPr>
        <w:spacing w:after="160" w:line="480" w:lineRule="auto"/>
        <w:ind w:firstLine="720"/>
        <w:jc w:val="both"/>
      </w:pPr>
      <w:r>
        <w:rPr>
          <w:i/>
          <w:color w:val="000000"/>
        </w:rPr>
        <w:t xml:space="preserve">Meski K-Means </w:t>
      </w:r>
      <w:r w:rsidRPr="00315A07">
        <w:rPr>
          <w:color w:val="000000"/>
        </w:rPr>
        <w:t>menunjukkan nilai</w:t>
      </w:r>
      <w:r>
        <w:rPr>
          <w:i/>
          <w:color w:val="000000"/>
        </w:rPr>
        <w:t xml:space="preserve"> numerik Silhouette Score</w:t>
      </w:r>
      <w:r w:rsidRPr="00315A07">
        <w:rPr>
          <w:color w:val="000000"/>
        </w:rPr>
        <w:t xml:space="preserve"> lebih tinggi (0,0722 vs 0,0279), keunggulan GMM terletak pada kemampuan fundamental yang tidak dapat dipenuhi</w:t>
      </w:r>
      <w:r>
        <w:rPr>
          <w:i/>
          <w:color w:val="000000"/>
        </w:rPr>
        <w:t xml:space="preserve"> K-Means: posterior probability </w:t>
      </w:r>
      <w:r w:rsidRPr="00315A07">
        <w:rPr>
          <w:color w:val="000000"/>
        </w:rPr>
        <w:t>sebagai basis</w:t>
      </w:r>
      <w:r>
        <w:rPr>
          <w:i/>
          <w:color w:val="000000"/>
        </w:rPr>
        <w:t xml:space="preserve"> reasoning </w:t>
      </w:r>
      <w:r w:rsidRPr="000D6197">
        <w:rPr>
          <w:color w:val="000000"/>
        </w:rPr>
        <w:t xml:space="preserve">kausal </w:t>
      </w:r>
      <w:r w:rsidRPr="000D6197">
        <w:rPr>
          <w:i/>
          <w:color w:val="000000"/>
        </w:rPr>
        <w:t>LLM</w:t>
      </w:r>
      <w:r w:rsidRPr="000D6197">
        <w:rPr>
          <w:color w:val="000000"/>
        </w:rPr>
        <w:t>proyeksi segmen 2025, dan deteksi kemunculan segmen D3 Akuntansi yang tidak terduga. Konsisten dengan</w:t>
      </w:r>
      <w:r>
        <w:rPr>
          <w:i/>
          <w:color w:val="000000"/>
        </w:rPr>
        <w:t xml:space="preserve"> </w:t>
      </w:r>
      <w:sdt>
        <w:sdtPr>
          <w:rPr>
            <w:i/>
            <w:color w:val="000000"/>
          </w:rPr>
          <w:tag w:val="MENDELEY_CITATION_v3_eyJjaXRhdGlvbklEIjoiTUVOREVMRVlfQ0lUQVRJT05fYjIyNjM3ZmEtZWJjZS00Mzg5LTgxNGYtNWRiY2YxMWViMGU3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1480926721"/>
          <w:placeholder>
            <w:docPart w:val="DefaultPlaceholder_-1854013440"/>
          </w:placeholder>
        </w:sdtPr>
        <w:sdtEndPr/>
        <w:sdtContent>
          <w:r w:rsidR="000D6197" w:rsidRPr="000D6197">
            <w:rPr>
              <w:color w:val="000000"/>
            </w:rPr>
            <w:t>(Saqr and López-Pernas 2024)</w:t>
          </w:r>
        </w:sdtContent>
      </w:sdt>
      <w:r w:rsidR="000D6197">
        <w:rPr>
          <w:i/>
          <w:color w:val="000000"/>
          <w:lang w:val="en-US"/>
        </w:rPr>
        <w:t xml:space="preserve"> </w:t>
      </w:r>
      <w:r w:rsidRPr="000D6197">
        <w:rPr>
          <w:color w:val="000000"/>
        </w:rPr>
        <w:t>bahwa nilai metrik</w:t>
      </w:r>
      <w:r>
        <w:rPr>
          <w:i/>
          <w:color w:val="000000"/>
        </w:rPr>
        <w:t xml:space="preserve"> GMM </w:t>
      </w:r>
      <w:r>
        <w:rPr>
          <w:color w:val="000000"/>
        </w:rPr>
        <w:t xml:space="preserve">yang lebih rendah dari K-Means mencerminkan sifat soft </w:t>
      </w:r>
      <w:r>
        <w:rPr>
          <w:i/>
          <w:color w:val="000000"/>
        </w:rPr>
        <w:t>clustering</w:t>
      </w:r>
      <w:r>
        <w:rPr>
          <w:color w:val="000000"/>
        </w:rPr>
        <w:t xml:space="preserve"> yang lebih realistis.</w:t>
      </w:r>
    </w:p>
    <w:p w:rsidR="002316A4" w:rsidRDefault="00C02299">
      <w:pPr>
        <w:pStyle w:val="Judul3"/>
        <w:spacing w:line="480" w:lineRule="auto"/>
        <w:jc w:val="both"/>
        <w:outlineLvl w:val="3"/>
      </w:pPr>
      <w:r>
        <w:t>4.</w:t>
      </w:r>
      <w:r w:rsidR="00315A07">
        <w:rPr>
          <w:lang w:val="en-US"/>
        </w:rPr>
        <w:t>10</w:t>
      </w:r>
      <w:r>
        <w:t>.2 Implikasi Fenomena Structural Break Universal</w:t>
      </w:r>
    </w:p>
    <w:p w:rsidR="002316A4" w:rsidRPr="000D6197" w:rsidRDefault="00C02299">
      <w:pPr>
        <w:spacing w:after="160" w:line="480" w:lineRule="auto"/>
        <w:ind w:firstLine="720"/>
        <w:jc w:val="both"/>
      </w:pPr>
      <w:r>
        <w:rPr>
          <w:color w:val="000000"/>
        </w:rPr>
        <w:t>Temuan bahwa seluruh 5 transisi merupakan structural break memiliki implikasi strategis kritis: sistem rekrutmen yang mengandalkan profil segmen dari tahun sebelumnya akan selalu ketinggalan satu siklus perubahan struktural.</w:t>
      </w:r>
      <w:r w:rsidR="000D6197">
        <w:rPr>
          <w:color w:val="000000"/>
          <w:lang w:val="en-US"/>
        </w:rPr>
        <w:t xml:space="preserve"> </w:t>
      </w:r>
      <w:sdt>
        <w:sdtPr>
          <w:rPr>
            <w:color w:val="000000"/>
            <w:lang w:val="en-US"/>
          </w:rPr>
          <w:tag w:val="MENDELEY_CITATION_v3_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"/>
          <w:id w:val="-627395740"/>
          <w:placeholder>
            <w:docPart w:val="DefaultPlaceholder_-1854013440"/>
          </w:placeholder>
        </w:sdtPr>
        <w:sdtEndPr/>
        <w:sdtContent>
          <w:r w:rsidR="00762C37" w:rsidRPr="00762C37">
            <w:rPr>
              <w:color w:val="000000"/>
              <w:lang w:val="en-US"/>
            </w:rPr>
            <w:t>(El Said 2021b)</w:t>
          </w:r>
        </w:sdtContent>
      </w:sdt>
      <w:r>
        <w:rPr>
          <w:color w:val="000000"/>
        </w:rPr>
        <w:t xml:space="preserve"> menunjukkan COVID</w:t>
      </w:r>
      <w:r w:rsidR="007C1716">
        <w:rPr>
          <w:color w:val="000000"/>
        </w:rPr>
        <w:t xml:space="preserve"> </w:t>
      </w:r>
      <w:r>
        <w:rPr>
          <w:color w:val="000000"/>
        </w:rPr>
        <w:t xml:space="preserve">19 membentuk ulang cara penyampaian pendidikan secara struktural dan permanen sistem membentuk equilibrium baru </w:t>
      </w:r>
      <w:r w:rsidRPr="000D6197">
        <w:rPr>
          <w:color w:val="000000"/>
        </w:rPr>
        <w:t xml:space="preserve">di setiap fase, tidak kembali ke kondisi sebelumnya. </w:t>
      </w:r>
      <w:sdt>
        <w:sdtPr>
          <w:rPr>
            <w:color w:val="000000"/>
          </w:rPr>
          <w:tag w:val="MENDELEY_CITATION_v3_eyJjaXRhdGlvbklEIjoiTUVOREVMRVlfQ0lUQVRJT05fMGMzZDk1MjMtMGM0Yi00NTRjLWFjMWItZjYzYTBmZWFlNDM0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531340798"/>
          <w:placeholder>
            <w:docPart w:val="DefaultPlaceholder_-1854013440"/>
          </w:placeholder>
        </w:sdtPr>
        <w:sdtEndPr/>
        <w:sdtContent>
          <w:r w:rsidR="000D6197" w:rsidRPr="000D6197">
            <w:rPr>
              <w:color w:val="000000"/>
            </w:rPr>
            <w:t>(Aristovnik et al. 2021)</w:t>
          </w:r>
        </w:sdtContent>
      </w:sdt>
      <w:r w:rsidR="000D6197">
        <w:rPr>
          <w:color w:val="000000"/>
          <w:lang w:val="en-US"/>
        </w:rPr>
        <w:t xml:space="preserve"> </w:t>
      </w:r>
      <w:r w:rsidRPr="000D6197">
        <w:rPr>
          <w:color w:val="000000"/>
        </w:rPr>
        <w:t xml:space="preserve">mengkonfirmasi bahwa dampak struktural ini bersifat lintas wilayah. Implikasi operasional: ITSNU Pekalongan memerlukan pembaruan segmentasi tahunan (bukan 3–5 tahun), menjadikan </w:t>
      </w:r>
      <w:r w:rsidRPr="000D6197">
        <w:rPr>
          <w:i/>
          <w:color w:val="000000"/>
        </w:rPr>
        <w:t>pipeline</w:t>
      </w:r>
      <w:r w:rsidRPr="000D6197">
        <w:rPr>
          <w:color w:val="000000"/>
        </w:rPr>
        <w:t xml:space="preserve"> otomatis yang dikembangkan ini sangat relevan secara praktis.</w:t>
      </w:r>
    </w:p>
    <w:p w:rsidR="00B113D6" w:rsidRDefault="00B113D6">
      <w:pPr>
        <w:pStyle w:val="Judul3"/>
        <w:spacing w:line="480" w:lineRule="auto"/>
        <w:jc w:val="left"/>
        <w:outlineLvl w:val="3"/>
      </w:pPr>
    </w:p>
    <w:p w:rsidR="002316A4" w:rsidRDefault="00C02299">
      <w:pPr>
        <w:pStyle w:val="Judul3"/>
        <w:spacing w:line="480" w:lineRule="auto"/>
        <w:jc w:val="both"/>
        <w:outlineLvl w:val="3"/>
      </w:pPr>
      <w:r>
        <w:lastRenderedPageBreak/>
        <w:t>4.</w:t>
      </w:r>
      <w:r w:rsidR="00315A07">
        <w:rPr>
          <w:lang w:val="en-US"/>
        </w:rPr>
        <w:t>10</w:t>
      </w:r>
      <w:r>
        <w:t>.3 Kontribusi Sistem Otomasi LLM</w:t>
      </w:r>
    </w:p>
    <w:p w:rsidR="002316A4" w:rsidRPr="00762C37" w:rsidRDefault="00C02299">
      <w:pPr>
        <w:spacing w:after="160"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EndPr/>
        <w:sdtContent>
          <w:r w:rsidR="00762C37" w:rsidRPr="00762C37">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"/>
          <w:id w:val="1370649617"/>
          <w:placeholder>
            <w:docPart w:val="DefaultPlaceholder_-1854013440"/>
          </w:placeholder>
        </w:sdtPr>
        <w:sdtEndPr/>
        <w:sdtContent>
          <w:r w:rsidR="00762C37" w:rsidRPr="00762C37">
            <w:rPr>
              <w:color w:val="000000"/>
            </w:rPr>
            <w:t>(Parker et al. 2025)</w:t>
          </w:r>
        </w:sdtContent>
      </w:sdt>
    </w:p>
    <w:p>
      <w:pPr>
        <w:pStyle w:val="Judul1"/>
        <w:jc w:val="center"/>
        <w:outlineLvl w:val="1"/>
      </w:pPr>
      <w:r>
        <w:rPr>
          <w:rFonts w:ascii="Times New Roman" w:hAnsi="Times New Roman" w:cs="Times New Roman"/>
          <w:sz w:val="24"/>
          <w:szCs w:val="24"/>
          <w:b/>
        </w:rPr>
        <w:t xml:space="preserve">BAB V</w:t>
      </w:r>
    </w:p>
    <w:p>
      <w:pPr>
        <w:pStyle w:val="Judul1"/>
        <w:jc w:val="center"/>
        <w:outlineLvl w:val="1"/>
      </w:pPr>
      <w:r>
        <w:rPr>
          <w:rFonts w:ascii="Times New Roman" w:hAnsi="Times New Roman" w:cs="Times New Roman"/>
          <w:sz w:val="24"/>
          <w:szCs w:val="24"/>
          <w:b/>
        </w:rPr>
        <w:t xml:space="preserve">KESIMPULAN DAN SARAN</w:t>
      </w:r>
    </w:p>
    <w:p>
      <w:pPr>
        <w:pStyle w:val="Judul2"/>
        <w:jc w:val="left"/>
        <w:outlineLvl w:val="2"/>
      </w:pPr>
      <w:r>
        <w:rPr>
          <w:rFonts w:ascii="Times New Roman" w:hAnsi="Times New Roman" w:cs="Times New Roman"/>
          <w:sz w:val="24"/>
          <w:szCs w:val="24"/>
          <w:b/>
        </w:rPr>
        <w:t xml:space="preserve">5.1 Kesimpulan</w:t>
      </w:r>
    </w:p>
    <w:p>
      <w:pPr>
        <w:ind w:firstLine="720"/>
        <w:jc w:val="both"/>
      </w:pPr>
      <w:r>
        <w:rPr>
          <w:rFonts w:ascii="Times New Roman" w:hAnsi="Times New Roman"/>
          <w:b w:val="0"/>
          <w:i w:val="0"/>
          <w:sz w:val="24"/>
        </w:rP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OpenRouter (meta-llama/llama-3.3-70b-instruct, nvidia/nemotron-3-ultra-550b-a55b, dan nvidia/nemotron-3-super-120b-a12b) juga telah menunjukkan kapabilitas AI generatif dalam mengubah data kuantitatif yang kompleks menjadi narasi manajerial yang dapat ditindaklanjuti. Mengacu pada rumusan masalah dan hipotesis yang diajukan, berikut adalah tiga kesimpulan utama dari penelitian ini</w:t>
      </w:r>
    </w:p>
    <w:p>
      <w:pPr>
        <w:jc w:val="both"/>
      </w:pPr>
      <w:r>
        <w:rPr>
          <w:rFonts w:ascii="Times New Roman" w:hAnsi="Times New Roman"/>
          <w:b w:val="0"/>
          <w:i w:val="0"/>
          <w:sz w:val="24"/>
        </w:rPr>
        <w:t>1. Efektivitas Integrasi Segmentasi Probabilistik dan Ekstraksi Semantik</w:t>
        <w:br/>
        <w:t>Penelitian ini secara empiris membuktikan bahwa integrasi antara representasi ruang vektor berdimensi 768 dari model bahasa besar berbahasa Indonesia (IndoBERT) dengan soft clustering probabilistik (GMM) sangat efektif dalam memetakan profil calon mahasiswa secara presisi. Dari dataset 2.362 pendaftar, pendekatan ini sukses mengidentifikasi K optimal yang bervariasi antara 2 hingga 6 per periode (masing-masing 6, 6, 6, 5, 2, 3 untuk tahun 2019-2024), dengan konsolidasi segmen yang semakin homogen dari 6 klaster pada 2019 menjadi 2 klaster pada 2023. Nilai Silhouette Score yang dihasilkan (misalnya 0,0905 pada tahun 2023) berada dalam rentang yang bermakna untuk model Gaussian Mixture berdasarkan Saqr &amp; Lopez-Pernas (2024), yang mengonfirmasi bahwa tumpang tindih antar segmen dapat diukur secara eksak sebagai probabilitas posterior, bukan sekadar ketidakpastian. Hal ini membuktikan efektivitas metode GMM dalam memetakan probabilitas setiap pendaftar tanpa paksaan ke dalam satu kategori absolut, yang sebelumnya menjadi titik buta pada algoritma hard clustering seperti K-Means.</w:t>
      </w:r>
    </w:p>
    <w:p>
      <w:pPr>
        <w:jc w:val="both"/>
      </w:pPr>
      <w:r>
        <w:rPr>
          <w:rFonts w:ascii="Times New Roman" w:hAnsi="Times New Roman"/>
          <w:b w:val="0"/>
          <w:i w:val="0"/>
          <w:sz w:val="24"/>
        </w:rPr>
        <w:t>2. Dinamika Perubahan Struktural Pendaftar (Structural Breaks)</w:t>
        <w:br/>
        <w:t>Analisis stabilitas lintas waktu menggunakan metrik Adjusted Rand Index (ARI) membuktikan bahwa asumsi segmentasi pasar yang statis di lingkungan pendidikan tinggi adalah keliru. Seluruh 5 transisi antar periode (2019→2024) terkonfirmasi sebagai structural break dengan ARI &lt; 0,30, di mana dua transisi menunjukkan disrupsi paling ekstrem dengan ARI negatif. Pada transisi Baseline ke COVID Crisis (2019→2020), nilai ARI tercatat sebesar -0,0036, yang mengindikasikan terjadinya perombakan mendasar dalam preferensi pendaftar akibat pandemi. Selanjutnya, pada fase pemulihan akhir (2022→2023), kembali terjadi guncangan struktural dengan nilai ARI sebesar -0,0036, di mana dominasi program studi vokasional dan teknologi informasi mengubah konfigurasi demografi pendaftar secara fundamental. Temuan bahwa setiap tahun terjadi perubahan struktural menggarisbawahi urgensi otomasi segmentasi tahunan, karena pola historis tahun sebelumnya belum tentu relevan untuk digunakan pada tahun ajaran berikutnya.</w:t>
      </w:r>
    </w:p>
    <w:p>
      <w:pPr>
        <w:jc w:val="both"/>
      </w:pPr>
      <w:r>
        <w:rPr>
          <w:rFonts w:ascii="Times New Roman" w:hAnsi="Times New Roman"/>
          <w:b w:val="0"/>
          <w:i w:val="0"/>
          <w:sz w:val="24"/>
        </w:rPr>
        <w:t>3. Implikasi Praktis Hybrid Cognitive Pipeline untuk Kebijakan Rekrutmen</w:t>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pPr/>
      <w:r>
        <w:rPr>
          <w:rFonts w:ascii="Times New Roman" w:hAnsi="Times New Roman"/>
          <w:b/>
          <w:i w:val="0"/>
          <w:sz w:val="24"/>
        </w:rPr>
        <w:t>5.2 Saran</w:t>
      </w:r>
    </w:p>
    <w:p>
      <w:pPr>
        <w:ind w:firstLine="720"/>
        <w:jc w:val="both"/>
      </w:pPr>
      <w:r>
        <w:rPr>
          <w:rFonts w:ascii="Times New Roman" w:hAnsi="Times New Roman"/>
          <w:b w:val="0"/>
          <w:i w:val="0"/>
          <w:sz w:val="24"/>
        </w:rP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pPr>
        <w:jc w:val="both"/>
      </w:pPr>
      <w:r>
        <w:rPr>
          <w:rFonts w:ascii="Times New Roman" w:hAnsi="Times New Roman"/>
          <w:b w:val="0"/>
          <w:i w:val="0"/>
          <w:sz w:val="24"/>
        </w:rPr>
        <w:t>1. Saran Praktis (Bagi Manajemen ITSNU Pekalongan)</w:t>
        <w:br/>
        <w:t>Tim Manajemen Penerimaan Mahasiswa Baru (PMB) ITSNU Pekalongan 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(Kotler &amp; Keller, 2016). Khususnya, alokasi sumber daya promosi di wilayah Kabupaten Pemalang dan Batang perlu ditingkatkan menggunakan pendekatan media sosial interaktif, yang menurut profil klaster GMM lebih diminati oleh lulusan SMK dan sekolah berbasis kejuruan di wilayah tersebut.</w:t>
      </w:r>
    </w:p>
    <w:p>
      <w:pPr>
        <w:jc w:val="both"/>
      </w:pPr>
      <w:r>
        <w:rPr>
          <w:rFonts w:ascii="Times New Roman" w:hAnsi="Times New Roman"/>
          <w:b w:val="0"/>
          <w:i w:val="0"/>
          <w:sz w:val="24"/>
        </w:rPr>
        <w:t>2. Saran Akademis (Bagi Penelitian Lanjutan)</w:t>
        <w:br/>
        <w:t>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(Scrucca et al., 2024). Kedua, penelitian lanjutan disarankan untuk melakukan evaluasi Fine-Tuning terhadap Small Language Models (SLM) seperti Llama-3-8B secara mandiri (on-premise). Hal ini bertujuan agar penalaran strategis dapat sepenuhnya berjalan tanpa ketergantungan pada API cloud eksternal seperti OpenRouter, sehingga memperkuat aspek skalabilitas dan kerahasiaan institusi jangka panjang.</w:t>
      </w:r>
    </w:p>
    <w:tbl>
      <w:tblPr>
        <w:tblW w:w="8164"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Model Pemasaran</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Status Registrasi</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tbl>
      <w:tblPr>
        <w:tblW w:w="7930"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tbl>
      <w:tblPr>
        <w:tblW w:w="7647"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bl>
    <w:tbl>
      <w:tblPr>
        <w:tblW w:w="7881"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Inferensi Lokal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tbl>
      <w:tblPr>
        <w:tblW w:w="9000"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3</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Shoaib et al. (2025)</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11</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tbl>
      <w:tblPr>
        <w:tblW w:w="789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tbl>
      <w:tblPr>
        <w:tblW w:w="8106"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full</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Memungkinkan matriks kovarians elipsoid bebas per klaster</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1e</w:t>
            </w:r>
            <w:r w:rsidR="007C1716">
              <w:rPr>
                <w:color w:val="000000" w:themeColor="text1"/>
                <w:sz w:val="20"/>
                <w:szCs w:val="20"/>
              </w:rPr>
              <w:t xml:space="preserve"> </w:t>
            </w:r>
            <w:r w:rsidRPr="006B4AE2">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Convergence threshold standar (perubahan log</w:t>
            </w:r>
            <w:r w:rsidR="007C1716">
              <w:rPr>
                <w:color w:val="000000" w:themeColor="text1"/>
                <w:sz w:val="20"/>
                <w:szCs w:val="20"/>
              </w:rPr>
              <w:t xml:space="preserve"> </w:t>
            </w:r>
            <w:r w:rsidRPr="006B4AE2">
              <w:rPr>
                <w:color w:val="000000" w:themeColor="text1"/>
                <w:sz w:val="20"/>
                <w:szCs w:val="20"/>
              </w:rPr>
              <w:t>likelihood)</w:t>
            </w:r>
          </w:p>
        </w:tc>
      </w:tr>
    </w:tbl>
    <w:tbl>
      <w:tblPr>
        <w:tblW w:w="9000"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tbl>
      <w:tblPr>
        <w:tblW w:w="7934"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lastRenderedPageBreak/>
              <w:t>Metrik</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 0]</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tbl>
      <w:tblPr>
        <w:tblW w:w="7898"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2370"/>
        <w:gridCol w:w="1316"/>
        <w:gridCol w:w="1316"/>
        <w:gridCol w:w="2896"/>
      </w:tblGrid>
      <w:tr w:rsidR="006B4AE2" w:rsidRPr="006B4AE2"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Fungsi dalam Pipeline</w:t>
            </w:r>
          </w:p>
        </w:tc>
      </w:tr>
      <w:tr w:rsidR="006B4AE2" w:rsidRPr="006B4AE2"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Bahasa utama seluruh pipeline</w:t>
            </w:r>
          </w:p>
        </w:tc>
      </w:tr>
      <w:tr w:rsidR="006B4AE2" w:rsidRPr="006B4AE2"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Implementasi IndoBERT embedding</w:t>
            </w:r>
          </w:p>
        </w:tc>
      </w:tr>
      <w:tr w:rsidR="006B4AE2" w:rsidRPr="006B4AE2"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Scikit</w:t>
            </w:r>
            <w:r w:rsidR="007C1716">
              <w:rPr>
                <w:color w:val="000000" w:themeColor="text1"/>
                <w:sz w:val="20"/>
                <w:szCs w:val="20"/>
              </w:rPr>
              <w:t xml:space="preserve"> </w:t>
            </w:r>
            <w:r w:rsidRPr="006B4AE2">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PCA, StandardScaler, KMeans</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Backend HuggingFace Transformers</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Geocoding koordinat Lat/Lon</w:t>
            </w:r>
          </w:p>
        </w:tc>
      </w:tr>
      <w:tr w:rsidR="006B4AE2" w:rsidRPr="006B4AE2"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Manipulasi dataset &amp; komputasi</w:t>
            </w:r>
          </w:p>
        </w:tc>
      </w:tr>
      <w:tr w:rsidR="006B4AE2" w:rsidRPr="006B4AE2"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Grafik distribusi klaster &amp; tren</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6550A" w:rsidRDefault="009745A5">
            <w:r>
              <w:t>Runtime LLM lokal untuk task PII-sensitive</w:t>
            </w:r>
          </w:p>
        </w:tc>
      </w:tr>
      <w:tr w:rsidR="006B4AE2" w:rsidRPr="006B4AE2"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6550A" w:rsidRDefault="009745A5">
            <w:r>
              <w:t>PII sanitasi, generasi persona, table narratives</w:t>
            </w:r>
          </w:p>
        </w:tc>
      </w:tr>
      <w:tr w:rsidR="006B4AE2" w:rsidRPr="006B4AE2"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Embedding teks Bahasa Indonesia</w:t>
            </w:r>
          </w:p>
        </w:tc>
      </w:tr>
      <w:tr w:rsidR="0026550A" w:rsidTr="00E7788F">
        <w:trPr>
          <w:jc w:val="center"/>
        </w:trPr>
        <w:tc>
          <w:tcPr>
            <w:tcW w:w="2370" w:type="dxa"/>
            <w:tcBorders>
              <w:left w:val="single" w:sz="4" w:space="0" w:color="auto"/>
              <w:right w:val="single" w:sz="4" w:space="0" w:color="auto"/>
            </w:tcBorders>
          </w:tcPr>
          <w:p w:rsidR="0026550A" w:rsidRDefault="009745A5">
            <w:r>
              <w:t>OpenRouter</w:t>
            </w:r>
          </w:p>
        </w:tc>
        <w:tc>
          <w:tcPr>
            <w:tcW w:w="1316" w:type="dxa"/>
            <w:tcBorders>
              <w:left w:val="single" w:sz="4" w:space="0" w:color="auto"/>
              <w:right w:val="single" w:sz="4" w:space="0" w:color="auto"/>
            </w:tcBorders>
          </w:tcPr>
          <w:p w:rsidR="0026550A" w:rsidRDefault="009745A5">
            <w:r>
              <w:t>—</w:t>
            </w:r>
          </w:p>
        </w:tc>
        <w:tc>
          <w:tcPr>
            <w:tcW w:w="1316" w:type="dxa"/>
            <w:tcBorders>
              <w:left w:val="single" w:sz="4" w:space="0" w:color="auto"/>
              <w:right w:val="single" w:sz="4" w:space="0" w:color="auto"/>
            </w:tcBorders>
          </w:tcPr>
          <w:p w:rsidR="0026550A" w:rsidRDefault="009745A5">
            <w:r>
              <w:t>Cloud API</w:t>
            </w:r>
          </w:p>
        </w:tc>
        <w:tc>
          <w:tcPr>
            <w:tcW w:w="2896" w:type="dxa"/>
            <w:tcBorders>
              <w:left w:val="single" w:sz="4" w:space="0" w:color="auto"/>
              <w:right w:val="single" w:sz="4" w:space="0" w:color="auto"/>
            </w:tcBorders>
          </w:tcPr>
          <w:p w:rsidR="0026550A" w:rsidRDefault="009745A5">
            <w:r>
              <w:t>Causal reasoning, narrative summary, structural break analysis (default: meta-llama/llama-3.3-70b-instruct)</w:t>
            </w:r>
          </w:p>
        </w:tc>
      </w:tr>
      <w:tr w:rsidR="0026550A" w:rsidTr="00E7788F">
        <w:trPr>
          <w:jc w:val="center"/>
        </w:trPr>
        <w:tc>
          <w:tcPr>
            <w:tcW w:w="2370" w:type="dxa"/>
            <w:tcBorders>
              <w:left w:val="single" w:sz="4" w:space="0" w:color="auto"/>
              <w:right w:val="single" w:sz="4" w:space="0" w:color="auto"/>
            </w:tcBorders>
          </w:tcPr>
          <w:p w:rsidR="0026550A" w:rsidRDefault="009745A5">
            <w:r>
              <w:t>HybridLLMProvider</w:t>
            </w:r>
          </w:p>
        </w:tc>
        <w:tc>
          <w:tcPr>
            <w:tcW w:w="1316" w:type="dxa"/>
            <w:tcBorders>
              <w:left w:val="single" w:sz="4" w:space="0" w:color="auto"/>
              <w:right w:val="single" w:sz="4" w:space="0" w:color="auto"/>
            </w:tcBorders>
          </w:tcPr>
          <w:p w:rsidR="0026550A" w:rsidRDefault="009745A5">
            <w:r>
              <w:t>—</w:t>
            </w:r>
          </w:p>
        </w:tc>
        <w:tc>
          <w:tcPr>
            <w:tcW w:w="1316" w:type="dxa"/>
            <w:tcBorders>
              <w:left w:val="single" w:sz="4" w:space="0" w:color="auto"/>
              <w:right w:val="single" w:sz="4" w:space="0" w:color="auto"/>
            </w:tcBorders>
          </w:tcPr>
          <w:p w:rsidR="0026550A" w:rsidRDefault="009745A5">
            <w:r>
              <w:t>Routing engine</w:t>
            </w:r>
          </w:p>
        </w:tc>
        <w:tc>
          <w:tcPr>
            <w:tcW w:w="2896" w:type="dxa"/>
            <w:tcBorders>
              <w:left w:val="single" w:sz="4" w:space="0" w:color="auto"/>
              <w:right w:val="single" w:sz="4" w:space="0" w:color="auto"/>
            </w:tcBorders>
          </w:tcPr>
          <w:p w:rsidR="0026550A" w:rsidRDefault="009745A5">
            <w:r>
              <w:t>Task routing otomatis: lokal untuk PII-sensitive, cloud untuk high-reasoning</w:t>
            </w:r>
          </w:p>
        </w:tc>
      </w:tr>
    </w:tbl>
    <w:tbl>
      <w:tblPr>
        <w:tblW w:w="7934"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tbl>
      <w:tblPr>
        <w:tblW w:w="8287"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tbl>
      <w:tblPr>
        <w:tblW w:w="7807"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3</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tbl>
      <w:tblPr>
        <w:tblW w:w="7513"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shd w:val="clear" w:color="auto" w:fill="auto"/>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shd w:val="clear" w:color="auto" w:fill="auto"/>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tbl>
      <w:tblPr>
        <w:tblW w:w="7797"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4111"/>
        <w:gridCol w:w="1843"/>
        <w:gridCol w:w="1843"/>
      </w:tblGrid>
      <w:tr w:rsidR="00B30C86" w:rsidRPr="00B30C86" w:rsidTr="00B30C86">
        <w:trPr>
          <w:trHeight w:val="209"/>
          <w:tblHeader/>
        </w:trPr>
        <w:tc>
          <w:tcPr>
            <w:tcW w:w="4111"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tbl>
      <w:tblPr>
        <w:tblW w:w="801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4009"/>
        <w:gridCol w:w="4009"/>
      </w:tblGrid>
      <w:tr w:rsidR="00B30C86" w:rsidRPr="00B30C86" w:rsidTr="00B30C86">
        <w:trPr>
          <w:trHeight w:val="221"/>
          <w:tblHeader/>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tbl>
      <w:tblPr>
        <w:tblW w:w="7936"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693"/>
        <w:gridCol w:w="1568"/>
        <w:gridCol w:w="992"/>
        <w:gridCol w:w="3683"/>
      </w:tblGrid>
      <w:tr w:rsidR="00C56195" w:rsidRPr="00C56195" w:rsidTr="00C56195">
        <w:trPr>
          <w:trHeight w:val="194"/>
          <w:tblHeader/>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Transisi Periode</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Cosine Similarity</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Kategori</w:t>
            </w:r>
          </w:p>
        </w:tc>
        <w:tc>
          <w:tcPr>
            <w:tcW w:w="368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Interpretasi</w:t>
            </w:r>
          </w:p>
        </w:tc>
      </w:tr>
      <w:tr w:rsidR="00C56195" w:rsidRPr="00C56195" w:rsidTr="00C56195">
        <w:trPr>
          <w:trHeight w:val="802"/>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2019 → 2020</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0,7901</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Moderat</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Di atas threshold 0,70  perubahan klaster mencerminkan data, bukan artefak</w:t>
            </w:r>
          </w:p>
        </w:tc>
      </w:tr>
      <w:tr w:rsidR="00C56195" w:rsidRPr="00C56195" w:rsidTr="00C56195">
        <w:trPr>
          <w:trHeight w:val="595"/>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2020 → 2021</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0,8024</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baik; fase COVID Crisis stabil secara semantik</w:t>
            </w:r>
          </w:p>
        </w:tc>
      </w:tr>
      <w:tr w:rsidR="00C56195" w:rsidRPr="00C56195" w:rsidTr="00C56195">
        <w:trPr>
          <w:trHeight w:val="595"/>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2021 → 2022</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0,8128</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Nilai tertinggi; transisi Recovery paling konsisten secara semantik</w:t>
            </w:r>
          </w:p>
        </w:tc>
      </w:tr>
      <w:tr w:rsidR="00C56195" w:rsidRPr="00C56195" w:rsidTr="00C56195">
        <w:trPr>
          <w:trHeight w:val="388"/>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2022 → 2023</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0,8009</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terjaga meski lonjakan volume 2023</w:t>
            </w:r>
          </w:p>
        </w:tc>
      </w:tr>
      <w:tr w:rsidR="00C56195" w:rsidRPr="00C56195" w:rsidTr="00C56195">
        <w:trPr>
          <w:trHeight w:val="401"/>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2023 → 2024</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0,8095</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baik menuju stabilisasi 2024</w:t>
            </w:r>
          </w:p>
        </w:tc>
      </w:tr>
      <w:tr w:rsidR="00C56195" w:rsidRPr="00C56195" w:rsidTr="00C56195">
        <w:trPr>
          <w:trHeight w:val="582"/>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Rata-rata keseluruhan</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0,8031</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Semua transisi di atas threshold 0,70 → H2 TERKONFIRMASI</w:t>
            </w:r>
          </w:p>
        </w:tc>
      </w:tr>
    </w:tbl>
    <w:tbl>
      <w:tblPr>
        <w:tblW w:w="7875"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768"/>
        <w:gridCol w:w="1255"/>
        <w:gridCol w:w="1260"/>
        <w:gridCol w:w="1551"/>
        <w:gridCol w:w="1551"/>
        <w:gridCol w:w="1490"/>
      </w:tblGrid>
      <w:tr w:rsidR="00707891" w:rsidRPr="00707891" w:rsidTr="00707891">
        <w:trPr>
          <w:trHeight w:val="221"/>
          <w:tblHeader/>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Tahun</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Fase</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 Optimal</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BIC Optimal</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Silhouette Score</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20.594,43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0,0683</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28.991,05</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66.631,38</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0,0496</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10.935,41</w:t>
            </w:r>
          </w:p>
        </w:tc>
      </w:tr>
      <w:tr w:rsidR="00707891" w:rsidRPr="00707891" w:rsidTr="00707891">
        <w:trPr>
          <w:trHeight w:val="208"/>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80.792,73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4.595,64</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138.331,39</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0,0138</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−28.915,23</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212.737,22</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0,0905</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−89.231,81</w:t>
            </w:r>
          </w:p>
        </w:tc>
      </w:tr>
      <w:tr w:rsidR="00707891" w:rsidRPr="00707891" w:rsidTr="00707891">
        <w:trPr>
          <w:trHeight w:val="208"/>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163.307,13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0,0279</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−57.135,11</w:t>
            </w:r>
          </w:p>
        </w:tc>
      </w:tr>
    </w:tbl>
    <w:tbl>
      <w:tblPr>
        <w:tblW w:w="7795"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403"/>
        <w:gridCol w:w="863"/>
        <w:gridCol w:w="878"/>
        <w:gridCol w:w="991"/>
        <w:gridCol w:w="995"/>
        <w:gridCol w:w="2665"/>
      </w:tblGrid>
      <w:tr w:rsidR="00707891" w:rsidRPr="00707891" w:rsidTr="00707891">
        <w:trPr>
          <w:trHeight w:val="250"/>
          <w:tblHeader/>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Centroid Drift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Kategori</w:t>
            </w:r>
          </w:p>
        </w:tc>
        <w:tc>
          <w:tcPr>
            <w:tcW w:w="268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 → 2020</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−0,0036</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20,3555</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Lonjakan +87,7%; komposisi segmen berubah fundamental  H1 TERKONFIRMASI</w:t>
            </w:r>
          </w:p>
        </w:tc>
      </w:tr>
      <w:tr w:rsidR="00707891" w:rsidRPr="00707891" w:rsidTr="00707891">
        <w:trPr>
          <w:trHeight w:val="500"/>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 → 2021</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0,0160</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17,2465</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Adaptasi pandemi berlanjut; K tetap 6 tetapi posisi sentroid bergeser</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 → 2022</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0,0055</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0,8333</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Perubahan K (6→5); centroid drift ∞ = reorganisasi total klaster</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 → 2023</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−0,0036</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Konsolidasi K (5→2); lonjakan 2023 +48,5% dengan profil sangat homogen</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 → 2024</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0,0021</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0,6667</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Transisi K (2→3); penurunan 2024 −26,0% memunculkan segmen ketiga</w:t>
            </w:r>
          </w:p>
        </w:tc>
      </w:tr>
    </w:tbl>
    <w:tbl>
      <w:tblPr>
        <w:tblW w:w="7875"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768"/>
        <w:gridCol w:w="1237"/>
        <w:gridCol w:w="512"/>
        <w:gridCol w:w="1056"/>
        <w:gridCol w:w="1532"/>
        <w:gridCol w:w="1521"/>
        <w:gridCol w:w="1249"/>
      </w:tblGrid>
      <w:tr w:rsidR="00707891" w:rsidRPr="00707891" w:rsidTr="00707891">
        <w:trPr>
          <w:trHeight w:val="236"/>
          <w:tblHeader/>
        </w:trPr>
        <w:tc>
          <w:tcPr>
            <w:tcW w:w="63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w:t>
            </w:r>
            <w:r w:rsidR="007C1716">
              <w:rPr>
                <w:b/>
                <w:bCs/>
                <w:color w:val="000000" w:themeColor="text1"/>
                <w:sz w:val="20"/>
                <w:szCs w:val="20"/>
              </w:rPr>
              <w:t xml:space="preserve"> </w:t>
            </w:r>
            <w:r w:rsidRPr="00707891">
              <w:rPr>
                <w:b/>
                <w:bCs/>
                <w:color w:val="000000" w:themeColor="text1"/>
                <w:sz w:val="20"/>
                <w:szCs w:val="20"/>
              </w:rPr>
              <w:t>Harabasz</w:t>
            </w:r>
          </w:p>
        </w:tc>
        <w:tc>
          <w:tcPr>
            <w:tcW w:w="15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w:t>
            </w:r>
            <w:r w:rsidR="007C1716">
              <w:rPr>
                <w:b/>
                <w:bCs/>
                <w:color w:val="000000" w:themeColor="text1"/>
                <w:sz w:val="20"/>
                <w:szCs w:val="20"/>
              </w:rPr>
              <w:t xml:space="preserve"> </w:t>
            </w:r>
            <w:r w:rsidRPr="00707891">
              <w:rPr>
                <w:b/>
                <w:bCs/>
                <w:color w:val="000000" w:themeColor="text1"/>
                <w:sz w:val="20"/>
                <w:szCs w:val="20"/>
              </w:rPr>
              <w:t>Bouldin</w:t>
            </w:r>
          </w:p>
        </w:tc>
        <w:tc>
          <w:tcPr>
            <w:tcW w:w="12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w:t>
            </w:r>
            <w:r w:rsidR="007C1716">
              <w:rPr>
                <w:color w:val="000000" w:themeColor="text1"/>
                <w:sz w:val="20"/>
                <w:szCs w:val="20"/>
              </w:rPr>
              <w:t xml:space="preserve"> </w:t>
            </w:r>
            <w:r w:rsidRPr="00707891">
              <w:rPr>
                <w:color w:val="000000" w:themeColor="text1"/>
                <w:sz w:val="20"/>
                <w:szCs w:val="20"/>
              </w:rPr>
              <w:t>COVID</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0,0683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7,23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2,9794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28.991,05</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0,0496</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11,91</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3,6303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10.935,41</w:t>
            </w:r>
          </w:p>
        </w:tc>
      </w:tr>
      <w:tr w:rsidR="00707891" w:rsidRPr="00707891" w:rsidTr="00707891">
        <w:trPr>
          <w:trHeight w:val="222"/>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14,17</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3,4786</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4.595,64</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0,0138</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14,19</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3,4279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−28.915,23</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0,0905</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12,53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3,9169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−89.231,81</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0,0279</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18,01</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4,1920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−57.135,11</w:t>
            </w:r>
          </w:p>
        </w:tc>
      </w:tr>
    </w:tbl>
    <w:tbl>
      <w:tblPr>
        <w:tblW w:w="7987"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698"/>
        <w:gridCol w:w="992"/>
        <w:gridCol w:w="1274"/>
        <w:gridCol w:w="863"/>
        <w:gridCol w:w="3160"/>
      </w:tblGrid>
      <w:tr w:rsidR="00707891" w:rsidRPr="00707891" w:rsidTr="00707891">
        <w:trPr>
          <w:trHeight w:val="225"/>
          <w:tblHeader/>
        </w:trPr>
        <w:tc>
          <w:tcPr>
            <w:tcW w:w="170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0,0279</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−0,0443</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18,01</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−22,74</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4,19</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+1,22</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Proyeksi Segmen 2025</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tbl>
      <w:tblPr>
        <w:tblW w:w="7912"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834"/>
        <w:gridCol w:w="525"/>
        <w:gridCol w:w="632"/>
        <w:gridCol w:w="841"/>
        <w:gridCol w:w="2306"/>
        <w:gridCol w:w="2774"/>
      </w:tblGrid>
      <w:tr w:rsidR="00707891" w:rsidRPr="00707891" w:rsidTr="00707891">
        <w:trPr>
          <w:trHeight w:val="225"/>
          <w:tblHeader/>
        </w:trPr>
        <w:tc>
          <w:tcPr>
            <w:tcW w:w="79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lastRenderedPageBreak/>
              <w:t>Klaster</w:t>
            </w:r>
          </w:p>
        </w:tc>
        <w:tc>
          <w:tcPr>
            <w:tcW w:w="527"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w:t>
            </w:r>
          </w:p>
        </w:tc>
        <w:tc>
          <w:tcPr>
            <w:tcW w:w="84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w:t>
            </w:r>
          </w:p>
        </w:tc>
        <w:tc>
          <w:tcPr>
            <w:tcW w:w="232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 Dominan</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33</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22,6</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(14), S1 Informatika (9)</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(24), Kota Pekalongan (4)</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K6</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21,9</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(17), S1 Teknologi Informasi (6)</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(28), Kab. Batang (2)</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21,2</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(12), S1 Teknik Industri (11)</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(16), Kota Pekalongan (14)</w:t>
            </w:r>
          </w:p>
        </w:tc>
      </w:tr>
      <w:tr w:rsidR="00707891" w:rsidRPr="00707891" w:rsidTr="00707891">
        <w:trPr>
          <w:trHeight w:val="449"/>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14,4</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(6), S1 Informatika (6)</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(20), Kota Pekalongan (1)</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14,4</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(8), S1 Informatika (7)</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(15), Kab. Batang (2)</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8</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5,5</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(4), S1 Teknologi Informasi (2)</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(8)</w:t>
            </w:r>
          </w:p>
        </w:tc>
      </w:tr>
    </w:tbl>
    <w:tbl>
      <w:tblPr>
        <w:tblW w:w="793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900"/>
        <w:gridCol w:w="600"/>
        <w:gridCol w:w="720"/>
        <w:gridCol w:w="960"/>
        <w:gridCol w:w="2640"/>
        <w:gridCol w:w="2118"/>
      </w:tblGrid>
      <w:tr w:rsidR="00707891" w:rsidRPr="00707891" w:rsidTr="00707891">
        <w:trPr>
          <w:tblHeader/>
        </w:trPr>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lastRenderedPageBreak/>
              <w:t>Klaster</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w:t>
            </w:r>
          </w:p>
        </w:tc>
        <w:tc>
          <w:tcPr>
            <w:tcW w:w="264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 Dominan</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69</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25,2</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(33), S1 Teknologi Informasi (27)</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(57),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K6</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(31), S1 Informatika (13)</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(40), Kota Pekalongan (10)</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51</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18,6</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(24), S1 Teknologi Informasi (13)</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(35), Kab. Pemalang (7)</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39</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14,2</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(19), S1 Teknologi Informasi (12)</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(31), Kab. Pemalang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13,5</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(27), S1 Teknologi Informasi (5)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(34), Kota Pekalongan (2)</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26</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9,5</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(12), S1 Teknologi Informasi (6)</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(13), Kota Pekalongan (12)</w:t>
            </w:r>
          </w:p>
        </w:tc>
      </w:tr>
    </w:tbl>
    <w:tbl>
      <w:tblPr>
        <w:tblW w:w="793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900"/>
        <w:gridCol w:w="600"/>
        <w:gridCol w:w="720"/>
        <w:gridCol w:w="960"/>
        <w:gridCol w:w="2640"/>
        <w:gridCol w:w="2118"/>
      </w:tblGrid>
      <w:tr w:rsidR="00707891" w:rsidRPr="00707891" w:rsidTr="00707891">
        <w:trPr>
          <w:tblHeader/>
        </w:trPr>
        <w:tc>
          <w:tcPr>
            <w:tcW w:w="90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9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(30), S1 Teknologi Informasi (20)</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(61), Kota Pekalongan (3)</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(39), S1 Informatika (18)</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(47), Kab. Batang (10)</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47</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15,6</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(16), S1 Informatika (15)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(36), Kota Pekalongan (9)</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(17), S1 Teknologi Informasi (15)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(37),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K6</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(27), S1 Teknologi Informasi (6)</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(30),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33</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(15), S1 Informatika (9)</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(33)</w:t>
            </w:r>
          </w:p>
        </w:tc>
      </w:tr>
    </w:tbl>
    <w:tbl>
      <w:tblPr>
        <w:tblW w:w="793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896"/>
        <w:gridCol w:w="594"/>
        <w:gridCol w:w="550"/>
        <w:gridCol w:w="1079"/>
        <w:gridCol w:w="2357"/>
        <w:gridCol w:w="2462"/>
      </w:tblGrid>
      <w:tr w:rsidR="00707891" w:rsidRPr="00707891" w:rsidTr="000D6197">
        <w:trPr>
          <w:tblHeader/>
        </w:trPr>
        <w:tc>
          <w:tcPr>
            <w:tcW w:w="8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107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287</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62,7</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(92), S1 Informatika (70)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(194), Kota Pekalongan (52)</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12,2</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(22), S1 Teknologi Informasi (11)</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(45), Kota Pekalongan (11)</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11,4</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(13), S1 Teknik Industri (10)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(36), Kota Pekalongan (15)</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8,7</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(14), S1 Informatika (10)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(37), Kab. Batang (1)</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5,0</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(9), D3 Adm. Perkantoran (6)</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 (12), Kab. Pekalongan (9)</w:t>
            </w:r>
          </w:p>
        </w:tc>
      </w:tr>
    </w:tbl>
    <w:tbl>
      <w:tblPr>
        <w:tblW w:w="7898"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834"/>
        <w:gridCol w:w="525"/>
        <w:gridCol w:w="631"/>
        <w:gridCol w:w="839"/>
        <w:gridCol w:w="2509"/>
        <w:gridCol w:w="2560"/>
      </w:tblGrid>
      <w:tr w:rsidR="00707891" w:rsidRPr="00707891" w:rsidTr="00707891">
        <w:trPr>
          <w:trHeight w:val="217"/>
          <w:tblHeader/>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rPr>
          <w:trHeight w:val="422"/>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630</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92,6</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(189), S1 Teknologi Informasi (169)</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(420), Kota Pekalongan (97)</w:t>
            </w:r>
          </w:p>
        </w:tc>
      </w:tr>
      <w:tr w:rsidR="00707891" w:rsidRPr="00707891" w:rsidTr="00707891">
        <w:trPr>
          <w:trHeight w:val="422"/>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7,4</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(22), S1 Teknik Industri (11)</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(31), Kota Pekalongan (13)</w:t>
            </w:r>
          </w:p>
        </w:tc>
      </w:tr>
    </w:tbl>
    <w:tbl>
      <w:tblPr>
        <w:tblW w:w="7961"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834"/>
        <w:gridCol w:w="529"/>
        <w:gridCol w:w="636"/>
        <w:gridCol w:w="846"/>
        <w:gridCol w:w="2532"/>
        <w:gridCol w:w="2584"/>
      </w:tblGrid>
      <w:tr w:rsidR="00707891" w:rsidRPr="00707891" w:rsidTr="00707891">
        <w:trPr>
          <w:trHeight w:val="231"/>
          <w:tblHeader/>
        </w:trPr>
        <w:tc>
          <w:tcPr>
            <w:tcW w:w="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lastRenderedPageBreak/>
              <w:t>Klaster</w:t>
            </w:r>
          </w:p>
        </w:tc>
        <w:tc>
          <w:tcPr>
            <w:tcW w:w="53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84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rPr>
          <w:trHeight w:val="478"/>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274</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54,5</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(60), D3 Akuntansi (57)</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(238), Kab. Batang (18)</w:t>
            </w:r>
          </w:p>
        </w:tc>
      </w:tr>
      <w:tr w:rsidR="00707891" w:rsidRPr="00707891" w:rsidTr="00707891">
        <w:trPr>
          <w:trHeight w:val="463"/>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196</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39,0</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(52), S1 Informatika (43)</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(113), Kota Pekalongan (59)</w:t>
            </w:r>
          </w:p>
        </w:tc>
      </w:tr>
      <w:tr w:rsidR="00707891" w:rsidRPr="00707891" w:rsidTr="00707891">
        <w:trPr>
          <w:trHeight w:val="463"/>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6,6</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D3 Akuntansi (13), D3 Adm. Perkantoran (5)</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 (28), Kab. Pekalongan (5)</w:t>
            </w:r>
          </w:p>
        </w:tc>
      </w:tr>
    </w:tbl>
    <w:tbl>
      <w:tblPr>
        <w:tblW w:w="7947"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649"/>
        <w:gridCol w:w="883"/>
        <w:gridCol w:w="883"/>
        <w:gridCol w:w="883"/>
        <w:gridCol w:w="883"/>
        <w:gridCol w:w="883"/>
        <w:gridCol w:w="883"/>
        <w:gridCol w:w="1000"/>
      </w:tblGrid>
      <w:tr w:rsidR="00953938" w:rsidRPr="00953938" w:rsidTr="00953938">
        <w:trPr>
          <w:trHeight w:val="222"/>
          <w:tblHeader/>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1 (Merah)</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22,6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25,2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23,3</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62,7</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92,6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54,5</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2 (Biru)</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21,9</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19,0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23,3</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12,2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7,4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39,0</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(V-shape)</w:t>
            </w:r>
          </w:p>
        </w:tc>
      </w:tr>
      <w:tr w:rsidR="00953938" w:rsidRPr="00953938" w:rsidTr="00953938">
        <w:trPr>
          <w:trHeight w:val="287"/>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3 (Hijau)</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21,2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18,6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15,6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11,4</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6,6</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15,0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8,7</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 (merger)</w:t>
            </w:r>
          </w:p>
        </w:tc>
      </w:tr>
      <w:tr w:rsidR="00953938" w:rsidRPr="00953938" w:rsidTr="00953938">
        <w:trPr>
          <w:trHeight w:val="444"/>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13,5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12,0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5,0</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 (merger)</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11,0</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lalu merger</w:t>
            </w:r>
          </w:p>
        </w:tc>
      </w:tr>
    </w:tbl>
    <w:tbl>
      <w:tblPr>
        <w:tblW w:w="7886"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1429"/>
        <w:gridCol w:w="1154"/>
        <w:gridCol w:w="1200"/>
        <w:gridCol w:w="1212"/>
        <w:gridCol w:w="1231"/>
        <w:gridCol w:w="1660"/>
      </w:tblGrid>
      <w:tr w:rsidR="00953938" w:rsidRPr="00953938" w:rsidTr="00953938">
        <w:trPr>
          <w:trHeight w:val="436"/>
          <w:tblHeader/>
        </w:trPr>
        <w:tc>
          <w:tcPr>
            <w:tcW w:w="1539"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K1 (Merah) IT Basis Kab. Pekalongan</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dominan (puncak 92,6% di 2023)</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kunjungan SMA/SMK mitra Nov–Jan</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K2 (Biru) IT Campur Diploma</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Rebound ke 39% (dari 7,4% ke 39,0%)</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SEDANG</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TI + D3 Akuntansi</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alumni + webinar daring; kampanye program diversifikasi</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K3 (Hijau) Diploma Kota Pekalongan</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Menurun (Decline, 6,6% di 2024)</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Kota Pekalongan</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D3 Akuntansi, D3 Adm. Perkantoran</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hambatan; brosur fisik + expo Jan–Mar; revisi value proposition</w:t>
            </w:r>
          </w:p>
        </w:tc>
      </w:tr>
    </w:tbl>
    <w:tbl>
      <w:tblPr>
        <w:tblW w:w="7961" w:type="dxa"/>
        <w:jc w:val="center"/>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973"/>
        <w:gridCol w:w="1656"/>
        <w:gridCol w:w="1404"/>
        <w:gridCol w:w="1443"/>
        <w:gridCol w:w="1129"/>
        <w:gridCol w:w="1356"/>
      </w:tblGrid>
      <w:tr w:rsidR="00953938" w:rsidRPr="00953938" w:rsidTr="00A00A9C">
        <w:trPr>
          <w:trHeight w:val="423"/>
          <w:tblHeader/>
          <w:jc w:val="center"/>
        </w:trPr>
        <w:tc>
          <w:tcPr>
            <w:tcW w:w="102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K1 (Merah)</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w:t>
            </w:r>
            <w:r w:rsidR="007C1716">
              <w:rPr>
                <w:color w:val="000000" w:themeColor="text1"/>
                <w:sz w:val="20"/>
                <w:szCs w:val="20"/>
              </w:rPr>
              <w:t xml:space="preserve"> </w:t>
            </w:r>
            <w:r w:rsidRPr="00953938">
              <w:rPr>
                <w:color w:val="000000" w:themeColor="text1"/>
                <w:sz w:val="20"/>
                <w:szCs w:val="20"/>
              </w:rPr>
              <w:t>targeted Kab. Pekalongan</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S1 IT</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profil muda berorientasi IT</w:t>
            </w:r>
          </w:p>
        </w:tc>
      </w:tr>
      <w:tr w:rsidR="00953938" w:rsidRPr="00953938" w:rsidTr="00A00A9C">
        <w:trPr>
          <w:trHeight w:val="615"/>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K2 (Biru)</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 info D3 Akuntansi</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alumni</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Keahlian Bisnis Digital</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Mix IT + Diploma; berbasis Kab. Pekalongan dan Kota</w:t>
            </w:r>
          </w:p>
        </w:tc>
      </w:tr>
      <w:tr w:rsidR="00953938" w:rsidRPr="00953938" w:rsidTr="00A00A9C">
        <w:trPr>
          <w:trHeight w:val="1243"/>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K3 (Hijau)</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Brosur fisik &amp; pameran Kota Pekalongan</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Radio komunitas dan media lokal</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Keahlian Praktis &amp; Aksesibilitas Biaya</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Jan–Mar</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Kota Pekalongan dominan; program Diploma lebih aksesibel</w:t>
            </w:r>
          </w:p>
        </w:tc>
      </w:tr>
    </w:tbl>
    <w:tbl>
      <w:tblPr>
        <w:tblW w:w="7950" w:type="dxa"/>
        <w:tblCellMar>
          <w:left w:w="10" w:type="dxa"/>
          <w:right w:w="10" w:type="dxa"/>
        </w:tblCellMar>
        <w:tblLook w:val="04A0" w:firstRow="1" w:lastRow="0" w:firstColumn="1" w:lastColumn="0" w:noHBand="0" w:noVBand="1"/>
        <w:tblBorders>
          <w:top w:val="single" w:sz="4" w:space="0" w:color="auto"/>
          <w:bottom w:val="single" w:sz="4" w:space="0" w:color="auto"/>
          <w:insideH w:val="single" w:sz="4" w:space="0" w:color="auto"/>
        </w:tblBorders>
      </w:tblPr>
      <w:tblGrid>
        <w:gridCol w:w="2268"/>
        <w:gridCol w:w="2694"/>
        <w:gridCol w:w="2988"/>
      </w:tblGrid>
      <w:tr w:rsidR="00953938" w:rsidRPr="00953938" w:rsidTr="000D6197">
        <w:trPr>
          <w:trHeight w:val="429"/>
          <w:tblHeader/>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lastRenderedPageBreak/>
              <w:t>Dimensi Perbandingan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Ringkasan laporan manajemen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tbl>
      <w:tblPr>
        <w:tblW w:w="5000" w:type="pct"/>
        <w:tblCellMar>
          <w:left w:w="10" w:type="dxa"/>
          <w:right w:w="10" w:type="dxa"/>
        </w:tblCellMar>
        <w:tblLook w:val="0000" w:firstRow="0" w:lastRow="0" w:firstColumn="0" w:lastColumn="0" w:noHBand="0" w:noVBand="0"/>
        <w:tblBorders>
          <w:top w:val="single" w:sz="4" w:space="0" w:color="auto"/>
          <w:bottom w:val="single" w:sz="4" w:space="0" w:color="auto"/>
          <w:insideH w:val="single" w:sz="4" w:space="0" w:color="auto"/>
        </w:tblBorders>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lastRenderedPageBreak/>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2316A4" w:rsidRDefault="00C02299" w:rsidP="004A02B3">
      <w:pPr>
        <w:pStyle w:val="Judul1"/>
        <w:pageBreakBefore/>
        <w:spacing w:after="160" w:line="480" w:lineRule="auto"/>
        <w:jc w:val="center"/>
        <w:outlineLvl w:val="1"/>
      </w:pPr>
      <w:r>
        <w:lastRenderedPageBreak/>
        <w:t>DAFTAR PUSTAKA</w:t>
      </w:r>
    </w:p>
    <w:p>
      <w:pPr>
        <w:ind w:left="720" w:hanging="720"/>
        <w:jc w:val="both"/>
        <w:spacing w:line="240" w:lineRule="auto" w:after="0" w:before="0"/>
      </w:pPr>
      <w:r>
        <w:rPr>
          <w:rFonts w:ascii="Times New Roman" w:hAnsi="Times New Roman" w:cs="Times New Roman"/>
          <w:sz w:val="24"/>
          <w:szCs w:val="24"/>
        </w:rPr>
        <w:t xml:space="preserve">Ahmadian, M., Fathoni, A., &amp; Prasetyo, H. (2024). Analisis segmentasi calon mahasiswa menggunakan algoritma clustering di perguruan tinggi swasta. Jurnal Teknologi Informasi dan Ilmu Komputer, 11(2), 341-352.</w:t>
      </w:r>
    </w:p>
    <w:p>
      <w:pPr>
        <w:ind w:left="720" w:hanging="720"/>
        <w:jc w:val="both"/>
        <w:spacing w:line="240" w:lineRule="auto" w:after="0" w:before="0"/>
      </w:pPr>
      <w:r>
        <w:rPr>
          <w:rFonts w:ascii="Times New Roman" w:hAnsi="Times New Roman" w:cs="Times New Roman"/>
          <w:sz w:val="24"/>
          <w:szCs w:val="24"/>
        </w:rPr>
        <w:t xml:space="preserve">Aristovnik, A., Keržič, D., Ravšelj, D., Tomaževič, N., &amp; Umek, L. (2021). Impacts of the Covid-19 pandemic on life of higher education students: Global survey dataset from the first wave. Data in Brief, 39, 107659. https://doi.org/10.1016/j.dib.2021.107659</w:t>
      </w:r>
    </w:p>
    <w:p>
      <w:pPr>
        <w:ind w:left="720" w:hanging="720"/>
        <w:jc w:val="both"/>
        <w:spacing w:line="240" w:lineRule="auto" w:after="0" w:before="0"/>
      </w:pPr>
      <w:r>
        <w:rPr>
          <w:rFonts w:ascii="Times New Roman" w:hAnsi="Times New Roman" w:cs="Times New Roman"/>
          <w:sz w:val="24"/>
          <w:szCs w:val="24"/>
        </w:rPr>
        <w:t xml:space="preserve">Cahyadi, A., Hendryadi, H., Widyastuti, S., &amp; Suryani, S. (2021). COVID-19, emergency remote teaching evaluation: The case of Indonesia. Education and Information Technologies, 27(2), 2165-2179. https://doi.org/10.1007/s10639-021-10680-3</w:t>
      </w:r>
    </w:p>
    <w:p>
      <w:pPr>
        <w:ind w:left="720" w:hanging="720"/>
        <w:jc w:val="both"/>
        <w:spacing w:line="240" w:lineRule="auto" w:after="0" w:before="0"/>
      </w:pPr>
      <w:r>
        <w:rPr>
          <w:rFonts w:ascii="Times New Roman" w:hAnsi="Times New Roman" w:cs="Times New Roman"/>
          <w:sz w:val="24"/>
          <w:szCs w:val="24"/>
        </w:rPr>
        <w:t xml:space="preserve">Devlin, J., Chang, M.-W., Lee, K., &amp; Toutanova, K. (2019). BERT: Pre-training of deep bidirectional transformers for language understanding. Proceedings of NAACL-HLT, 4171-4186.</w:t>
      </w:r>
    </w:p>
    <w:p>
      <w:pPr>
        <w:ind w:left="720" w:hanging="720"/>
        <w:jc w:val="both"/>
        <w:spacing w:line="240" w:lineRule="auto" w:after="0" w:before="0"/>
      </w:pPr>
      <w:r>
        <w:rPr>
          <w:rFonts w:ascii="Times New Roman" w:hAnsi="Times New Roman" w:cs="Times New Roman"/>
          <w:sz w:val="24"/>
          <w:szCs w:val="24"/>
        </w:rPr>
        <w:t xml:space="preserve">George, S., &amp; Sumathy, S. (2023). An enhanced principal component analysis for dimensionality reduction in educational data mining. International Journal of Intelligent Systems and Applications in Engineering, 11(3), 245-256.</w:t>
      </w:r>
    </w:p>
    <w:p>
      <w:pPr>
        <w:ind w:left="720" w:hanging="720"/>
        <w:jc w:val="both"/>
        <w:spacing w:line="240" w:lineRule="auto" w:after="0" w:before="0"/>
      </w:pPr>
      <w:r>
        <w:rPr>
          <w:rFonts w:ascii="Times New Roman" w:hAnsi="Times New Roman" w:cs="Times New Roman"/>
          <w:sz w:val="24"/>
          <w:szCs w:val="24"/>
        </w:rPr>
        <w:t xml:space="preserve">Grattafiori, A., Dubey, A., Jauhri, A., Pandey, A., Kadian, A., Al-Dahle, A., ... &amp; Meta AI. (2024). The Llama 3 herd of models. arXiv preprint arXiv:2407.21783.</w:t>
      </w:r>
    </w:p>
    <w:p>
      <w:pPr>
        <w:ind w:left="720" w:hanging="720"/>
        <w:jc w:val="both"/>
        <w:spacing w:line="240" w:lineRule="auto" w:after="0" w:before="0"/>
      </w:pPr>
      <w:r>
        <w:rPr>
          <w:rFonts w:ascii="Times New Roman" w:hAnsi="Times New Roman" w:cs="Times New Roman"/>
          <w:sz w:val="24"/>
          <w:szCs w:val="24"/>
        </w:rPr>
        <w:t xml:space="preserve">Hubert, L., &amp; Arabie, P. (1985). Comparing partitions. Journal of Classification, 2(1), 193-218. https://doi.org/10.1007/BF01908075</w:t>
      </w:r>
    </w:p>
    <w:p>
      <w:pPr>
        <w:ind w:left="720" w:hanging="720"/>
        <w:jc w:val="both"/>
        <w:spacing w:line="240" w:lineRule="auto" w:after="0" w:before="0"/>
      </w:pPr>
      <w:r>
        <w:rPr>
          <w:rFonts w:ascii="Times New Roman" w:hAnsi="Times New Roman" w:cs="Times New Roman"/>
          <w:sz w:val="24"/>
          <w:szCs w:val="24"/>
        </w:rPr>
        <w:t xml:space="preserve">Imaduddin, M., Rahman, A., &amp; Sulistyo, B. (2023). Penerapan data mining untuk segmentasi mahasiswa baru berdasarkan karakteristik akademik dan demografis. Jurnal Nasional Teknik Elektro dan Teknologi Informasi, 12(3), 198-207.</w:t>
      </w:r>
    </w:p>
    <w:p>
      <w:pPr>
        <w:ind w:left="720" w:hanging="720"/>
        <w:jc w:val="both"/>
        <w:spacing w:line="240" w:lineRule="auto" w:after="0" w:before="0"/>
      </w:pPr>
      <w:r>
        <w:rPr>
          <w:rFonts w:ascii="Times New Roman" w:hAnsi="Times New Roman" w:cs="Times New Roman"/>
          <w:sz w:val="24"/>
          <w:szCs w:val="24"/>
        </w:rPr>
        <w:t xml:space="preserve">Jolliffe, I. T., &amp; Cadima, J. (2016). Principal component analysis: A review and recent developments. Philosophical Transactions of the Royal Society A, 374(2065), 20150202. https://doi.org/10.1098/rsta.2015.0202</w:t>
      </w:r>
    </w:p>
    <w:p>
      <w:pPr>
        <w:ind w:left="720" w:hanging="720"/>
        <w:jc w:val="both"/>
        <w:spacing w:line="240" w:lineRule="auto" w:after="0" w:before="0"/>
      </w:pPr>
      <w:r>
        <w:rPr>
          <w:rFonts w:ascii="Times New Roman" w:hAnsi="Times New Roman" w:cs="Times New Roman"/>
          <w:sz w:val="24"/>
          <w:szCs w:val="24"/>
        </w:rPr>
        <w:t xml:space="preserve">Kotler, P., &amp; Keller, K. L. (2016). Marketing management (15th ed.). Pearson Education.</w:t>
      </w:r>
    </w:p>
    <w:p>
      <w:pPr>
        <w:ind w:left="720" w:hanging="720"/>
        <w:jc w:val="both"/>
        <w:spacing w:line="240" w:lineRule="auto" w:after="0" w:before="0"/>
      </w:pPr>
      <w:r>
        <w:rPr>
          <w:rFonts w:ascii="Times New Roman" w:hAnsi="Times New Roman" w:cs="Times New Roman"/>
          <w:sz w:val="24"/>
          <w:szCs w:val="24"/>
        </w:rPr>
        <w:t xml:space="preserve">Koto, F., Rahimi, A., Lau, J. H., &amp; Baldwin, T. (2020). IndoLEM and IndoBERT: A benchmark dataset and pre-trained language model for Indonesian NLP. Proceedings of the 28th COLING, 757-770. https://doi.org/10.18653/v1/2020.coling-main.66</w:t>
      </w:r>
    </w:p>
    <w:p>
      <w:pPr>
        <w:ind w:left="720" w:hanging="720"/>
        <w:spacing w:line="240" w:lineRule="auto" w:after="0" w:before="0"/>
      </w:pPr>
      <w:r>
        <w:rPr>
          <w:rFonts w:ascii="Times New Roman" w:hAnsi="Times New Roman" w:cs="Times New Roman"/>
          <w:sz w:val="24"/>
          <w:szCs w:val="24"/>
        </w:rPr>
        <w:t xml:space="preserve">LAMPIRAN</w:t>
      </w:r>
    </w:p>
    <w:p>
      <w:pPr>
        <w:ind w:left="720" w:hanging="720"/>
        <w:jc w:val="both"/>
        <w:spacing w:line="240" w:lineRule="auto" w:after="0" w:before="0"/>
      </w:pPr>
      <w:r>
        <w:rPr>
          <w:rFonts w:ascii="Times New Roman" w:hAnsi="Times New Roman" w:cs="Times New Roman"/>
          <w:sz w:val="24"/>
          <w:szCs w:val="24"/>
        </w:rPr>
        <w:t xml:space="preserve">Lampiran 1 – Kumpulan Kode Pemrograman Python</w:t>
      </w:r>
    </w:p>
    <w:p>
      <w:pPr>
        <w:ind w:left="720" w:hanging="720"/>
        <w:jc w:val="both"/>
        <w:spacing w:line="240" w:lineRule="auto" w:after="0" w:before="0"/>
      </w:pPr>
      <w:r>
        <w:rPr>
          <w:rFonts w:ascii="Times New Roman" w:hAnsi="Times New Roman" w:cs="Times New Roman"/>
          <w:sz w:val="24"/>
          <w:szCs w:val="24"/>
        </w:rPr>
        <w:t xml:space="preserve">Mariscal, G., Marbán, Ó., &amp; Fernández, C. (2010). A survey of data mining and knowledge discovery process models and methodologies. The Knowledge Engineering Review, 25(2), 137-166. https://doi.org/10.1017/S0269888910000032</w:t>
      </w:r>
    </w:p>
    <w:p>
      <w:pPr>
        <w:ind w:left="720" w:hanging="720"/>
        <w:jc w:val="both"/>
        <w:spacing w:line="240" w:lineRule="auto" w:after="0" w:before="0"/>
      </w:pPr>
      <w:r>
        <w:rPr>
          <w:rFonts w:ascii="Times New Roman" w:hAnsi="Times New Roman" w:cs="Times New Roman"/>
          <w:sz w:val="24"/>
          <w:szCs w:val="24"/>
        </w:rPr>
        <w:t xml:space="preserve">Meta AI. (2024). Introducing Llama 3.1: Our most capable models yet. Meta AI Blog. https://ai.meta.com/blog/meta-llama-3-1/</w:t>
      </w:r>
    </w:p>
    <w:p>
      <w:pPr>
        <w:ind w:left="720" w:hanging="720"/>
        <w:jc w:val="both"/>
        <w:spacing w:line="240" w:lineRule="auto" w:after="0" w:before="0"/>
      </w:pPr>
      <w:r>
        <w:rPr>
          <w:rFonts w:ascii="Times New Roman" w:hAnsi="Times New Roman" w:cs="Times New Roman"/>
          <w:sz w:val="24"/>
          <w:szCs w:val="24"/>
        </w:rPr>
        <w:t xml:space="preserve">Pedregosa, F., Varoquaux, G., Gramfort, A., Michel, V., Thirion, B., Grisel, O., ... &amp; Duchesnay, É. (2011). Scikit-learn: Machine learning in Python. Journal of Machine Learning Research, 12, 2825-2830.</w:t>
      </w:r>
    </w:p>
    <w:p>
      <w:pPr>
        <w:ind w:left="720" w:hanging="720"/>
        <w:jc w:val="both"/>
        <w:spacing w:line="240" w:lineRule="auto" w:after="0" w:before="0"/>
      </w:pPr>
      <w:r>
        <w:rPr>
          <w:rFonts w:ascii="Times New Roman" w:hAnsi="Times New Roman" w:cs="Times New Roman"/>
          <w:sz w:val="24"/>
          <w:szCs w:val="24"/>
        </w:rPr>
        <w:t xml:space="preserve">Reimers, N., &amp; Gurevych, I. (2019). Sentence-BERT: Sentence embeddings using Siamese BERT-networks. Proceedings of EMNLP-IJCNLP, 3982-3992. https://doi.org/10.18653/v1/D19-1410</w:t>
      </w:r>
    </w:p>
    <w:p>
      <w:pPr>
        <w:ind w:left="720" w:hanging="720"/>
        <w:jc w:val="both"/>
        <w:spacing w:line="240" w:lineRule="auto" w:after="0" w:before="0"/>
      </w:pPr>
      <w:r>
        <w:rPr>
          <w:rFonts w:ascii="Times New Roman" w:hAnsi="Times New Roman" w:cs="Times New Roman"/>
          <w:sz w:val="24"/>
          <w:szCs w:val="24"/>
        </w:rPr>
        <w:t xml:space="preserve">El Said, G. R. (2021). How did the COVID-19 pandemic affect higher education and the future of learning? Journal of Education and Learning, 10(6), 52-63.</w:t>
      </w:r>
    </w:p>
    <w:p>
      <w:pPr>
        <w:ind w:left="720" w:hanging="720"/>
        <w:jc w:val="both"/>
        <w:spacing w:line="240" w:lineRule="auto" w:after="0" w:before="0"/>
      </w:pPr>
      <w:r>
        <w:rPr>
          <w:rFonts w:ascii="Times New Roman" w:hAnsi="Times New Roman" w:cs="Times New Roman"/>
          <w:sz w:val="24"/>
          <w:szCs w:val="24"/>
        </w:rPr>
        <w:t xml:space="preserve">Scrucca, L., Fraley, C., Murphy, T. B., &amp; Raftery, A. E. (2024). Model-based clustering. In Handbook of cluster analysis. CRC Press.</w:t>
      </w:r>
    </w:p>
    <w:p>
      <w:pPr>
        <w:ind w:left="720" w:hanging="720"/>
        <w:jc w:val="both"/>
        <w:spacing w:line="240" w:lineRule="auto" w:after="0" w:before="0"/>
      </w:pPr>
      <w:r>
        <w:rPr>
          <w:rFonts w:ascii="Times New Roman" w:hAnsi="Times New Roman" w:cs="Times New Roman"/>
          <w:sz w:val="24"/>
          <w:szCs w:val="24"/>
        </w:rPr>
        <w:t xml:space="preserve">Subakti, L., Murfi, H., &amp; Hariadi, N. (2022). The performance of BERT as data representation of text clustering. Journal of Big Data, 9(1), 15. https://doi.org/10.1186/s40537-022-00564-9</w:t>
      </w:r>
    </w:p>
    <w:p>
      <w:pPr>
        <w:ind w:left="720" w:hanging="720"/>
        <w:jc w:val="both"/>
        <w:spacing w:line="240" w:lineRule="auto" w:after="0" w:before="0"/>
      </w:pPr>
      <w:r>
        <w:rPr>
          <w:rFonts w:ascii="Times New Roman" w:hAnsi="Times New Roman" w:cs="Times New Roman"/>
          <w:sz w:val="24"/>
          <w:szCs w:val="24"/>
        </w:rPr>
        <w:t xml:space="preserve">Wei, J., Wang, X., Schuurmans, D., Bosma, M., Ichter, B., Xia, F., ... &amp; Zhou, D. (2022). Chain-of-thought prompting elicits reasoning in large language models. Advances in Neural Information Processing Systems, 35, 24824-24837.</w:t>
      </w:r>
    </w:p>
    <w:sectPr>
      <w:pgSz w:w="11906" w:h="16838"/>
      <w:pgMar w:top="2268" w:bottom="1701" w:left="2268" w:right="1701"/>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A30E9" w:rsidRDefault="000A30E9">
      <w:r>
        <w:separator/>
      </w:r>
    </w:p>
  </w:endnote>
  <w:endnote w:type="continuationSeparator" w:id="0">
    <w:p w:rsidR="000A30E9" w:rsidRDefault="000A30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97276" w:rsidRDefault="00097276">
    <w:pPr>
      <w:jc w:val="right"/>
    </w:pPr>
    <w:r>
      <w:fldChar w:fldCharType="begin"/>
    </w:r>
    <w:r>
      <w:instrText xml:space="preserve"> PAGE </w:instrText>
    </w:r>
    <w:r>
      <w:fldChar w:fldCharType="separate"/>
    </w:r>
    <w:r>
      <w:rPr>
        <w:noProof/>
      </w:rPr>
      <w:t>33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A30E9" w:rsidRDefault="000A30E9">
      <w:r>
        <w:separator/>
      </w:r>
    </w:p>
  </w:footnote>
  <w:footnote w:type="continuationSeparator" w:id="0">
    <w:p w:rsidR="000A30E9" w:rsidRDefault="000A30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97276" w:rsidRDefault="000972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3"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4"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lvlOverride w:ilvl="0">
      <w:startOverride w:val="1"/>
    </w:lvlOverride>
  </w:num>
  <w:num w:numId="2">
    <w:abstractNumId w:val="3"/>
    <w:lvlOverride w:ilvl="0">
      <w:startOverride w:val="1"/>
    </w:lvlOverride>
  </w:num>
  <w:num w:numId="3">
    <w:abstractNumId w:val="3"/>
  </w:num>
  <w:num w:numId="4">
    <w:abstractNumId w:val="1"/>
  </w:num>
  <w:num w:numId="5">
    <w:abstractNumId w:val="0"/>
    <w:lvlOverride w:ilvl="0">
      <w:startOverride w:val="1"/>
    </w:lvlOverride>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97276"/>
    <w:rsid w:val="000A30E9"/>
    <w:rsid w:val="000B0F7E"/>
    <w:rsid w:val="000C4B15"/>
    <w:rsid w:val="000D6197"/>
    <w:rsid w:val="00121920"/>
    <w:rsid w:val="00192854"/>
    <w:rsid w:val="0019546D"/>
    <w:rsid w:val="00196C0B"/>
    <w:rsid w:val="001A4F6B"/>
    <w:rsid w:val="00226E1A"/>
    <w:rsid w:val="002316A4"/>
    <w:rsid w:val="0026550A"/>
    <w:rsid w:val="00274CDA"/>
    <w:rsid w:val="00315A07"/>
    <w:rsid w:val="003D08B5"/>
    <w:rsid w:val="003F0C54"/>
    <w:rsid w:val="003F1F4A"/>
    <w:rsid w:val="00426B86"/>
    <w:rsid w:val="0044241A"/>
    <w:rsid w:val="00462B9A"/>
    <w:rsid w:val="00480FB2"/>
    <w:rsid w:val="004A02B3"/>
    <w:rsid w:val="004E0BC6"/>
    <w:rsid w:val="00552A36"/>
    <w:rsid w:val="00557DA6"/>
    <w:rsid w:val="00573E20"/>
    <w:rsid w:val="005E222F"/>
    <w:rsid w:val="00602385"/>
    <w:rsid w:val="006B4AE2"/>
    <w:rsid w:val="006E7C70"/>
    <w:rsid w:val="00707891"/>
    <w:rsid w:val="007348B4"/>
    <w:rsid w:val="00754D38"/>
    <w:rsid w:val="00762C37"/>
    <w:rsid w:val="007A5F01"/>
    <w:rsid w:val="007C1716"/>
    <w:rsid w:val="00864E21"/>
    <w:rsid w:val="008863D0"/>
    <w:rsid w:val="00894082"/>
    <w:rsid w:val="00953938"/>
    <w:rsid w:val="00971323"/>
    <w:rsid w:val="009745A5"/>
    <w:rsid w:val="0098562B"/>
    <w:rsid w:val="009E353C"/>
    <w:rsid w:val="009F1929"/>
    <w:rsid w:val="00A00A9C"/>
    <w:rsid w:val="00A01755"/>
    <w:rsid w:val="00A26624"/>
    <w:rsid w:val="00A54201"/>
    <w:rsid w:val="00A61404"/>
    <w:rsid w:val="00A8652C"/>
    <w:rsid w:val="00A90E84"/>
    <w:rsid w:val="00A9372B"/>
    <w:rsid w:val="00B113D6"/>
    <w:rsid w:val="00B17507"/>
    <w:rsid w:val="00B22584"/>
    <w:rsid w:val="00B30C86"/>
    <w:rsid w:val="00B826CA"/>
    <w:rsid w:val="00B8469E"/>
    <w:rsid w:val="00B91BDE"/>
    <w:rsid w:val="00BA594A"/>
    <w:rsid w:val="00BC38AE"/>
    <w:rsid w:val="00BF735A"/>
    <w:rsid w:val="00C02299"/>
    <w:rsid w:val="00C048A1"/>
    <w:rsid w:val="00C25893"/>
    <w:rsid w:val="00C56195"/>
    <w:rsid w:val="00C6412F"/>
    <w:rsid w:val="00C80049"/>
    <w:rsid w:val="00CD6E2D"/>
    <w:rsid w:val="00D07E87"/>
    <w:rsid w:val="00D118B1"/>
    <w:rsid w:val="00D634D5"/>
    <w:rsid w:val="00DC6AE6"/>
    <w:rsid w:val="00E6202F"/>
    <w:rsid w:val="00E655B6"/>
    <w:rsid w:val="00E7398D"/>
    <w:rsid w:val="00E7788F"/>
    <w:rsid w:val="00EB55A7"/>
    <w:rsid w:val="00EE1873"/>
    <w:rsid w:val="00EE2722"/>
    <w:rsid w:val="00F2473C"/>
    <w:rsid w:val="00F24A86"/>
    <w:rsid w:val="00F3116C"/>
    <w:rsid w:val="00FB4563"/>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docId w15:val="{9F0DB982-0FF9-AC47-8D5B-5F848E75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1519D7"/>
    <w:rsid w:val="0029167E"/>
    <w:rsid w:val="0034215E"/>
    <w:rsid w:val="00391915"/>
    <w:rsid w:val="00455AD9"/>
    <w:rsid w:val="004E6847"/>
    <w:rsid w:val="00532588"/>
    <w:rsid w:val="00551650"/>
    <w:rsid w:val="0069447F"/>
    <w:rsid w:val="006F42A4"/>
    <w:rsid w:val="008F427A"/>
    <w:rsid w:val="00A67137"/>
    <w:rsid w:val="00B90C65"/>
    <w:rsid w:val="00C3540A"/>
    <w:rsid w:val="00D62A9F"/>
    <w:rsid w:val="00D80DA4"/>
    <w:rsid w:val="00EE33E2"/>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9195398393"/>
    <we:property name="MENDELEY_CITATIONS" value="[{&quot;citationID&quot;:&quot;MENDELEY_CITATION_03ed4be0-4547-41c7-abea-8791d7eb69fe&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9cc5498c-67a3-4d0d-b957-dae4be4731e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af9917a6-9b42-402f-9535-bf463cdc4c54&quot;,&quot;properties&quot;:{&quot;noteIndex&quot;:0},&quot;isEdited&quot;:false,&quot;manualOverride&quot;:{&quot;isManuallyOverridden&quot;:true,&quot;citeprocText&quot;:&quot;(El Said 2021a)&quot;,&quot;manualOverrideText&quot;:&quot;(El Said, 2021)&quot;},&quot;citationTag&quot;:&quot;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quot;,&quot;citationItems&quot;:[{&quot;id&quot;:&quot;93e62e0c-5260-390c-a680-45700afff26d&quot;,&quot;itemData&quot;:{&quot;type&quot;:&quot;article-journal&quot;,&quot;id&quot;:&quot;93e62e0c-5260-390c-a680-45700afff26d&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47a1d78e-680e-4eb8-8f95-dff38753a3bf&quot;,&quot;properties&quot;:{&quot;noteIndex&quot;:0},&quot;isEdited&quot;:false,&quot;manualOverride&quot;:{&quot;isManuallyOverridden&quot;:false,&quot;citeprocText&quot;:&quot;(Cahyadi et al. 2022)&quot;,&quot;manualOverrideText&quot;:&quot;&quot;},&quot;citationTag&quot;:&quot;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37ca7035-0435-44e2-802a-2569f77be291&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MzdjYTcwMzUtMDQzNS00NGUyLTgwMmEtMjU2OWY3N2JlMjkx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false,&quot;citeprocText&quot;:&quot;(Cristóbal Romero 2000)&quot;,&quot;manualOverrideText&quot;:&quot;&quot;},&quot;citationTag&quot;:&quot;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false,&quot;citeprocText&quot;:&quot;(Devlin et al. n.d.)&quot;,&quot;manualOverrideText&quot;:&quot;&quot;},&quot;citationTag&quot;:&quot;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3)&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0d3e6826-4141-4140-a639-afd9cd447657&quot;,&quot;properties&quot;:{&quot;noteIndex&quot;:0},&quot;isEdited&quot;:false,&quot;manualOverride&quot;:{&quot;isManuallyOverridden&quot;:true,&quot;citeprocText&quot;:&quot;(Aristovnik et al. 2021; Purcell and Lumbreras 2021)&quot;,&quot;manualOverrideText&quot;:&quot;(Aristovnik et al. 2021)&quot;},&quot;citationTag&quot;:&quot;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b64ee0a7-9d40-43ee-a5d6-e8d7b6e67c79&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2c5b27c6-db79-464c-bee2-8556beaa7cb9&quot;,&quot;properties&quot;:{&quot;noteIndex&quot;:0},&quot;isEdited&quot;:false,&quot;manualOverride&quot;:{&quot;isManuallyOverridden&quot;:true,&quot;citeprocText&quot;:&quot;(El Said 2021b)&quot;,&quot;manualOverrideText&quot;:&quot;El Said (2021)&quot;},&quot;citationTag&quot;:&quot;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84c3de7a-a560-4252-aa7a-faf905246c38&quot;,&quot;properties&quot;:{&quot;noteIndex&quot;:0},&quot;isEdited&quot;:false,&quot;manualOverride&quot;:{&quot;isManuallyOverridden&quot;:true,&quot;citeprocText&quot;:&quot;(Cahyadi et al. 2022)&quot;,&quot;manualOverrideText&quot;:&quot;Cahyadi et al. (2022)&quot;},&quot;citationTag&quot;:&quot;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c043b2e-1698-4ad4-a2ae-89b64377485c&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WMwNDNiMmUtMTY5OC00YWQ0LWEyYWUtODliNjQzNzc0ODVj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b22c4413-a5c4-42b6-8888-7bab99c8cba3&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jIyYzQ0MTMtYTVjNC00MmI2LTg4ODgtN2JhYjk5YzhjYmEz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9b26a4d0-51d8-4791-9f39-6cf2395e1b6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346f00c1-13a9-49ed-8cd3-3a0275ecc848&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zQ2ZjAwYzEtMTNhOS00OWVkLThjZDMtM2EwMjc1ZWNjODQ4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1d5ef0eb-0875-49a2-b4c6-bdfa3456b42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MWQ1ZWYwZWItMDg3NS00OWEyLWI0YzYtYmRmYTM0NTZiNDI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08ee0089-914c-4663-855b-505f6bcb9a36&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DhlZTAwODktOTE0Yy00NjYzLTg1NWItNTA1ZjZiY2I5YTM2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0eccfa9b-24f0-4f60-9d5b-0d443eedece8&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MGVjY2ZhOWItMjRmMC00ZjYwLTlkNWItMGQ0NDNlZWRlY2U4IiwicHJvcGVydGllcyI6eyJub3RlSW5kZXgiOjB9LCJpc0VkaXRlZCI6ZmFsc2UsIm1hbnVhbE92ZXJyaWRlIjp7ImlzTWFudWFsbHlPdmVycmlkZGVuIjp0cnVlLCJjaXRlcHJvY1RleHQiOiIoUmVpbWVycyBhbmQgR3VyZXZ5Y2ggbi5kLikiLCJtYW51YWxPdmVycmlkZVRleHQiOiIoUmVpbWVycyBhbmQgR3VyZXZ5Y2gg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b22637fa-ebce-4389-814f-5dbcf11eb0e7&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YjIyNjM3ZmEtZWJjZS00Mzg5LTgxNGYtNWRiY2YxMWViMGU3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455ae859-7e19-4da4-8446-2811379d84dc&quot;,&quot;properties&quot;:{&quot;noteIndex&quot;:0},&quot;isEdited&quot;:false,&quot;manualOverride&quot;:{&quot;isManuallyOverridden&quot;:false,&quot;citeprocText&quot;:&quot;(El Said 2021b)&quot;,&quot;manualOverrideText&quot;:&quot;&quot;},&quot;citationTag&quot;:&quot;MENDELEY_CITATION_v3_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&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0c3d9523-0c4b-454c-ac1b-f63a0feae434&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GMzZDk1MjMtMGM0Yi00NTRjLWFjMWItZjYzYTBmZWFlNDM0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false,&quot;citeprocText&quot;:&quot;(Parker et al. 2025b)&quot;,&quot;manualOverrideText&quot;:&quot;&quot;},&quot;citationTag&quot;:&quot;MENDELEY_CITATION_v3_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&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14A581-5723-B04F-9DCD-AD32BAB9A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79</Pages>
  <Words>15708</Words>
  <Characters>89542</Characters>
  <Application>Microsoft Office Word</Application>
  <DocSecurity>0</DocSecurity>
  <Lines>746</Lines>
  <Paragraphs>210</Paragraphs>
  <ScaleCrop>false</ScaleCrop>
  <Company/>
  <LinksUpToDate>false</LinksUpToDate>
  <CharactersWithSpaces>105040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41</cp:revision>
  <dcterms:created xsi:type="dcterms:W3CDTF">2026-05-10T00:43:00Z</dcterms:created>
  <dcterms:modified xsi:type="dcterms:W3CDTF">2026-07-04T02:56:00Z</dcterms:modified>
</cp:coreProperties>
</file>