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192854" w:rsidP="00192854">
      <w:pPr>
        <w:jc w:val="center"/>
      </w:pPr>
      <w:r>
        <w:rPr>
          <w:noProof/>
        </w:rPr>
        <w:drawing>
          <wp:inline distT="0" distB="0" distL="0" distR="0" wp14:anchorId="511A91CF" wp14:editId="03588DC4">
            <wp:extent cx="1047750" cy="1047750"/>
            <wp:effectExtent l="0" t="0" r="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47750"/>
                    </a:xfrm>
                    <a:prstGeom prst="rect">
                      <a:avLst/>
                    </a:prstGeom>
                  </pic:spPr>
                </pic:pic>
              </a:graphicData>
            </a:graphic>
          </wp:inline>
        </w:drawing>
      </w: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31233</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2316A4" w:rsidRPr="00192854" w:rsidRDefault="00C02299" w:rsidP="00192854">
      <w:pPr>
        <w:jc w:val="center"/>
        <w:sectPr w:rsidR="002316A4" w:rsidRPr="00192854">
          <w:pgSz w:w="11906" w:h="16838"/>
          <w:pgMar w:top="2268" w:right="1701" w:bottom="1701" w:left="2268" w:header="720" w:footer="720" w:gutter="0"/>
          <w:cols w:space="720"/>
          <w:titlePg/>
        </w:sectPr>
      </w:pPr>
      <w:r w:rsidRPr="00192854">
        <w:t>2026</w:t>
      </w:r>
    </w:p>
    <w:p w:rsidR="006B4AE2" w:rsidRDefault="00C02299" w:rsidP="006B4AE2">
      <w:pPr>
        <w:pStyle w:val="Judul1"/>
        <w:pageBreakBefore/>
        <w:spacing w:line="480" w:lineRule="auto"/>
        <w:contextualSpacing/>
      </w:pPr>
      <w:r>
        <w:lastRenderedPageBreak/>
        <w:t xml:space="preserve">BAB I </w:t>
      </w:r>
    </w:p>
    <w:p w:rsidR="002316A4" w:rsidRDefault="00C02299" w:rsidP="006B4AE2">
      <w:pPr>
        <w:pStyle w:val="Judul1"/>
        <w:spacing w:line="480" w:lineRule="auto"/>
        <w:contextualSpacing/>
      </w:pPr>
      <w:r>
        <w:t>PENDAHULUAN</w:t>
      </w:r>
    </w:p>
    <w:p w:rsidR="002316A4" w:rsidRDefault="00C02299">
      <w:pPr>
        <w:pStyle w:val="Judul2"/>
        <w:spacing w:line="480" w:lineRule="auto"/>
      </w:pPr>
      <w:r>
        <w:t>1.1 Latar Belakang Masalah</w:t>
      </w:r>
    </w:p>
    <w:p w:rsidR="002316A4" w:rsidRDefault="00C02299">
      <w:pPr>
        <w:spacing w:after="160"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8863D0">
      <w:pPr>
        <w:spacing w:after="160" w:line="480" w:lineRule="auto"/>
        <w:ind w:firstLine="720"/>
        <w:jc w:val="both"/>
      </w:pPr>
      <w:sdt>
        <w:sdtPr>
          <w:rPr>
            <w:color w:val="000000"/>
            <w:lang w:val="en-US"/>
          </w:rPr>
          <w:tag w:val="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1319801227"/>
          <w:placeholder>
            <w:docPart w:val="DefaultPlaceholder_-1854013440"/>
          </w:placeholder>
        </w:sdtPr>
        <w:sdtEndPr/>
        <w:sdtContent>
          <w:r w:rsidR="00BA594A" w:rsidRPr="00BA594A">
            <w:rPr>
              <w:color w:val="000000"/>
              <w:lang w:val="en-US"/>
            </w:rPr>
            <w:t>(Aristovnik et al., 2021)</w:t>
          </w:r>
        </w:sdtContent>
      </w:sdt>
      <w:r w:rsidR="00C02299">
        <w:rPr>
          <w:color w:val="000000"/>
        </w:rPr>
        <w:t xml:space="preserve"> mendokumentasikan bahwa pandemi COVID19 secara fundamental mengubah kehidupan mahasiswa perguruan tinggi di seluruh dunia. </w:t>
      </w:r>
      <w:sdt>
        <w:sdtPr>
          <w:rPr>
            <w:color w:val="000000"/>
            <w:lang w:val="en-US"/>
          </w:rPr>
          <w:tag w:val="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
          <w:id w:val="411832049"/>
          <w:placeholder>
            <w:docPart w:val="DefaultPlaceholder_-1854013440"/>
          </w:placeholder>
        </w:sdtPr>
        <w:sdtEndPr/>
        <w:sdtContent>
          <w:r w:rsidR="00BA594A" w:rsidRPr="00BA594A">
            <w:rPr>
              <w:color w:val="000000"/>
              <w:lang w:val="en-US"/>
            </w:rPr>
            <w:t>(Purcell and Lumbreras 2021)</w:t>
          </w:r>
        </w:sdtContent>
      </w:sdt>
      <w:r w:rsidR="00C02299">
        <w:rPr>
          <w:color w:val="000000"/>
        </w:rPr>
        <w:t xml:space="preserve"> menunjukkan pandemi mengekspos fragilitas perguruan tinggi global. </w:t>
      </w:r>
      <w:sdt>
        <w:sdtPr>
          <w:rPr>
            <w:color w:val="000000"/>
            <w:lang w:val="en-US"/>
          </w:rPr>
          <w:tag w:val="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
          <w:id w:val="-1635778230"/>
          <w:placeholder>
            <w:docPart w:val="DefaultPlaceholder_-1854013440"/>
          </w:placeholder>
        </w:sdtPr>
        <w:sdtEndPr/>
        <w:sdtContent>
          <w:r w:rsidR="00BA594A" w:rsidRPr="00BA594A">
            <w:rPr>
              <w:color w:val="000000"/>
              <w:lang w:val="en-US"/>
            </w:rPr>
            <w:t>(El Said, 2021)</w:t>
          </w:r>
        </w:sdtContent>
      </w:sdt>
      <w:r w:rsidR="00C02299">
        <w:rPr>
          <w:i/>
          <w:color w:val="000000"/>
        </w:rPr>
        <w:t xml:space="preserve"> </w:t>
      </w:r>
      <w:r w:rsidR="00C02299" w:rsidRPr="003F1F4A">
        <w:rPr>
          <w:color w:val="000000"/>
        </w:rPr>
        <w:t xml:space="preserve">menemukan COVID19 membentuk ulang cara penyampaian pendidikan di negara berkembang secara struktural dan </w:t>
      </w:r>
      <w:r w:rsidR="00C02299" w:rsidRPr="003F1F4A">
        <w:rPr>
          <w:color w:val="000000"/>
        </w:rPr>
        <w:lastRenderedPageBreak/>
        <w:t>permanen. Di Indonesia</w:t>
      </w:r>
      <w:r w:rsidR="00C02299">
        <w:rPr>
          <w:i/>
          <w:color w:val="000000"/>
        </w:rPr>
        <w:t>,</w:t>
      </w:r>
      <w:r w:rsidR="00A26624">
        <w:rPr>
          <w:color w:val="000000"/>
          <w:lang w:val="en-US"/>
        </w:rPr>
        <w:t xml:space="preserve"> </w:t>
      </w:r>
      <w:sdt>
        <w:sdtPr>
          <w:rPr>
            <w:color w:val="000000"/>
            <w:lang w:val="en-US"/>
          </w:rPr>
          <w:tag w:val="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
          <w:id w:val="-181437073"/>
          <w:placeholder>
            <w:docPart w:val="DefaultPlaceholder_-1854013440"/>
          </w:placeholder>
        </w:sdtPr>
        <w:sdtEndPr/>
        <w:sdtContent>
          <w:r w:rsidR="00BA594A" w:rsidRPr="00BA594A">
            <w:rPr>
              <w:color w:val="000000"/>
              <w:lang w:val="en-US"/>
            </w:rPr>
            <w:t>(Cahyadi et al. 2022)</w:t>
          </w:r>
        </w:sdtContent>
      </w:sdt>
      <w:r w:rsidR="00C02299" w:rsidRPr="00A26624">
        <w:rPr>
          <w:color w:val="000000"/>
        </w:rPr>
        <w:t xml:space="preserve"> mengevaluasi implementasi emergency remote teaching dan mengidentifikasi kesenjangan kesiapan digital perguruan tinggi yang turut mengubah lanskap preferensi calon mahasiswa secara struktural.</w:t>
      </w:r>
      <w:r w:rsidR="00C02299">
        <w:rPr>
          <w:color w:val="000000"/>
        </w:rPr>
        <w:t xml:space="preserve"> Kondisi ini menggarisbawahi urgensi sistem analisis rekrutmen yang prediktif.</w:t>
      </w:r>
    </w:p>
    <w:p w:rsidR="002316A4" w:rsidRDefault="00C02299">
      <w:pPr>
        <w:spacing w:after="160"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
          <w:id w:val="-1198544059"/>
          <w:placeholder>
            <w:docPart w:val="DefaultPlaceholder_-1854013440"/>
          </w:placeholder>
        </w:sdtPr>
        <w:sdtEndPr/>
        <w:sdtContent>
          <w:r w:rsidR="00BA594A" w:rsidRPr="00BA594A">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EndPr/>
        <w:sdtContent>
          <w:r w:rsidR="00BA594A" w:rsidRPr="00BA594A">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EndPr/>
        <w:sdtContent>
          <w:r w:rsidR="00BA594A" w:rsidRPr="00BA594A">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2316A4" w:rsidRDefault="00C02299">
      <w:pPr>
        <w:spacing w:after="160" w:line="480" w:lineRule="auto"/>
        <w:ind w:firstLine="720"/>
        <w:jc w:val="both"/>
      </w:pPr>
      <w:r>
        <w:rPr>
          <w:color w:val="000000"/>
        </w:rPr>
        <w:t>Penelitian ini mengintegrasikan IndoBERT, GMM time series, dan otomasi analisis Large Language Model (</w:t>
      </w:r>
      <w:r>
        <w:rPr>
          <w:i/>
          <w:color w:val="000000"/>
        </w:rPr>
        <w:t>LLM</w:t>
      </w:r>
      <w:r>
        <w:rPr>
          <w:color w:val="000000"/>
        </w:rPr>
        <w:t xml:space="preserve">) berbasis Llama 3.2 3B </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EndPr/>
        <w:sdtContent>
          <w:r w:rsidR="00BA594A" w:rsidRPr="00BA594A">
            <w:rPr>
              <w:color w:val="000000"/>
            </w:rPr>
            <w:t>(Dubey et al., 2024)</w:t>
          </w:r>
        </w:sdtContent>
      </w:sdt>
      <w:r w:rsidR="00A54201">
        <w:rPr>
          <w:color w:val="000000"/>
          <w:lang w:val="en-US"/>
        </w:rPr>
        <w:t xml:space="preserve"> </w:t>
      </w:r>
      <w:r>
        <w:rPr>
          <w:color w:val="000000"/>
        </w:rPr>
        <w:t>yang dijalankan secara lokal menggunakan Ollama 0.1.0</w:t>
      </w:r>
      <w:r w:rsidR="003F1F4A">
        <w:rPr>
          <w:color w:val="000000"/>
          <w:lang w:val="en-US"/>
        </w:rPr>
        <w:t xml:space="preserve"> </w:t>
      </w:r>
      <w:r>
        <w:rPr>
          <w:color w:val="000000"/>
        </w:rPr>
        <w:t xml:space="preserve">dalam satu hybrid intelligence </w:t>
      </w:r>
      <w:r>
        <w:rPr>
          <w:i/>
          <w:color w:val="000000"/>
        </w:rPr>
        <w:t>pipeline</w:t>
      </w:r>
      <w:r>
        <w:rPr>
          <w:color w:val="000000"/>
        </w:rPr>
        <w:t xml:space="preserve"> yang belum pernah dilaporkan dalam literatur educational data mining Indonesia.</w:t>
      </w:r>
    </w:p>
    <w:p w:rsidR="00A9372B" w:rsidRDefault="00C02299" w:rsidP="00A9372B">
      <w:pPr>
        <w:spacing w:after="120"/>
        <w:contextualSpacing/>
        <w:jc w:val="center"/>
        <w:rPr>
          <w:b/>
          <w:bCs/>
          <w:color w:val="000000"/>
          <w:sz w:val="20"/>
          <w:szCs w:val="20"/>
        </w:rPr>
      </w:pPr>
      <w:r>
        <w:rPr>
          <w:b/>
          <w:sz w:val="20"/>
          <w:szCs w:val="20"/>
        </w:rPr>
        <w:t>Tabel 1.1 Analisis Kompetisi dan Positioning ITSNU Pekalongan Perspektif Temporal (2019–2024)</w:t>
      </w:r>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Model Pemasaran</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Kekuatan Merek</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Status Registrasi</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
          <w:iCs/>
          <w:color w:val="000000"/>
          <w:szCs w:val="20"/>
        </w:rPr>
        <w:t>Sumber: Hasil wawancara dan analisis dokumen Tim PMB ITSNU Pekalongan dan peneliti (2025)</w:t>
      </w:r>
    </w:p>
    <w:p w:rsidR="002316A4" w:rsidRDefault="00C02299">
      <w:pPr>
        <w:pStyle w:val="Judul2"/>
        <w:spacing w:line="480" w:lineRule="auto"/>
      </w:pPr>
      <w:r>
        <w:t>1.2 Rumusan Masalah</w:t>
      </w:r>
    </w:p>
    <w:p w:rsidR="002316A4" w:rsidRDefault="00C02299">
      <w:pPr>
        <w:spacing w:after="160" w:line="480" w:lineRule="auto"/>
        <w:ind w:firstLine="720"/>
        <w:jc w:val="both"/>
      </w:pPr>
      <w:r>
        <w:t>Berdasarkan latar belakang yang telah diuraikan, rumusan masalah dalam penelitian ini adalah sebagai berikut. Penelitian ini bertujuan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2316A4" w:rsidRDefault="00C02299">
      <w:pPr>
        <w:pStyle w:val="Judul2"/>
        <w:spacing w:line="480" w:lineRule="auto"/>
      </w:pPr>
      <w:r>
        <w:t>1.3 Batasan Masalah</w:t>
      </w:r>
    </w:p>
    <w:p w:rsidR="002316A4" w:rsidRDefault="00C02299">
      <w:pPr>
        <w:spacing w:after="160" w:line="480" w:lineRule="auto"/>
        <w:ind w:firstLine="720"/>
        <w:jc w:val="both"/>
      </w:pPr>
      <w:r>
        <w:lastRenderedPageBreak/>
        <w:t>Untuk memfokuskan penelitian, ditetapkan batasan masalah sebagai berikut. Data penelitian terbatas pada data sekunder calon mahasiswa ITSNU Pekalongan 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Model LLM yang digunakan adalah Llama 3.2 3B yang dijalankan secara lokal melalui Ollama 0.1.0. GMM diimplementasikan dengan Scikitlearn: covariance_type full, init_params k-means++, n_init 10, random_state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EksKaresidenan Pekalongan.</w:t>
      </w:r>
    </w:p>
    <w:p w:rsidR="002316A4" w:rsidRDefault="00C02299">
      <w:pPr>
        <w:pStyle w:val="Judul2"/>
        <w:spacing w:line="480" w:lineRule="auto"/>
      </w:pPr>
      <w:r>
        <w:t>1.4 Hipotesis Penelitian</w:t>
      </w:r>
    </w:p>
    <w:p w:rsidR="002316A4" w:rsidRDefault="00C02299">
      <w:pPr>
        <w:spacing w:after="160" w:line="480" w:lineRule="auto"/>
        <w:ind w:firstLine="720"/>
        <w:jc w:val="both"/>
      </w:pPr>
      <w:r>
        <w:t xml:space="preserve">Penelitian ini mengajukan tiga hipotesis yang diuji secara empiris. Hipotesis 1 (H1): ARI &lt; 0,30 pada transisi 2019→2020 sebagai indikator structural break yang dikonfirmasi secara empiris. Hipotesis 2 (H2): Cosine similarity rata-rata antar entitas identik &gt; 0,70 pada semua transisi, membuktikan stabilitas representasi IndoBERT. Hipotesis 3 (H3): GMM menghasilkan posterior probability yang </w:t>
      </w:r>
      <w:r>
        <w:lastRenderedPageBreak/>
        <w:t>mendukung otomasi LLM dan profil segmen yang lebih realistis dibandingkan K-Means untuk data pendaftar perguruan tinggi.</w:t>
      </w:r>
    </w:p>
    <w:p w:rsidR="002316A4" w:rsidRDefault="00C02299">
      <w:pPr>
        <w:pStyle w:val="Judul2"/>
        <w:spacing w:line="480" w:lineRule="auto"/>
      </w:pPr>
      <w:r>
        <w:t>1.5 Tujuan dan Manfaat Penelitian</w:t>
      </w:r>
    </w:p>
    <w:p w:rsidR="002316A4" w:rsidRDefault="00C02299">
      <w:pPr>
        <w:pStyle w:val="Judul3"/>
        <w:spacing w:line="480" w:lineRule="auto"/>
      </w:pPr>
      <w:r>
        <w:t>1.5.1 Tujuan Penelitian</w:t>
      </w:r>
    </w:p>
    <w:p w:rsidR="002316A4" w:rsidRDefault="00C02299">
      <w:pPr>
        <w:spacing w:after="160"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after="160" w:line="480" w:lineRule="auto"/>
        <w:ind w:firstLine="720"/>
        <w:jc w:val="both"/>
        <w:rPr>
          <w:color w:val="000000"/>
        </w:rPr>
      </w:pPr>
      <w:r>
        <w:t>Tujuan ketiga membangun sistem otomasi LLM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r>
        <w:t>1.5.2 Manfaat Penelitian</w:t>
      </w:r>
    </w:p>
    <w:p w:rsidR="002316A4" w:rsidRDefault="00C02299">
      <w:pPr>
        <w:spacing w:after="160" w:line="480" w:lineRule="auto"/>
        <w:ind w:firstLine="720"/>
        <w:jc w:val="both"/>
      </w:pPr>
      <w:r>
        <w:rPr>
          <w:bCs/>
          <w:color w:val="000000"/>
        </w:rPr>
        <w:t>Manfaat Teoretis.</w:t>
      </w:r>
      <w:r>
        <w:rPr>
          <w:color w:val="000000"/>
        </w:rPr>
        <w:t xml:space="preserve"> Kontribusi pada educational data mining dengan kerangka hybrid IndoBERT–GMM–</w:t>
      </w:r>
      <w:r>
        <w:rPr>
          <w:i/>
          <w:color w:val="000000"/>
        </w:rPr>
        <w:t>LLM</w:t>
      </w:r>
      <w:r>
        <w:rPr>
          <w:color w:val="000000"/>
        </w:rPr>
        <w:t xml:space="preserve"> untuk segmentasi temporal data pendidikan dominan tekstualkategorikal; kontribusi pada teori enrollment management dengan integrasi model probabilistik time series dalam kerangka STP.</w:t>
      </w:r>
    </w:p>
    <w:p w:rsidR="00DC6AE6" w:rsidRPr="00DC6AE6" w:rsidRDefault="00C02299" w:rsidP="00DC6AE6">
      <w:pPr>
        <w:spacing w:after="160" w:line="480" w:lineRule="auto"/>
        <w:ind w:firstLine="720"/>
        <w:jc w:val="both"/>
        <w:rPr>
          <w:i/>
          <w:color w:val="000000"/>
        </w:rPr>
      </w:pPr>
      <w:r>
        <w:rPr>
          <w:bCs/>
          <w:color w:val="000000"/>
        </w:rPr>
        <w:t>Manfaat Praktis.</w:t>
      </w:r>
      <w:r>
        <w:rPr>
          <w:i/>
          <w:color w:val="000000"/>
        </w:rPr>
        <w:t xml:space="preserve"> </w:t>
      </w:r>
      <w:r w:rsidRPr="00CD6E2D">
        <w:rPr>
          <w:i/>
          <w:color w:val="000000"/>
        </w:rPr>
        <w:t xml:space="preserve">Bagi ITSNU Pekalongan: sistem segmentasi otomatis tahunan, laporan naratif siap manajemen, peta prioritas segmen rekrutmen, dan </w:t>
      </w:r>
      <w:r w:rsidRPr="00CD6E2D">
        <w:rPr>
          <w:i/>
          <w:color w:val="000000"/>
        </w:rPr>
        <w:lastRenderedPageBreak/>
        <w:t>panduan personalisasi komunikasi per segmen berbasis data aktual</w:t>
      </w:r>
      <w:r>
        <w:rPr>
          <w:i/>
          <w:color w:val="000000"/>
        </w:rPr>
        <w:t>.</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r>
        <w:t>1.6 Metode Penelitian</w:t>
      </w:r>
    </w:p>
    <w:p w:rsidR="002316A4" w:rsidRPr="00D07E87" w:rsidRDefault="00C02299">
      <w:pPr>
        <w:spacing w:after="160"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EndPr/>
        <w:sdtContent>
          <w:r w:rsidR="00BA594A" w:rsidRPr="00D07E87">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r>
        <w:t>1.7 Sistematika Penulisan</w:t>
      </w:r>
    </w:p>
    <w:p w:rsidR="002316A4" w:rsidRDefault="00C02299">
      <w:pPr>
        <w:spacing w:after="160"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6B4AE2" w:rsidRDefault="00C02299" w:rsidP="006B4AE2">
      <w:pPr>
        <w:pStyle w:val="Judul1"/>
        <w:pageBreakBefore/>
        <w:spacing w:line="480" w:lineRule="auto"/>
        <w:contextualSpacing/>
      </w:pPr>
      <w:r>
        <w:lastRenderedPageBreak/>
        <w:t xml:space="preserve">BAB II </w:t>
      </w:r>
    </w:p>
    <w:p w:rsidR="002316A4" w:rsidRDefault="00C02299" w:rsidP="006B4AE2">
      <w:pPr>
        <w:pStyle w:val="Judul1"/>
        <w:spacing w:line="480" w:lineRule="auto"/>
        <w:contextualSpacing/>
      </w:pPr>
      <w:r>
        <w:t>STUDI PUSTAKA</w:t>
      </w:r>
    </w:p>
    <w:p w:rsidR="002316A4" w:rsidRDefault="00C02299">
      <w:pPr>
        <w:pStyle w:val="Judul2"/>
        <w:spacing w:line="480" w:lineRule="auto"/>
      </w:pPr>
      <w:r>
        <w:t>2.1 Enrollment Management dan Strategi Rekrutmen Perguruan Tinggi</w:t>
      </w:r>
    </w:p>
    <w:p w:rsidR="002316A4" w:rsidRDefault="00C02299">
      <w:pPr>
        <w:spacing w:after="160"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EndPr/>
        <w:sdtContent>
          <w:r w:rsidR="00BA594A" w:rsidRPr="00BA594A">
            <w:rPr>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EndPr/>
        <w:sdtContent>
          <w:r w:rsidR="00BA594A" w:rsidRPr="00BA594A">
            <w:rPr>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w:t>
      </w:r>
      <w:r>
        <w:rPr>
          <w:i/>
          <w:color w:val="000000"/>
        </w:rPr>
        <w:t>LLM</w:t>
      </w:r>
      <w:r>
        <w:rPr>
          <w:color w:val="000000"/>
        </w:rPr>
        <w:t xml:space="preserve"> mendukung positioning melalui personalisasi komunikasi.</w:t>
      </w:r>
    </w:p>
    <w:p w:rsidR="002316A4" w:rsidRDefault="008863D0">
      <w:pPr>
        <w:spacing w:after="160"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EndPr/>
        <w:sdtContent>
          <w:r w:rsidR="00BA594A" w:rsidRPr="00BA594A">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EndPr/>
        <w:sdtContent>
          <w:r w:rsidR="00BA594A" w:rsidRPr="00BA594A">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pPr>
      <w:r>
        <w:lastRenderedPageBreak/>
        <w:t>2.2 Segmentasi Pasar dalam Educational Data Mining</w:t>
      </w:r>
    </w:p>
    <w:p w:rsidR="002316A4" w:rsidRDefault="00C02299">
      <w:pPr>
        <w:spacing w:after="160"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
          <w:id w:val="-2137869843"/>
          <w:placeholder>
            <w:docPart w:val="DefaultPlaceholder_-1854013440"/>
          </w:placeholder>
        </w:sdtPr>
        <w:sdtEndPr/>
        <w:sdtContent>
          <w:r w:rsidR="00BA594A" w:rsidRPr="00BA594A">
            <w:rPr>
              <w:color w:val="000000"/>
              <w:lang w:val="en-US"/>
            </w:rPr>
            <w:t>(Cristóbal Romero 2000)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Pr="00A8652C" w:rsidRDefault="008863D0">
      <w:pPr>
        <w:spacing w:after="160" w:line="480" w:lineRule="auto"/>
        <w:ind w:firstLine="720"/>
        <w:jc w:val="both"/>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EndPr/>
        <w:sdtContent>
          <w:r w:rsidR="00BA594A" w:rsidRPr="00BA594A">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EndPr/>
        <w:sdtContent>
          <w:r w:rsidR="00BA594A" w:rsidRPr="00BA594A">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2316A4" w:rsidRDefault="00C02299">
      <w:pPr>
        <w:pStyle w:val="Judul2"/>
        <w:spacing w:line="480" w:lineRule="auto"/>
      </w:pPr>
      <w:r>
        <w:t>2.3 Gaussian Mixture Model dan Probabilistic Clustering</w:t>
      </w:r>
    </w:p>
    <w:p w:rsidR="002316A4" w:rsidRPr="00A8652C" w:rsidRDefault="00C02299">
      <w:pPr>
        <w:spacing w:after="160" w:line="480" w:lineRule="auto"/>
        <w:ind w:firstLine="720"/>
        <w:jc w:val="both"/>
      </w:pPr>
      <w:r>
        <w:rPr>
          <w:i/>
          <w:color w:val="000000"/>
        </w:rPr>
        <w:lastRenderedPageBreak/>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EndPr/>
        <w:sdtContent>
          <w:r w:rsidR="00BA594A" w:rsidRPr="00BA594A">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EndPr/>
        <w:sdtContent>
          <w:r w:rsidR="00BA594A" w:rsidRPr="00BA594A">
            <w:rPr>
              <w:i/>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 xml:space="preserve"> 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after="160"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 xml:space="preserve">Langkah E: </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after="160"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i/>
          <w:color w:val="000000"/>
        </w:rPr>
        <w:t>learn (Pedregosa et al., 2011).</w:t>
      </w:r>
    </w:p>
    <w:p w:rsidR="002316A4" w:rsidRDefault="00C02299">
      <w:pPr>
        <w:spacing w:after="160" w:line="480" w:lineRule="auto"/>
        <w:ind w:firstLine="720"/>
        <w:jc w:val="both"/>
      </w:pPr>
      <w:r>
        <w:rPr>
          <w:color w:val="000000"/>
        </w:rPr>
        <w:t>Penentuan jumlah komponen optimal K menggunakan kriteria informasi statistik:</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2316A4" w:rsidRDefault="00C02299">
      <w:pPr>
        <w:spacing w:after="160"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C02299" w:rsidRDefault="00C02299" w:rsidP="00C02299">
      <w:pPr>
        <w:spacing w:after="120"/>
        <w:contextualSpacing/>
        <w:jc w:val="center"/>
        <w:rPr>
          <w:b/>
          <w:bCs/>
          <w:color w:val="000000"/>
          <w:sz w:val="20"/>
          <w:szCs w:val="20"/>
        </w:rPr>
      </w:pPr>
      <w:r>
        <w:rPr>
          <w:b/>
          <w:sz w:val="20"/>
          <w:szCs w:val="20"/>
        </w:rPr>
        <w:t xml:space="preserve">Tabel 2.1 Perbandingan Karakteristik K-Means </w:t>
      </w:r>
      <w:r>
        <w:rPr>
          <w:b/>
          <w:i/>
          <w:sz w:val="20"/>
          <w:szCs w:val="20"/>
        </w:rPr>
        <w:t>Clustering</w:t>
      </w:r>
      <w:r>
        <w:rPr>
          <w:b/>
          <w:sz w:val="20"/>
          <w:szCs w:val="20"/>
        </w:rPr>
        <w:t xml:space="preserve"> dan </w:t>
      </w:r>
      <w:r>
        <w:rPr>
          <w:b/>
          <w:i/>
          <w:sz w:val="20"/>
          <w:szCs w:val="20"/>
        </w:rPr>
        <w:t>Gaussian Mixture</w:t>
      </w:r>
      <w:r>
        <w:rPr>
          <w:b/>
          <w:sz w:val="20"/>
          <w:szCs w:val="20"/>
        </w:rPr>
        <w:t xml:space="preserve"> Model</w:t>
      </w:r>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pPr>
      <w:r>
        <w:rPr>
          <w:i/>
          <w:iCs/>
          <w:color w:val="000000"/>
          <w:szCs w:val="20"/>
        </w:rPr>
        <w:t>Sumber: Adaptasi dari Scrucca et al. (2024) dan Pedregosa et al. (2011)</w:t>
      </w:r>
    </w:p>
    <w:p w:rsidR="002316A4" w:rsidRDefault="00C02299">
      <w:pPr>
        <w:pStyle w:val="Judul2"/>
        <w:spacing w:line="480" w:lineRule="auto"/>
      </w:pPr>
      <w:r>
        <w:t>2.4 Sistem Otomasi Analisis Berbasis Large Language Model</w:t>
      </w:r>
    </w:p>
    <w:p w:rsidR="002316A4" w:rsidRDefault="00C02299">
      <w:pPr>
        <w:pStyle w:val="Judul3"/>
        <w:spacing w:line="480" w:lineRule="auto"/>
      </w:pPr>
      <w:r>
        <w:t>2.4.1 Konseptualisasi Otomasi Analisis LLM</w:t>
      </w:r>
    </w:p>
    <w:p w:rsidR="002316A4" w:rsidRPr="005E222F" w:rsidRDefault="00C02299">
      <w:pPr>
        <w:spacing w:after="160" w:line="480" w:lineRule="auto"/>
        <w:ind w:firstLine="720"/>
        <w:jc w:val="both"/>
      </w:pPr>
      <w:r>
        <w:rPr>
          <w:color w:val="000000"/>
        </w:rPr>
        <w:t xml:space="preserve">Sistem otomasi analisis berbasis </w:t>
      </w:r>
      <w:r>
        <w:rPr>
          <w:i/>
          <w:color w:val="000000"/>
        </w:rPr>
        <w:t>LLM</w:t>
      </w:r>
      <w:r>
        <w:rPr>
          <w:color w:val="000000"/>
        </w:rPr>
        <w:t xml:space="preserve"> dalam penelitian ini merupakan konsep yang diperluas melampaui penggunaan </w:t>
      </w:r>
      <w:r>
        <w:rPr>
          <w:i/>
          <w:color w:val="000000"/>
        </w:rPr>
        <w:t>LLM</w:t>
      </w:r>
      <w:r>
        <w:rPr>
          <w:color w:val="000000"/>
        </w:rPr>
        <w:t xml:space="preserve"> konvensional sebagai chatbot. Sistem ini mengintegrasikan empat fungsi analitis dalam satu </w:t>
      </w:r>
      <w:r>
        <w:rPr>
          <w:i/>
          <w:color w:val="000000"/>
        </w:rPr>
        <w:t>pipeline</w:t>
      </w:r>
      <w:r>
        <w:rPr>
          <w:color w:val="000000"/>
        </w:rPr>
        <w:t xml:space="preserve"> otomatis: (A) </w:t>
      </w:r>
      <w:r>
        <w:rPr>
          <w:color w:val="000000"/>
        </w:rPr>
        <w:lastRenderedPageBreak/>
        <w:t xml:space="preserve">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EndPr/>
        <w:sdtContent>
          <w:r w:rsidR="00BA594A" w:rsidRPr="00BA594A">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8863D0">
      <w:pPr>
        <w:spacing w:after="160"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EndPr/>
        <w:sdtContent>
          <w:r w:rsidR="00762C37" w:rsidRPr="00762C37">
            <w:rPr>
              <w:color w:val="000000"/>
              <w:lang w:val="en-US"/>
            </w:rPr>
            <w:t>Parker et al. (2025)</w:t>
          </w:r>
        </w:sdtContent>
      </w:sdt>
      <w:r w:rsidR="00C02299" w:rsidRPr="005E222F">
        <w:rPr>
          <w:color w:val="000000"/>
        </w:rPr>
        <w:t xml:space="preserve"> dalam studi komprehensif menunjukkan bahwa </w:t>
      </w:r>
      <w:r w:rsidR="00C02299" w:rsidRPr="005E222F">
        <w:rPr>
          <w:i/>
          <w:color w:val="000000"/>
        </w:rPr>
        <w:t>LLM</w:t>
      </w:r>
      <w:r w:rsidR="00C02299" w:rsidRPr="005E222F">
        <w:rPr>
          <w:color w:val="000000"/>
        </w:rPr>
        <w:t xml:space="preserve">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w:t>
      </w:r>
      <w:r w:rsidR="00C02299" w:rsidRPr="005E222F">
        <w:rPr>
          <w:i/>
          <w:color w:val="000000"/>
        </w:rPr>
        <w:t>LLM</w:t>
      </w:r>
      <w:r w:rsidR="00C02299" w:rsidRPr="005E222F">
        <w:rPr>
          <w:color w:val="000000"/>
        </w:rPr>
        <w:t xml:space="preserve"> untuk tugas analisis yang membutuhkan penalaran bertahap.</w:t>
      </w:r>
    </w:p>
    <w:p w:rsidR="002316A4" w:rsidRDefault="00C02299">
      <w:pPr>
        <w:pStyle w:val="Judul3"/>
        <w:spacing w:line="480" w:lineRule="auto"/>
      </w:pPr>
      <w:r>
        <w:t>2.4.2 Arsitektur Transformer dan IndoBERT untuk Bahasa Indonesia</w:t>
      </w:r>
    </w:p>
    <w:p w:rsidR="002316A4" w:rsidRDefault="00C02299">
      <w:pPr>
        <w:spacing w:after="160"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EndPr/>
        <w:sdtContent>
          <w:r w:rsidR="00BA594A" w:rsidRPr="00BA594A">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
          <w:id w:val="-1008058549"/>
          <w:placeholder>
            <w:docPart w:val="DefaultPlaceholder_-1854013440"/>
          </w:placeholder>
        </w:sdtPr>
        <w:sdtEndPr/>
        <w:sdtContent>
          <w:r w:rsidR="00BA594A" w:rsidRPr="00BA594A">
            <w:rPr>
              <w:color w:val="000000"/>
              <w:lang w:val="en-US"/>
            </w:rPr>
            <w:t>(Devlin et al. n.d.)</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 xml:space="preserve">training: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2316A4" w:rsidRPr="005E222F" w:rsidRDefault="00C02299">
      <w:pPr>
        <w:spacing w:after="160" w:line="480" w:lineRule="auto"/>
        <w:ind w:firstLine="720"/>
        <w:jc w:val="both"/>
      </w:pPr>
      <w:r>
        <w:rPr>
          <w:color w:val="000000"/>
        </w:rPr>
        <w:lastRenderedPageBreak/>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EndPr/>
        <w:sdtContent>
          <w:r w:rsidR="00BA594A" w:rsidRPr="00BA594A">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C02299" w:rsidRDefault="00C02299" w:rsidP="00C02299">
      <w:pPr>
        <w:spacing w:after="120"/>
        <w:contextualSpacing/>
        <w:jc w:val="center"/>
        <w:rPr>
          <w:b/>
          <w:bCs/>
          <w:color w:val="000000"/>
          <w:sz w:val="20"/>
          <w:szCs w:val="20"/>
        </w:rPr>
      </w:pPr>
      <w:r>
        <w:rPr>
          <w:b/>
          <w:sz w:val="20"/>
          <w:szCs w:val="20"/>
        </w:rPr>
        <w:t>Tabel 2.2 Perbandingan Performa IndoBERT vs Model Bahasa Lain pada Tugas NLP Bahasa Indonesia</w:t>
      </w:r>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bl>
    <w:p w:rsidR="002316A4" w:rsidRDefault="00C02299" w:rsidP="005E222F">
      <w:pPr>
        <w:spacing w:after="120"/>
        <w:jc w:val="both"/>
      </w:pPr>
      <w:r>
        <w:rPr>
          <w:i/>
          <w:iCs/>
          <w:color w:val="000000"/>
          <w:szCs w:val="20"/>
        </w:rPr>
        <w:t>Sumber: Koto et al. (2020); Imaduddin et al. (2023); Ahmadian et al. (2024); Subakti et al. (2022)</w:t>
      </w:r>
    </w:p>
    <w:p w:rsidR="002316A4" w:rsidRDefault="008863D0">
      <w:pPr>
        <w:spacing w:after="160"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EndPr/>
        <w:sdtContent>
          <w:r w:rsidR="00BA594A" w:rsidRPr="00BA594A">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after="160" w:line="480" w:lineRule="auto"/>
        <w:ind w:firstLine="720"/>
        <w:jc w:val="both"/>
      </w:pPr>
      <w:r>
        <w:rPr>
          <w:color w:val="000000"/>
        </w:rPr>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EndPr/>
        <w:sdtContent>
          <w:r w:rsidR="00BA594A" w:rsidRPr="00BA594A">
            <w:rPr>
              <w:color w:val="000000"/>
              <w:lang w:val="en-US"/>
            </w:rPr>
            <w:t>Reimers and Gurevych (2019)</w:t>
          </w:r>
        </w:sdtContent>
      </w:sdt>
      <w:r>
        <w:rPr>
          <w:color w:val="000000"/>
        </w:rPr>
        <w:t xml:space="preserve"> </w:t>
      </w:r>
      <w:r>
        <w:rPr>
          <w:color w:val="000000"/>
        </w:rPr>
        <w:lastRenderedPageBreak/>
        <w:t xml:space="preserve">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pPr>
      <w:r>
        <w:t>2.4.3 Llama 3.2 sebagai Model LLM Lokal</w:t>
      </w:r>
    </w:p>
    <w:p w:rsidR="002316A4" w:rsidRPr="005E222F" w:rsidRDefault="00C02299">
      <w:pPr>
        <w:spacing w:after="160" w:line="480" w:lineRule="auto"/>
        <w:ind w:firstLine="720"/>
        <w:jc w:val="both"/>
      </w:pPr>
      <w:r w:rsidRPr="005E222F">
        <w:rPr>
          <w:color w:val="000000"/>
        </w:rPr>
        <w:t xml:space="preserve">Llama 3.2 </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EndPr/>
        <w:sdtContent>
          <w:r w:rsidR="00BA594A" w:rsidRPr="00BA594A">
            <w:rPr>
              <w:color w:val="000000"/>
              <w:lang w:val="en-US"/>
            </w:rPr>
            <w:t>Grattafiori et al. (2024)</w:t>
          </w:r>
        </w:sdtContent>
      </w:sdt>
      <w:r w:rsidRPr="005E222F">
        <w:rPr>
          <w:color w:val="000000"/>
        </w:rPr>
        <w:t xml:space="preserve"> merupakan model bahasa besar generasi terbaru dari keluarga Llama 3 yang dikembangkan Meta AI. Dalam penelitian ini digunakan varian Llama 3.2 3B model dengan 3,21 miliar parameter melalui runtime Ollama 0.1.0 yang memungkinkan inferensi lokal tanpa koneksi internet atau layanan cloud eksternal.</w:t>
      </w:r>
    </w:p>
    <w:p w:rsidR="006B4AE2" w:rsidRDefault="00C02299" w:rsidP="006B4AE2">
      <w:pPr>
        <w:spacing w:after="120"/>
        <w:contextualSpacing/>
        <w:jc w:val="center"/>
        <w:rPr>
          <w:b/>
          <w:bCs/>
          <w:color w:val="000000"/>
          <w:sz w:val="20"/>
          <w:szCs w:val="20"/>
        </w:rPr>
      </w:pPr>
      <w:r>
        <w:rPr>
          <w:b/>
          <w:sz w:val="20"/>
          <w:szCs w:val="20"/>
        </w:rPr>
        <w:t>Tabel 2.3 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Inferensi Lokal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
          <w:iCs/>
          <w:color w:val="000000"/>
          <w:szCs w:val="20"/>
        </w:rPr>
        <w:t>Sumber: Grattafiori et al. (2024); Meta AI (2024)</w:t>
      </w:r>
    </w:p>
    <w:p w:rsidR="002316A4" w:rsidRDefault="00C02299">
      <w:pPr>
        <w:spacing w:after="160" w:line="480" w:lineRule="auto"/>
        <w:ind w:firstLine="720"/>
        <w:jc w:val="both"/>
      </w:pPr>
      <w:r>
        <w:rPr>
          <w:color w:val="000000"/>
        </w:rPr>
        <w:t xml:space="preserve">Pemilihan Llama 3.2 3B dengan Ollama 0.1.0 dalam penelitian ini didasarkan pada tiga pertimbangan. Pertama, kerahasiaan data PMB: data </w:t>
      </w:r>
      <w:r>
        <w:rPr>
          <w:color w:val="000000"/>
        </w:rPr>
        <w:lastRenderedPageBreak/>
        <w:t xml:space="preserve">rekrutmen ITSNU Pekalongan merupakan data sensitif institusional yang tidak boleh dikirim ke server eksternal penggunaan </w:t>
      </w:r>
      <w:r>
        <w:rPr>
          <w:i/>
          <w:color w:val="000000"/>
        </w:rPr>
        <w:t>LLM</w:t>
      </w:r>
      <w:r>
        <w:rPr>
          <w:color w:val="000000"/>
        </w:rPr>
        <w:t xml:space="preserve"> lokal menjamin data tetap berada di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w:t>
      </w:r>
      <w:r>
        <w:rPr>
          <w:i/>
          <w:color w:val="000000"/>
        </w:rPr>
        <w:t>reasoning</w:t>
      </w:r>
      <w:r>
        <w:rPr>
          <w:color w:val="000000"/>
        </w:rPr>
        <w:t xml:space="preserve"> Llama 3.2 3B sudah memadai, meskipun untuk tugas </w:t>
      </w:r>
      <w:r>
        <w:rPr>
          <w:i/>
          <w:color w:val="000000"/>
        </w:rPr>
        <w:t>reasoning</w:t>
      </w:r>
      <w:r>
        <w:rPr>
          <w:color w:val="000000"/>
        </w:rPr>
        <w:t xml:space="preserve"> kausal yang lebih kompleks, varian lebih besar (8B atau 70B) akan memberikan hasil lebih akurat.</w:t>
      </w:r>
    </w:p>
    <w:p w:rsidR="002316A4" w:rsidRDefault="005E222F">
      <w:pPr>
        <w:spacing w:after="160"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EndPr/>
        <w:sdtContent>
          <w:r w:rsidR="00BA594A" w:rsidRPr="00BA594A">
            <w:rPr>
              <w:color w:val="000000"/>
              <w:lang w:val="en-US"/>
            </w:rPr>
            <w:t>Wei et al. (2023)</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w:t>
      </w:r>
      <w:r w:rsidR="00C02299">
        <w:rPr>
          <w:i/>
          <w:color w:val="000000"/>
        </w:rPr>
        <w:t>LLM</w:t>
      </w:r>
      <w:r w:rsidR="00C02299">
        <w:rPr>
          <w:color w:val="000000"/>
        </w:rPr>
        <w:t xml:space="preserve">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w:t>
      </w:r>
      <w:r w:rsidR="00C02299">
        <w:rPr>
          <w:i/>
          <w:color w:val="000000"/>
        </w:rPr>
        <w:t>LLM</w:t>
      </w:r>
      <w:r w:rsidR="00C02299">
        <w:rPr>
          <w:color w:val="000000"/>
        </w:rPr>
        <w:t xml:space="preserve"> diminta untuk secara eksplisit menjelaskan rantai kausalitas antara perubahan kondisi eksternal (pandemi, ekonomi regional) dan perubahan komposisi klaster yang terukur (ARI, centroid drift).</w:t>
      </w:r>
    </w:p>
    <w:p w:rsidR="002316A4" w:rsidRDefault="00C02299">
      <w:pPr>
        <w:pStyle w:val="Judul2"/>
        <w:spacing w:line="480" w:lineRule="auto"/>
      </w:pPr>
      <w:r>
        <w:t>2.5 Dimensionality Reduction dengan Principal Component Analysis</w:t>
      </w:r>
    </w:p>
    <w:p w:rsidR="002316A4" w:rsidRDefault="00C02299">
      <w:pPr>
        <w:spacing w:after="160" w:line="480" w:lineRule="auto"/>
        <w:ind w:firstLine="720"/>
        <w:jc w:val="both"/>
      </w:pPr>
      <w:r>
        <w:rPr>
          <w:color w:val="000000"/>
        </w:rP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after="160"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2316A4" w:rsidRDefault="00C02299">
      <w:pPr>
        <w:spacing w:after="160"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EndPr/>
        <w:sdtContent>
          <w:r w:rsidR="00BA594A" w:rsidRPr="00BA594A">
            <w:rPr>
              <w:color w:val="000000"/>
              <w:lang w:val="en-US"/>
            </w:rPr>
            <w:t>George and Sumathy (2022)</w:t>
          </w:r>
        </w:sdtContent>
      </w:sdt>
      <w:r>
        <w:rPr>
          <w:color w:val="000000"/>
        </w:rPr>
        <w:t xml:space="preserve"> secara eksplisit 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pPr>
      <w:r>
        <w:t>2.6 Metodologi Data Mining: CRISP</w:t>
      </w:r>
      <w:r w:rsidR="007C1716">
        <w:t xml:space="preserve"> </w:t>
      </w:r>
      <w:r>
        <w:t>DM Adaptif Time Series</w:t>
      </w:r>
    </w:p>
    <w:p w:rsidR="002316A4" w:rsidRDefault="00C02299">
      <w:pPr>
        <w:spacing w:after="160"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EndPr/>
        <w:sdtContent>
          <w:r w:rsidR="00BA594A" w:rsidRPr="00BA594A">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w:t>
      </w:r>
      <w:r>
        <w:rPr>
          <w:color w:val="000000"/>
        </w:rPr>
        <w:lastRenderedPageBreak/>
        <w:t xml:space="preserve">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w:t>
      </w:r>
      <w:r>
        <w:rPr>
          <w:i/>
          <w:color w:val="000000"/>
        </w:rPr>
        <w:t>LLM</w:t>
      </w:r>
      <w:r>
        <w:rPr>
          <w:color w:val="000000"/>
        </w:rPr>
        <w:t xml:space="preserve"> yang menghasilkan laporan dan rekomendasi secara otomatis.</w:t>
      </w:r>
    </w:p>
    <w:p w:rsidR="002316A4" w:rsidRDefault="00C02299">
      <w:pPr>
        <w:pStyle w:val="Judul2"/>
        <w:spacing w:line="480" w:lineRule="auto"/>
      </w:pPr>
      <w:r>
        <w:t>2.7 Analisis Time Series dan Deteksi Structural Break</w:t>
      </w:r>
    </w:p>
    <w:p w:rsidR="002316A4" w:rsidRDefault="00C02299">
      <w:pPr>
        <w:spacing w:after="160"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EndPr/>
        <w:sdtContent>
          <w:r w:rsidR="00BA594A" w:rsidRPr="00BA594A">
            <w:rPr>
              <w:color w:val="000000"/>
              <w:lang w:val="en-US"/>
            </w:rPr>
            <w:t>(Hubert and Arabic 1985)</w:t>
          </w:r>
        </w:sdtContent>
      </w:sdt>
      <w:r>
        <w:rPr>
          <w:color w:val="000000"/>
        </w:rPr>
        <w:t xml:space="preserve"> 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after="160" w:line="480" w:lineRule="auto"/>
        <w:ind w:firstLine="720"/>
        <w:jc w:val="both"/>
      </w:pPr>
      <w:r>
        <w:rPr>
          <w:color w:val="000000"/>
        </w:rPr>
        <w:t xml:space="preserve">ARI = 1,00 menunjukkan partisi identik sempurna; ARI = 0,00 menunjukkan kesamaan setara kebetulan acak; ARI negatif menunjukkan pengelompokan lebih tidak konsisten dari ekspektasi acak. Dalam penelitian ini, </w:t>
      </w:r>
      <w:r>
        <w:rPr>
          <w:i/>
          <w:color w:val="000000"/>
        </w:rPr>
        <w:t>threshold</w:t>
      </w:r>
      <w:r>
        <w:rPr>
          <w:color w:val="000000"/>
        </w:rPr>
        <w:t xml:space="preserve"> 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after="160" w:line="480" w:lineRule="auto"/>
        <w:ind w:firstLine="720"/>
        <w:jc w:val="both"/>
      </w:pPr>
      <w:r>
        <w:rPr>
          <w:color w:val="000000"/>
        </w:rPr>
        <w:t>Centroid drift mengukur jarak Euclidean rata</w:t>
      </w:r>
      <w:r w:rsidR="007C1716">
        <w:rPr>
          <w:color w:val="000000"/>
        </w:rPr>
        <w:t xml:space="preserve"> </w:t>
      </w:r>
      <w:r>
        <w:rPr>
          <w:color w:val="000000"/>
        </w:rPr>
        <w:t xml:space="preserve">rata minimum antar sentroid klaster periode berurutan dalam ruang PCA. Nilai tak terhingga (∞) terjadi ketika </w:t>
      </w:r>
      <w:r>
        <w:rPr>
          <w:color w:val="000000"/>
        </w:rPr>
        <w:lastRenderedPageBreak/>
        <w:t>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pPr>
      <w:r>
        <w:t>2.8 Dampak COVID</w:t>
      </w:r>
      <w:r w:rsidR="007C1716">
        <w:t xml:space="preserve"> </w:t>
      </w:r>
      <w:r>
        <w:t>19 terhadap Enrollment Perguruan Tinggi</w:t>
      </w:r>
    </w:p>
    <w:p w:rsidR="002316A4" w:rsidRPr="005E222F" w:rsidRDefault="00C02299">
      <w:pPr>
        <w:spacing w:after="160" w:line="480" w:lineRule="auto"/>
        <w:ind w:firstLine="720"/>
        <w:jc w:val="both"/>
      </w:pPr>
      <w:r w:rsidRPr="005E222F">
        <w:rPr>
          <w:color w:val="000000"/>
        </w:rPr>
        <w:t>Pandemi COVID</w:t>
      </w:r>
      <w:r w:rsidR="007C1716" w:rsidRPr="005E222F">
        <w:rPr>
          <w:color w:val="000000"/>
        </w:rPr>
        <w:t xml:space="preserve"> </w:t>
      </w:r>
      <w:r w:rsidRPr="005E222F">
        <w:rPr>
          <w:color w:val="000000"/>
        </w:rPr>
        <w:t xml:space="preserve">19 memberikan dampak mendalam dan tidak simetris terhadap enrollment perguruan tinggi. </w:t>
      </w:r>
      <w:sdt>
        <w:sdtPr>
          <w:rPr>
            <w:color w:val="000000"/>
            <w:lang w:val="en-US"/>
          </w:rPr>
          <w:tag w:val="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
          <w:id w:val="1167137453"/>
          <w:placeholder>
            <w:docPart w:val="DefaultPlaceholder_-1854013440"/>
          </w:placeholder>
        </w:sdtPr>
        <w:sdtEndPr/>
        <w:sdtContent>
          <w:r w:rsidR="00BA594A" w:rsidRPr="00BA594A">
            <w:rPr>
              <w:color w:val="000000"/>
              <w:lang w:val="en-US"/>
            </w:rPr>
            <w:t>(Aristovnik et al. 2021)</w:t>
          </w:r>
        </w:sdtContent>
      </w:sdt>
      <w:r w:rsidRPr="005E222F">
        <w:rPr>
          <w:color w:val="000000"/>
        </w:rPr>
        <w:t xml:space="preserve"> mendokumentasikan secara komprehensif dampak pandemi terhadap kehidupan mahasiswa di seluruh dunia mencakup dimensi akademik, sosial, dan finansial.</w:t>
      </w:r>
      <w:r w:rsidR="005E222F">
        <w:rPr>
          <w:color w:val="000000"/>
          <w:lang w:val="en-US"/>
        </w:rPr>
        <w:t xml:space="preserve"> </w:t>
      </w:r>
      <w:sdt>
        <w:sdtPr>
          <w:rPr>
            <w:color w:val="000000"/>
            <w:lang w:val="en-US"/>
          </w:rPr>
          <w:tag w:val="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
          <w:id w:val="1066915341"/>
          <w:placeholder>
            <w:docPart w:val="DefaultPlaceholder_-1854013440"/>
          </w:placeholder>
        </w:sdtPr>
        <w:sdtEndPr/>
        <w:sdtContent>
          <w:r w:rsidR="00BA594A" w:rsidRPr="00BA594A">
            <w:rPr>
              <w:color w:val="000000"/>
              <w:lang w:val="en-US"/>
            </w:rPr>
            <w:t>(Purcell and Lumbreras 2021)</w:t>
          </w:r>
        </w:sdtContent>
      </w:sdt>
      <w:r w:rsidR="005E222F">
        <w:rPr>
          <w:color w:val="000000"/>
          <w:lang w:val="en-US"/>
        </w:rPr>
        <w:t xml:space="preserve"> </w:t>
      </w:r>
      <w:r w:rsidRPr="005E222F">
        <w:rPr>
          <w:color w:val="000000"/>
        </w:rPr>
        <w:t xml:space="preserve"> menunjukkan pandemi mengekspos fragilitas dan ketidaksetaraan dalam sistem pendidikan tinggi global, dengan dampak tidak setara antar institusi dan populasi. </w:t>
      </w:r>
      <w:sdt>
        <w:sdtPr>
          <w:rPr>
            <w:color w:val="000000"/>
            <w:lang w:val="en-US"/>
          </w:rPr>
          <w:tag w:val="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
          <w:id w:val="-2069719902"/>
          <w:placeholder>
            <w:docPart w:val="DefaultPlaceholder_-1854013440"/>
          </w:placeholder>
        </w:sdtPr>
        <w:sdtEndPr/>
        <w:sdtContent>
          <w:r w:rsidR="00BA594A" w:rsidRPr="00BA594A">
            <w:rPr>
              <w:color w:val="000000"/>
              <w:lang w:val="en-US"/>
            </w:rPr>
            <w:t>El Said (2021)</w:t>
          </w:r>
        </w:sdtContent>
      </w:sdt>
      <w:r w:rsidRPr="005E222F">
        <w:rPr>
          <w:color w:val="000000"/>
        </w:rPr>
        <w:t xml:space="preserve"> menemukan COVID</w:t>
      </w:r>
      <w:r w:rsidR="007C1716" w:rsidRPr="005E222F">
        <w:rPr>
          <w:color w:val="000000"/>
        </w:rPr>
        <w:t xml:space="preserve"> </w:t>
      </w:r>
      <w:r w:rsidRPr="005E222F">
        <w:rPr>
          <w:color w:val="000000"/>
        </w:rPr>
        <w:t>19 secara dramatis membentuk ulang cara penyampaian pendidikan di negara berkembang secara struktural dan permanen.</w:t>
      </w:r>
    </w:p>
    <w:p w:rsidR="002316A4" w:rsidRDefault="00C02299">
      <w:pPr>
        <w:spacing w:after="160" w:line="480" w:lineRule="auto"/>
        <w:ind w:firstLine="720"/>
        <w:jc w:val="both"/>
      </w:pPr>
      <w:r w:rsidRPr="005E222F">
        <w:rPr>
          <w:color w:val="000000"/>
        </w:rPr>
        <w:t>Di Indonesia,</w:t>
      </w:r>
      <w:r w:rsidR="005E222F">
        <w:rPr>
          <w:color w:val="000000"/>
          <w:lang w:val="en-US"/>
        </w:rPr>
        <w:t xml:space="preserve"> </w:t>
      </w:r>
      <w:sdt>
        <w:sdtPr>
          <w:rPr>
            <w:color w:val="000000"/>
            <w:lang w:val="en-US"/>
          </w:rPr>
          <w:tag w:val="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
          <w:id w:val="-88312217"/>
          <w:placeholder>
            <w:docPart w:val="DefaultPlaceholder_-1854013440"/>
          </w:placeholder>
        </w:sdtPr>
        <w:sdtEndPr/>
        <w:sdtContent>
          <w:r w:rsidR="00BA594A" w:rsidRPr="00BA594A">
            <w:rPr>
              <w:color w:val="000000"/>
              <w:lang w:val="en-US"/>
            </w:rPr>
            <w:t>Cahyadi et al. (2022)</w:t>
          </w:r>
        </w:sdtContent>
      </w:sdt>
      <w:r w:rsidRPr="005E222F">
        <w:rPr>
          <w:color w:val="000000"/>
        </w:rPr>
        <w:t xml:space="preserve">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w:t>
      </w:r>
      <w:r w:rsidR="007C1716" w:rsidRPr="005E222F">
        <w:rPr>
          <w:color w:val="000000"/>
        </w:rPr>
        <w:t xml:space="preserve"> </w:t>
      </w:r>
      <w:r w:rsidRPr="005E222F">
        <w:rPr>
          <w:color w:val="000000"/>
        </w:rPr>
        <w:t>periode</w:t>
      </w:r>
      <w:r>
        <w:rPr>
          <w:color w:val="000000"/>
        </w:rPr>
        <w:t xml:space="preserve"> yang mampu mendeteksi structural break dan menghasilkan </w:t>
      </w:r>
      <w:r>
        <w:rPr>
          <w:i/>
          <w:color w:val="000000"/>
        </w:rPr>
        <w:t>reasoning</w:t>
      </w:r>
      <w:r>
        <w:rPr>
          <w:color w:val="000000"/>
        </w:rPr>
        <w:t xml:space="preserve"> kausal atas perubahan yang terjadi.</w:t>
      </w:r>
    </w:p>
    <w:p w:rsidR="002316A4" w:rsidRDefault="00C02299">
      <w:pPr>
        <w:pStyle w:val="Judul2"/>
        <w:spacing w:line="480" w:lineRule="auto"/>
      </w:pPr>
      <w:r>
        <w:t>2.9 Personalisasi Rekrutmen Berbasis Data</w:t>
      </w:r>
    </w:p>
    <w:p w:rsidR="00CD6E2D" w:rsidRPr="00EB55A7" w:rsidRDefault="008863D0" w:rsidP="00CD6E2D">
      <w:pPr>
        <w:spacing w:after="160"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EndPr/>
        <w:sdtContent>
          <w:r w:rsidR="00BA594A" w:rsidRPr="00BA594A">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EndPr/>
        <w:sdtContent>
          <w:r w:rsidR="00BA594A" w:rsidRPr="00BA594A">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EndPr/>
        <w:sdtContent>
          <w:r w:rsidR="00BA594A" w:rsidRPr="00BA594A">
            <w:rPr>
              <w:color w:val="000000"/>
              <w:lang w:val="en-US"/>
            </w:rPr>
            <w:t>Tuyishimire et al. (2022)</w:t>
          </w:r>
        </w:sdtContent>
      </w:sdt>
      <w:r w:rsidR="00C02299" w:rsidRPr="005E222F">
        <w:rPr>
          <w:i/>
          <w:color w:val="000000"/>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2316A4" w:rsidRDefault="00C02299">
      <w:pPr>
        <w:pStyle w:val="Judul2"/>
        <w:spacing w:line="480" w:lineRule="auto"/>
      </w:pPr>
      <w:r>
        <w:t>2.10 Matriks Tinjauan Pustaka</w:t>
      </w:r>
    </w:p>
    <w:p w:rsidR="006B4AE2" w:rsidRDefault="00C02299" w:rsidP="006B4AE2">
      <w:pPr>
        <w:spacing w:after="120"/>
        <w:contextualSpacing/>
        <w:jc w:val="center"/>
        <w:rPr>
          <w:b/>
          <w:bCs/>
          <w:color w:val="000000"/>
          <w:sz w:val="20"/>
          <w:szCs w:val="20"/>
        </w:rPr>
      </w:pPr>
      <w:r>
        <w:rPr>
          <w:b/>
          <w:sz w:val="20"/>
          <w:szCs w:val="20"/>
        </w:rPr>
        <w:t>Tabel 2.4 Literature Review Matrix: Penelitian Terdahulu dan Posisi Penelitian Ini</w:t>
      </w:r>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6</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11</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
          <w:iCs/>
          <w:color w:val="000000"/>
          <w:szCs w:val="20"/>
        </w:rPr>
        <w:t>Sumber: Sintesis tinjauan pustaka penelitian (2025)</w:t>
      </w:r>
    </w:p>
    <w:p w:rsidR="002316A4" w:rsidRDefault="00C02299">
      <w:pPr>
        <w:spacing w:after="160" w:line="480" w:lineRule="auto"/>
        <w:ind w:firstLine="720"/>
        <w:jc w:val="both"/>
      </w:pPr>
      <w:r>
        <w:rPr>
          <w:color w:val="000000"/>
        </w:rPr>
        <w:t>Sintesis Gap: Berdasarkan Tabel 2.4, belum ada penelitian yang mengintegrasikan secara terpadu GMM probabilistik time series multi</w:t>
      </w:r>
      <w:r w:rsidR="007C1716">
        <w:rPr>
          <w:color w:val="000000"/>
        </w:rPr>
        <w:t xml:space="preserve"> </w:t>
      </w:r>
      <w:r>
        <w:rPr>
          <w:color w:val="000000"/>
        </w:rPr>
        <w:t xml:space="preserve">metrik + IndoBERT untuk ekstraksi fitur semantik Bahasa Indonesia + Llama 3.2 3B lokal untuk </w:t>
      </w:r>
      <w:r>
        <w:rPr>
          <w:i/>
          <w:color w:val="000000"/>
        </w:rPr>
        <w:t>reasoning</w:t>
      </w:r>
      <w:r>
        <w:rPr>
          <w:color w:val="000000"/>
        </w:rPr>
        <w:t xml:space="preserve"> kausal dan otomasi persona + personalisasi rekrutmen dalam satu </w:t>
      </w:r>
      <w:r>
        <w:rPr>
          <w:i/>
          <w:color w:val="000000"/>
        </w:rPr>
        <w:t>pipeline</w:t>
      </w:r>
      <w:r>
        <w:rPr>
          <w:color w:val="000000"/>
        </w:rPr>
        <w:t xml:space="preserve"> end</w:t>
      </w:r>
      <w:r w:rsidR="007C1716">
        <w:rPr>
          <w:color w:val="000000"/>
        </w:rPr>
        <w:t xml:space="preserve"> </w:t>
      </w:r>
      <w:r>
        <w:rPr>
          <w:color w:val="000000"/>
        </w:rPr>
        <w:t>to</w:t>
      </w:r>
      <w:r w:rsidR="007C1716">
        <w:rPr>
          <w:color w:val="000000"/>
        </w:rPr>
        <w:t xml:space="preserve"> </w:t>
      </w:r>
      <w:r>
        <w:rPr>
          <w:color w:val="000000"/>
        </w:rPr>
        <w:t>end untuk konteks perguruan tinggi swasta Indonesia. Penelitian ini mengisi kesenjangan tersebut secara komprehensif.</w:t>
      </w:r>
    </w:p>
    <w:p w:rsidR="002316A4" w:rsidRDefault="00C02299">
      <w:pPr>
        <w:pStyle w:val="Judul2"/>
        <w:spacing w:line="480" w:lineRule="auto"/>
      </w:pPr>
      <w:r>
        <w:t>2.11 Kerangka Konseptual Penelitian</w:t>
      </w:r>
    </w:p>
    <w:p w:rsidR="002316A4" w:rsidRDefault="00C02299">
      <w:pPr>
        <w:spacing w:after="160" w:line="480" w:lineRule="auto"/>
        <w:ind w:firstLine="720"/>
        <w:jc w:val="both"/>
      </w:pPr>
      <w:r>
        <w:rPr>
          <w:color w:val="000000"/>
        </w:rPr>
        <w:lastRenderedPageBreak/>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2316A4" w:rsidRDefault="00971323">
      <w:pPr>
        <w:spacing w:before="160" w:after="80" w:line="480" w:lineRule="auto"/>
        <w:jc w:val="center"/>
      </w:pPr>
      <w:r>
        <w:rPr>
          <w:noProof/>
        </w:rPr>
        <w:drawing>
          <wp:inline distT="0" distB="0" distL="0" distR="0">
            <wp:extent cx="5271355" cy="3233651"/>
            <wp:effectExtent l="0" t="0" r="0" b="5080"/>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erangka_konseptual (4).png"/>
                    <pic:cNvPicPr/>
                  </pic:nvPicPr>
                  <pic:blipFill rotWithShape="1">
                    <a:blip r:embed="rId9" cstate="print">
                      <a:extLst>
                        <a:ext uri="{28A0092B-C50C-407E-A947-70E740481C1C}">
                          <a14:useLocalDpi xmlns:a14="http://schemas.microsoft.com/office/drawing/2010/main" val="0"/>
                        </a:ext>
                      </a:extLst>
                    </a:blip>
                    <a:srcRect l="6105" t="19402" r="23443" b="9988"/>
                    <a:stretch/>
                  </pic:blipFill>
                  <pic:spPr bwMode="auto">
                    <a:xfrm>
                      <a:off x="0" y="0"/>
                      <a:ext cx="5284940" cy="3241985"/>
                    </a:xfrm>
                    <a:prstGeom prst="rect">
                      <a:avLst/>
                    </a:prstGeom>
                    <a:ln>
                      <a:noFill/>
                    </a:ln>
                    <a:extLst>
                      <a:ext uri="{53640926-AAD7-44D8-BBD7-CCE9431645EC}">
                        <a14:shadowObscured xmlns:a14="http://schemas.microsoft.com/office/drawing/2010/main"/>
                      </a:ext>
                    </a:extLst>
                  </pic:spPr>
                </pic:pic>
              </a:graphicData>
            </a:graphic>
          </wp:inline>
        </w:drawing>
      </w:r>
    </w:p>
    <w:p w:rsidR="002316A4" w:rsidRDefault="00C02299" w:rsidP="00EB55A7">
      <w:pPr>
        <w:spacing w:after="120"/>
        <w:jc w:val="center"/>
      </w:pPr>
      <w:r>
        <w:rPr>
          <w:b/>
          <w:color w:val="000000"/>
          <w:sz w:val="20"/>
          <w:szCs w:val="20"/>
        </w:rPr>
        <w:t xml:space="preserve">Gambar 2.1 Kerangka Konseptual Penelitian: Hybrid </w:t>
      </w:r>
      <w:r>
        <w:rPr>
          <w:b/>
          <w:i/>
          <w:color w:val="000000"/>
          <w:sz w:val="20"/>
          <w:szCs w:val="20"/>
        </w:rPr>
        <w:t>Pipeline</w:t>
      </w:r>
      <w:r>
        <w:rPr>
          <w:b/>
          <w:color w:val="000000"/>
          <w:sz w:val="20"/>
          <w:szCs w:val="20"/>
        </w:rPr>
        <w:t xml:space="preserve"> IndoBERT–GMM–</w:t>
      </w:r>
      <w:r>
        <w:rPr>
          <w:b/>
          <w:i/>
          <w:color w:val="000000"/>
          <w:sz w:val="20"/>
          <w:szCs w:val="20"/>
        </w:rPr>
        <w:t>LLM</w:t>
      </w:r>
      <w:r>
        <w:rPr>
          <w:b/>
          <w:color w:val="000000"/>
          <w:sz w:val="20"/>
          <w:szCs w:val="20"/>
        </w:rPr>
        <w:t xml:space="preserve"> untuk Optimalisasi Rekrutmen ITSNU Pekalongan</w:t>
      </w:r>
    </w:p>
    <w:p w:rsidR="002316A4" w:rsidRDefault="00C02299" w:rsidP="00EB55A7">
      <w:pPr>
        <w:spacing w:after="120"/>
        <w:jc w:val="both"/>
        <w:rPr>
          <w:i/>
          <w:iCs/>
          <w:color w:val="000000"/>
          <w:szCs w:val="20"/>
        </w:rPr>
      </w:pPr>
      <w:r>
        <w:rPr>
          <w:i/>
          <w:iCs/>
          <w:color w:val="000000"/>
          <w:szCs w:val="20"/>
        </w:rPr>
        <w:t>Sumber: Kerangka konseptual penelitian, diadaptasi dari Scrucca et al. (2024), Koto et al. (2020), dan Grattafiori et al. (2024)</w:t>
      </w:r>
    </w:p>
    <w:p w:rsidR="00D07E87" w:rsidRDefault="00D07E87" w:rsidP="00EB55A7">
      <w:pPr>
        <w:spacing w:after="120"/>
        <w:jc w:val="both"/>
      </w:pPr>
    </w:p>
    <w:p w:rsidR="002316A4" w:rsidRPr="00D07E87" w:rsidRDefault="00C02299" w:rsidP="00D07E87">
      <w:pPr>
        <w:spacing w:after="120"/>
        <w:jc w:val="both"/>
        <w:rPr>
          <w:color w:val="000000"/>
        </w:rP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Pr="00D07E87">
        <w:rPr>
          <w:color w:val="000000"/>
        </w:rPr>
        <w:t>, menghasilkan representasi vektor 768 dimensi yang kemudian direduksi oleh PCA menggunakan basis 2019. Fase kedua adalah segmentasi probabilistik multi</w:t>
      </w:r>
      <w:r w:rsidR="007C1716" w:rsidRPr="00D07E87">
        <w:rPr>
          <w:color w:val="000000"/>
        </w:rPr>
        <w:t xml:space="preserve"> </w:t>
      </w:r>
      <w:r w:rsidRPr="00D07E87">
        <w:rPr>
          <w:color w:val="000000"/>
        </w:rPr>
        <w:t xml:space="preserve">periode: GMM diterapkan independen per tahun (2019–2024) menghasilkan profil klaster, kemudian analisis time series mengukur stabilitas dan mendeteksi structural break. Fase ketiga adalah otomasi analisis </w:t>
      </w:r>
      <w:r w:rsidRPr="00D07E87">
        <w:rPr>
          <w:i/>
          <w:color w:val="000000"/>
        </w:rPr>
        <w:t>LLM</w:t>
      </w:r>
      <w:r w:rsidRPr="00D07E87">
        <w:rPr>
          <w:color w:val="000000"/>
        </w:rPr>
        <w:t>: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Pr="00D07E87">
        <w:rPr>
          <w:color w:val="000000"/>
        </w:rPr>
        <w:t xml:space="preserve">, menghasilkan persona, </w:t>
      </w:r>
      <w:r w:rsidRPr="00D07E87">
        <w:rPr>
          <w:i/>
          <w:color w:val="000000"/>
        </w:rPr>
        <w:t>reasoning</w:t>
      </w:r>
      <w:r w:rsidRPr="00D07E87">
        <w:rPr>
          <w:color w:val="000000"/>
        </w:rPr>
        <w:t xml:space="preserve"> kausal, ringkasan laporan, 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 menghasilkan kalibrasi output AI dan implikasi kebijakan institusional yang kontekstual.</w:t>
      </w:r>
    </w:p>
    <w:p w:rsidR="00CD6E2D" w:rsidRDefault="00CD6E2D" w:rsidP="00CD6E2D">
      <w:pPr>
        <w:pStyle w:val="Judul2"/>
        <w:spacing w:line="480" w:lineRule="auto"/>
        <w:rPr>
          <w:rStyle w:val="MdStrong"/>
          <w:b/>
        </w:rPr>
      </w:pPr>
      <w:r>
        <w:lastRenderedPageBreak/>
        <w:t>2.1</w:t>
      </w:r>
      <w:r>
        <w:rPr>
          <w:lang w:val="en-US"/>
        </w:rPr>
        <w:t>2</w:t>
      </w:r>
      <w:r>
        <w:t xml:space="preserve"> </w:t>
      </w:r>
      <w:r w:rsidRPr="00CD6E2D">
        <w:rPr>
          <w:rStyle w:val="MdStrong"/>
          <w:b/>
        </w:rPr>
        <w:t>Validasi Output AI dan Kebijakan Institusional</w:t>
      </w:r>
    </w:p>
    <w:p w:rsidR="00864E21" w:rsidRDefault="00864E21" w:rsidP="00864E21">
      <w:pPr>
        <w:spacing w:after="160"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EndPr/>
        <w:sdtContent>
          <w:r w:rsidR="00BA594A" w:rsidRPr="00BA594A">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EndPr/>
        <w:sdtContent>
          <w:r w:rsidR="00BA594A" w:rsidRPr="00BA594A">
            <w:rPr>
              <w:color w:val="000000"/>
              <w:lang w:val="en-US"/>
            </w:rPr>
            <w:t>(Saarela et al. 2026)</w:t>
          </w:r>
        </w:sdtContent>
      </w:sdt>
      <w:r w:rsidRPr="00864E21">
        <w:t>.</w:t>
      </w:r>
    </w:p>
    <w:p w:rsidR="00864E21" w:rsidRPr="00864E21" w:rsidRDefault="00864E21" w:rsidP="00864E21">
      <w:pPr>
        <w:spacing w:after="160" w:line="480" w:lineRule="auto"/>
        <w:ind w:firstLine="720"/>
        <w:jc w:val="both"/>
      </w:pPr>
      <w:r w:rsidRPr="00864E21">
        <w:t>Audit manusia juga memberikan dimensi etis dan strategis, mengontekstualisasikan luaran AI agar selaras dengan nilai institusional dan 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EndPr/>
        <w:sdtContent>
          <w:r w:rsidR="00BA594A" w:rsidRPr="00BA594A">
            <w:rPr>
              <w:color w:val="000000"/>
              <w:lang w:val="en-US"/>
            </w:rPr>
            <w:t>(Fajardo-Ramos, Chiappe, and Mella-Norambuena 2025)</w:t>
          </w:r>
        </w:sdtContent>
      </w:sdt>
      <w:r w:rsidRPr="00864E21">
        <w:t>. Penilaian praktisi tetap menjadi gold standard karena lebih holistik dalam menilai 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EndPr/>
        <w:sdtContent>
          <w:r w:rsidR="00BA594A" w:rsidRPr="00BA594A">
            <w:rPr>
              <w:color w:val="000000"/>
              <w:lang w:val="en-US"/>
            </w:rPr>
            <w:t>(Kocaman et al. 2025)</w:t>
          </w:r>
        </w:sdtContent>
      </w:sdt>
      <w:r w:rsidRPr="00864E21">
        <w:t>.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6B4AE2" w:rsidRDefault="00C02299" w:rsidP="006B4AE2">
      <w:pPr>
        <w:pStyle w:val="Judul1"/>
        <w:pageBreakBefore/>
        <w:spacing w:line="480" w:lineRule="auto"/>
        <w:contextualSpacing/>
      </w:pPr>
      <w:r>
        <w:lastRenderedPageBreak/>
        <w:t xml:space="preserve">BAB III </w:t>
      </w:r>
    </w:p>
    <w:p w:rsidR="002316A4" w:rsidRDefault="00C02299" w:rsidP="006B4AE2">
      <w:pPr>
        <w:pStyle w:val="Judul1"/>
        <w:spacing w:line="480" w:lineRule="auto"/>
        <w:contextualSpacing/>
      </w:pPr>
      <w:r>
        <w:t>METODOLOGI PENELITIAN</w:t>
      </w:r>
    </w:p>
    <w:p w:rsidR="002316A4" w:rsidRDefault="00C02299">
      <w:pPr>
        <w:pStyle w:val="Judul2"/>
        <w:spacing w:line="480" w:lineRule="auto"/>
      </w:pPr>
      <w:r>
        <w:t>3.1 Desain Penelitian</w:t>
      </w:r>
    </w:p>
    <w:p w:rsidR="002316A4" w:rsidRDefault="00C02299">
      <w:pPr>
        <w:spacing w:after="160"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after="160"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i/>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w:t>
      </w:r>
      <w:r>
        <w:rPr>
          <w:i/>
          <w:color w:val="000000"/>
        </w:rPr>
        <w:t>LLM</w:t>
      </w:r>
      <w:r>
        <w:rPr>
          <w:color w:val="000000"/>
        </w:rPr>
        <w:t xml:space="preserve">; dan (10) </w:t>
      </w:r>
      <w:r>
        <w:rPr>
          <w:i/>
          <w:color w:val="000000"/>
        </w:rPr>
        <w:t>Deployment</w:t>
      </w:r>
      <w:r>
        <w:rPr>
          <w:color w:val="000000"/>
        </w:rPr>
        <w:t xml:space="preserve"> strategi rekrutmen prediktif.</w:t>
      </w:r>
    </w:p>
    <w:p w:rsidR="002316A4" w:rsidRDefault="00C02299">
      <w:pPr>
        <w:pStyle w:val="Judul2"/>
        <w:spacing w:line="480" w:lineRule="auto"/>
      </w:pPr>
      <w:r>
        <w:t>3.2 Diagram Alur Penelitian</w:t>
      </w:r>
    </w:p>
    <w:p w:rsidR="002316A4" w:rsidRDefault="00C02299" w:rsidP="00EB55A7">
      <w:pPr>
        <w:spacing w:before="80" w:after="80" w:line="480" w:lineRule="auto"/>
        <w:jc w:val="center"/>
      </w:pPr>
      <w:r>
        <w:rPr>
          <w:noProof/>
        </w:rPr>
        <w:lastRenderedPageBreak/>
        <w:drawing>
          <wp:inline distT="0" distB="0" distL="0" distR="0">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Default="00C02299" w:rsidP="00D07E87">
      <w:pPr>
        <w:spacing w:after="120"/>
        <w:contextualSpacing/>
        <w:jc w:val="center"/>
      </w:pPr>
      <w:r>
        <w:rPr>
          <w:b/>
          <w:color w:val="000000"/>
          <w:sz w:val="20"/>
          <w:szCs w:val="20"/>
        </w:rPr>
        <w:t xml:space="preserve">Gambar 3.1 Flowchart Alur Penelitian: Hybrid </w:t>
      </w:r>
      <w:r>
        <w:rPr>
          <w:b/>
          <w:i/>
          <w:color w:val="000000"/>
          <w:sz w:val="20"/>
          <w:szCs w:val="20"/>
        </w:rPr>
        <w:t>Pipeline</w:t>
      </w:r>
      <w:r>
        <w:rPr>
          <w:b/>
          <w:color w:val="000000"/>
          <w:sz w:val="20"/>
          <w:szCs w:val="20"/>
        </w:rPr>
        <w:t xml:space="preserve"> IndoBERT–GMM–</w:t>
      </w:r>
      <w:r>
        <w:rPr>
          <w:b/>
          <w:i/>
          <w:color w:val="000000"/>
          <w:sz w:val="20"/>
          <w:szCs w:val="20"/>
        </w:rPr>
        <w:t>LLM</w:t>
      </w:r>
      <w:r>
        <w:rPr>
          <w:b/>
          <w:color w:val="000000"/>
          <w:sz w:val="20"/>
          <w:szCs w:val="20"/>
        </w:rPr>
        <w:t xml:space="preserve"> Time Series Berbasis CRISP</w:t>
      </w:r>
      <w:r w:rsidR="007C1716">
        <w:rPr>
          <w:b/>
          <w:color w:val="000000"/>
          <w:sz w:val="20"/>
          <w:szCs w:val="20"/>
        </w:rPr>
        <w:t xml:space="preserve"> </w:t>
      </w:r>
      <w:r>
        <w:rPr>
          <w:b/>
          <w:color w:val="000000"/>
          <w:sz w:val="20"/>
          <w:szCs w:val="20"/>
        </w:rPr>
        <w:t>DM Adaptif (Data PMB ITSNU Pekalongan 6 Periode 2019–2024)</w:t>
      </w:r>
    </w:p>
    <w:p w:rsidR="002316A4" w:rsidRPr="00D07E87" w:rsidRDefault="00C02299" w:rsidP="00D07E87">
      <w:pPr>
        <w:spacing w:after="120"/>
        <w:contextualSpacing/>
        <w:jc w:val="center"/>
        <w:rPr>
          <w:sz w:val="20"/>
        </w:rPr>
      </w:pPr>
      <w:r w:rsidRPr="00D07E87">
        <w:rPr>
          <w:i/>
          <w:iCs/>
          <w:color w:val="000000"/>
          <w:sz w:val="20"/>
          <w:szCs w:val="20"/>
        </w:rPr>
        <w:t>Sumber: Desain alur penelitian, diadaptasi dari CRISP</w:t>
      </w:r>
      <w:r w:rsidR="007C1716" w:rsidRPr="00D07E87">
        <w:rPr>
          <w:i/>
          <w:iCs/>
          <w:color w:val="000000"/>
          <w:sz w:val="20"/>
          <w:szCs w:val="20"/>
        </w:rPr>
        <w:t xml:space="preserve"> </w:t>
      </w:r>
      <w:r w:rsidRPr="00D07E87">
        <w:rPr>
          <w:i/>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after="160"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pPr>
      <w:r>
        <w:t>3.3 Tahap 1  Business Understanding</w:t>
      </w:r>
    </w:p>
    <w:p w:rsidR="002316A4" w:rsidRDefault="00C02299">
      <w:pPr>
        <w:spacing w:after="160" w:line="480" w:lineRule="auto"/>
        <w:ind w:firstLine="720"/>
        <w:jc w:val="both"/>
      </w:pPr>
      <w:r>
        <w:rPr>
          <w:color w:val="000000"/>
        </w:rPr>
        <w:t>Mencakup dua aktivitas: (1) pemetaan kebutuhan rekrutmen multi</w:t>
      </w:r>
      <w:r w:rsidR="007C1716">
        <w:rPr>
          <w:color w:val="000000"/>
        </w:rPr>
        <w:t xml:space="preserve"> </w:t>
      </w:r>
      <w:r>
        <w:rPr>
          <w:color w:val="000000"/>
        </w:rPr>
        <w:t xml:space="preserve">periode ITSNU Pekalongan mengidentifikasi pertanyaan bisnis kritis: siapa segmen paling potensial, bagaimana profil berubah akibat pandemi, dan segmen mana yang diprioritaskan untuk 2025; dan (2) definisi operasional empat fungsi otomasi </w:t>
      </w:r>
      <w:r>
        <w:rPr>
          <w:i/>
          <w:color w:val="000000"/>
        </w:rPr>
        <w:t>LLM</w:t>
      </w:r>
      <w:r>
        <w:rPr>
          <w:color w:val="000000"/>
        </w:rPr>
        <w:t xml:space="preserve"> 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r>
        <w:lastRenderedPageBreak/>
        <w:t>3.4 Tahap 2  Data Collection</w:t>
      </w:r>
    </w:p>
    <w:p w:rsidR="002316A4" w:rsidRDefault="00C02299">
      <w:pPr>
        <w:spacing w:after="160"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6B4AE2" w:rsidRDefault="00C02299" w:rsidP="006B4AE2">
      <w:pPr>
        <w:spacing w:after="120"/>
        <w:contextualSpacing/>
        <w:jc w:val="center"/>
        <w:rPr>
          <w:b/>
          <w:bCs/>
          <w:color w:val="000000"/>
          <w:sz w:val="20"/>
          <w:szCs w:val="20"/>
        </w:rPr>
      </w:pPr>
      <w:r>
        <w:rPr>
          <w:b/>
          <w:sz w:val="20"/>
          <w:szCs w:val="20"/>
        </w:rPr>
        <w:t xml:space="preserve">Tabel 3.1 Spesifikasi </w:t>
      </w:r>
      <w:r>
        <w:rPr>
          <w:b/>
          <w:i/>
          <w:sz w:val="20"/>
          <w:szCs w:val="20"/>
        </w:rPr>
        <w:t>Dataset</w:t>
      </w:r>
      <w:r>
        <w:rPr>
          <w:b/>
          <w:sz w:val="20"/>
          <w:szCs w:val="20"/>
        </w:rPr>
        <w:t xml:space="preserve"> Time Series PMB ITSNU Pekalongan 2019–2024</w:t>
      </w:r>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2316A4" w:rsidRDefault="00C02299" w:rsidP="00EB55A7">
      <w:pPr>
        <w:spacing w:after="120"/>
        <w:jc w:val="both"/>
      </w:pPr>
      <w:r>
        <w:rPr>
          <w:i/>
          <w:iCs/>
          <w:color w:val="000000"/>
          <w:szCs w:val="20"/>
        </w:rPr>
        <w:t>Sumber: Sistem Informasi Akademik PMB ITSNU Pekalongan (2019–2024)</w:t>
      </w:r>
    </w:p>
    <w:p w:rsidR="002316A4" w:rsidRDefault="00C02299">
      <w:pPr>
        <w:spacing w:after="160" w:line="480" w:lineRule="auto"/>
        <w:ind w:firstLine="720"/>
        <w:jc w:val="both"/>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2316A4" w:rsidRDefault="00C02299">
      <w:pPr>
        <w:pStyle w:val="Judul2"/>
        <w:spacing w:line="480" w:lineRule="auto"/>
      </w:pPr>
      <w:r>
        <w:t>3.5 Tahap 3  Data Understanding</w:t>
      </w:r>
    </w:p>
    <w:p w:rsidR="002316A4" w:rsidRDefault="00C02299">
      <w:pPr>
        <w:spacing w:after="160" w:line="480" w:lineRule="auto"/>
        <w:ind w:firstLine="720"/>
        <w:jc w:val="both"/>
      </w:pPr>
      <w:r>
        <w:rPr>
          <w:color w:val="000000"/>
        </w:rPr>
        <w:t xml:space="preserve">Tahap ini mencakup: (1) profil statistik deskriptif per periode distribusi frekuensi per variabel kategorikal, statistik ringkas, dan visualisasi distribusi </w:t>
      </w:r>
      <w:r>
        <w:rPr>
          <w:color w:val="000000"/>
        </w:rPr>
        <w:lastRenderedPageBreak/>
        <w:t>(Gambar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pPr>
      <w:r>
        <w:t>3.6 Tahap 4  Data Preparation (Otomasi Batch 6 Periode)</w:t>
      </w:r>
    </w:p>
    <w:p w:rsidR="002316A4" w:rsidRDefault="00C02299">
      <w:pPr>
        <w:spacing w:after="160"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after="160"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after="160"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after="160" w:line="480" w:lineRule="auto"/>
        <w:ind w:firstLine="720"/>
        <w:jc w:val="both"/>
      </w:pPr>
      <w:r>
        <w:rPr>
          <w:color w:val="000000"/>
        </w:rPr>
        <w:t>Subproses C Geocoding Koordinat Geospasial: GeoPy/Nominatim API dengan delay 1 detik dan timeout 10 detik. Koordinat gagal diimputasi dengan modus koordinat kecamatan pada tahun yang sama.</w:t>
      </w:r>
    </w:p>
    <w:p w:rsidR="002316A4" w:rsidRPr="00BA594A" w:rsidRDefault="00C02299">
      <w:pPr>
        <w:spacing w:after="160" w:line="480" w:lineRule="auto"/>
        <w:ind w:firstLine="720"/>
        <w:jc w:val="both"/>
      </w:pPr>
      <w:r>
        <w:rPr>
          <w:color w:val="000000"/>
        </w:rPr>
        <w:lastRenderedPageBreak/>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133235264"/>
          <w:placeholder>
            <w:docPart w:val="DefaultPlaceholder_-1854013440"/>
          </w:placeholder>
        </w:sdtPr>
        <w:sdtEndPr/>
        <w:sdtContent>
          <w:r w:rsidR="00BA594A" w:rsidRPr="00BA594A">
            <w:rPr>
              <w:color w:val="000000"/>
              <w:lang w:val="en-US"/>
            </w:rPr>
            <w:t>(Pedregosa FABIANPEDREGOSA et al. 2011)</w:t>
          </w:r>
        </w:sdtContent>
      </w:sdt>
      <w:r w:rsidRPr="00BA594A">
        <w:rPr>
          <w:color w:val="000000"/>
        </w:rPr>
        <w:t>.</w:t>
      </w:r>
    </w:p>
    <w:p w:rsidR="002316A4" w:rsidRDefault="00C02299">
      <w:pPr>
        <w:spacing w:after="160" w:line="480" w:lineRule="auto"/>
        <w:ind w:firstLine="720"/>
        <w:jc w:val="both"/>
      </w:pPr>
      <w:r>
        <w:rPr>
          <w:color w:val="000000"/>
        </w:rPr>
        <w:t>Subproses E Feature Integration dan Standardisasi: IntegrUntuk 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pPr>
      <w:r>
        <w:t>3.7 Tahap 5  Dimensionality Reduction: PCA Konsisten 6 Periode</w:t>
      </w:r>
    </w:p>
    <w:p w:rsidR="002316A4" w:rsidRDefault="00C02299">
      <w:pPr>
        <w:spacing w:after="160"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pPr>
      <w:r>
        <w:t>3.8 Tahap 6  Modeling: GMM per Periode</w:t>
      </w:r>
    </w:p>
    <w:p w:rsidR="002316A4" w:rsidRDefault="00C02299">
      <w:pPr>
        <w:spacing w:after="160" w:line="480" w:lineRule="auto"/>
        <w:ind w:firstLine="720"/>
        <w:jc w:val="both"/>
      </w:pPr>
      <w:r>
        <w:rPr>
          <w:i/>
          <w:color w:val="000000"/>
        </w:rPr>
        <w:t xml:space="preserve">K-scan dari 2 hingga 6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EndPr/>
        <w:sdtContent>
          <w:r w:rsidR="00BA594A" w:rsidRPr="00BA594A">
            <w:rPr>
              <w:i/>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2316A4" w:rsidRDefault="00C02299">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6B4AE2" w:rsidRDefault="00C02299" w:rsidP="006B4AE2">
      <w:pPr>
        <w:spacing w:after="120"/>
        <w:contextualSpacing/>
        <w:jc w:val="center"/>
        <w:rPr>
          <w:b/>
          <w:bCs/>
          <w:color w:val="000000"/>
          <w:sz w:val="20"/>
          <w:szCs w:val="20"/>
        </w:rPr>
      </w:pPr>
      <w:r>
        <w:rPr>
          <w:b/>
          <w:sz w:val="20"/>
          <w:szCs w:val="20"/>
        </w:rPr>
        <w:lastRenderedPageBreak/>
        <w:t>Tabel 3.2 Parameter Implementasi GMM (Scikit-learn v1.4+)</w:t>
      </w:r>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full</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Memungkinkan matriks kovarians elipsoid bebas per klaster</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1e</w:t>
            </w:r>
            <w:r w:rsidR="007C1716">
              <w:rPr>
                <w:color w:val="000000" w:themeColor="text1"/>
                <w:sz w:val="20"/>
                <w:szCs w:val="20"/>
              </w:rPr>
              <w:t xml:space="preserve"> </w:t>
            </w:r>
            <w:r w:rsidRPr="006B4AE2">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Convergence threshold standar (perubahan log</w:t>
            </w:r>
            <w:r w:rsidR="007C1716">
              <w:rPr>
                <w:color w:val="000000" w:themeColor="text1"/>
                <w:sz w:val="20"/>
                <w:szCs w:val="20"/>
              </w:rPr>
              <w:t xml:space="preserve"> </w:t>
            </w:r>
            <w:r w:rsidRPr="006B4AE2">
              <w:rPr>
                <w:color w:val="000000" w:themeColor="text1"/>
                <w:sz w:val="20"/>
                <w:szCs w:val="20"/>
              </w:rPr>
              <w:t>likelihood)</w:t>
            </w:r>
          </w:p>
        </w:tc>
      </w:tr>
    </w:tbl>
    <w:p w:rsidR="002316A4" w:rsidRDefault="00C02299" w:rsidP="00BA594A">
      <w:pPr>
        <w:spacing w:after="120"/>
        <w:jc w:val="both"/>
      </w:pPr>
      <w:r>
        <w:rPr>
          <w:i/>
          <w:iCs/>
          <w:color w:val="000000"/>
          <w:szCs w:val="20"/>
        </w:rPr>
        <w:t>Sumber: Pedregosa et al. (2011); desain parameter penelitian (2025)</w:t>
      </w:r>
    </w:p>
    <w:p w:rsidR="002316A4" w:rsidRDefault="00C02299">
      <w:pPr>
        <w:pStyle w:val="Judul2"/>
        <w:spacing w:line="480" w:lineRule="auto"/>
      </w:pPr>
      <w:r>
        <w:t>3.9 Tahap 7  Time Series Analysis</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2316A4" w:rsidRDefault="00C02299">
      <w:pPr>
        <w:spacing w:after="120"/>
        <w:jc w:val="center"/>
      </w:pPr>
      <w:r>
        <w:rPr>
          <w:b/>
          <w:bCs/>
          <w:color w:val="000000"/>
          <w:sz w:val="20"/>
          <w:szCs w:val="20"/>
        </w:rPr>
        <w:t xml:space="preserve">Tabel 3.3 </w:t>
      </w:r>
      <w:r>
        <w:rPr>
          <w:b/>
          <w:bCs/>
          <w:i/>
          <w:color w:val="000000"/>
          <w:sz w:val="20"/>
          <w:szCs w:val="20"/>
        </w:rPr>
        <w:t>Threshold</w:t>
      </w:r>
      <w:r>
        <w:rPr>
          <w:b/>
          <w:bCs/>
          <w:color w:val="000000"/>
          <w:sz w:val="20"/>
          <w:szCs w:val="20"/>
        </w:rPr>
        <w:t xml:space="preserve"> Interpretasi Metrik Stabilitas Klaster</w:t>
      </w:r>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
          <w:iCs/>
          <w:color w:val="000000"/>
          <w:szCs w:val="20"/>
        </w:rPr>
        <w:t>Sumber: Adaptasi dari Hubert &amp; Arabie (1985) dan Scrucca et al. (2024)</w:t>
      </w:r>
    </w:p>
    <w:p w:rsidR="00D07E87" w:rsidRDefault="00D07E87">
      <w:pPr>
        <w:spacing w:after="160" w:line="480" w:lineRule="auto"/>
        <w:ind w:firstLine="720"/>
        <w:jc w:val="both"/>
        <w:rPr>
          <w:color w:val="000000"/>
        </w:rPr>
      </w:pPr>
    </w:p>
    <w:p w:rsidR="002316A4" w:rsidRDefault="00C02299">
      <w:pPr>
        <w:spacing w:after="160" w:line="480" w:lineRule="auto"/>
        <w:ind w:firstLine="720"/>
        <w:jc w:val="both"/>
      </w:pPr>
      <w:r>
        <w:rPr>
          <w:color w:val="000000"/>
        </w:rPr>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pPr>
        <w:pStyle w:val="Judul2"/>
        <w:spacing w:line="480" w:lineRule="auto"/>
      </w:pPr>
      <w:r>
        <w:t>3.10 Tahap 8  Evaluasi Multi</w:t>
      </w:r>
      <w:r w:rsidR="007C1716">
        <w:t xml:space="preserve"> </w:t>
      </w:r>
      <w:r>
        <w:t>Level</w:t>
      </w:r>
    </w:p>
    <w:p w:rsidR="002316A4" w:rsidRDefault="00C02299">
      <w:pPr>
        <w:spacing w:after="120"/>
        <w:jc w:val="center"/>
      </w:pPr>
      <w:r>
        <w:rPr>
          <w:b/>
          <w:bCs/>
          <w:color w:val="000000"/>
          <w:sz w:val="20"/>
          <w:szCs w:val="20"/>
        </w:rPr>
        <w:t>Tabel 3.4 Ringkasan Metrik Evaluasi Lengkap</w:t>
      </w:r>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lastRenderedPageBreak/>
              <w:t>Metrik</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 0]</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
          <w:iCs/>
          <w:color w:val="000000"/>
          <w:szCs w:val="20"/>
        </w:rPr>
        <w:t>Sumber: Adaptasi dari Hubert &amp; Arabie (1985), Reimers &amp; Gurevych (2019), dan Scrucca et al. (2024)</w:t>
      </w:r>
    </w:p>
    <w:p w:rsidR="002316A4" w:rsidRDefault="00C02299">
      <w:pPr>
        <w:pStyle w:val="Judul2"/>
        <w:spacing w:line="480" w:lineRule="auto"/>
      </w:pPr>
      <w:r>
        <w:t>3.11 Tahap 9  Otomasi Analisis LLM</w:t>
      </w:r>
    </w:p>
    <w:p w:rsidR="002316A4" w:rsidRPr="00EB55A7" w:rsidRDefault="00C02299">
      <w:pPr>
        <w:spacing w:after="160" w:line="480" w:lineRule="auto"/>
        <w:ind w:firstLine="720"/>
        <w:jc w:val="both"/>
      </w:pPr>
      <w:r>
        <w:t>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Demografis, Motivasi Utama, Hambatan Utama, Pesan Kunci, Channel Terbaik.' Reasoning kausal mengintegrasikan ARI, centroid drift, perubahan proporsi, dan konteks historis pandemi .</w:t>
      </w:r>
    </w:p>
    <w:p>
      <w:pPr>
        <w:jc w:val="both"/>
        <w:spacing w:after="200" w:line="360" w:lineRule="auto"/>
      </w:pPr>
      <w:r>
        <w:rPr>
          <w:rFonts w:ascii="Times New Roman" w:hAnsi="Times New Roman"/>
          <w:sz w:val="24"/>
          <w:szCs w:val="24"/>
        </w:rPr>
        <w:t xml:space="preserve">Pipeline mengimplementasikan Hybrid Cognitive Pipeline dengan dual-engine: (1) Local Engine — Llama 3.2 3B (3,21 miliar parameter) via Ollama runtime, dan (2) Cloud Engine — OpenRouter API yang mengakses model-model penalaran tingkat tinggi (hingga 550B parameter). Pemilihan engine didasarkan pada jenis tugas dan sensitivitas data.</w:t>
      </w:r>
    </w:p>
    <w:p>
      <w:pPr>
        <w:jc w:val="both"/>
        <w:spacing w:after="200" w:line="360" w:lineRule="auto"/>
      </w:pPr>
      <w:r>
        <w:rPr>
          <w:rFonts w:ascii="Times New Roman" w:hAnsi="Times New Roman"/>
          <w:sz w:val="24"/>
          <w:szCs w:val="24"/>
        </w:rPr>
        <w:t xml:space="preserve">Task routing dibagi sebagai berikut. Tugas yang bersifat PII-sensitive dan memerlukan inferensi massal — yaitu persona generation, table narrative, dan PII sanitization — diarahkan ke Local Engine (Llama 3.2 3B). Tugas yang memerlukan penalaran multi-langkah dan tidak mengandung data individual — yaitu causal trend analysis, narrative summary, dan structural break analysis — diarahkan ke Cloud Engine (OpenRouter).</w:t>
      </w:r>
    </w:p>
    <w:p>
      <w:pPr>
        <w:jc w:val="both"/>
        <w:spacing w:after="200" w:line="360" w:lineRule="auto"/>
      </w:pPr>
      <w:r>
        <w:rPr>
          <w:rFonts w:ascii="Times New Roman" w:hAnsi="Times New Roman"/>
          <w:sz w:val="24"/>
          <w:szCs w:val="24"/>
        </w:rPr>
        <w:t xml:space="preserve">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pPr>
        <w:jc w:val="both"/>
        <w:spacing w:after="200" w:line="360" w:lineRule="auto"/>
      </w:pPr>
      <w:r>
        <w:rPr>
          <w:rFonts w:ascii="Times New Roman" w:hAnsi="Times New Roman"/>
          <w:sz w:val="24"/>
          <w:szCs w:val="24"/>
        </w:rPr>
        <w:t xml:space="preserve">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pPr>
      <w:r>
        <w:t>3.12 Tahap 10  Deployment: Strategi Rekrutmen Prediktif</w:t>
      </w:r>
    </w:p>
    <w:p w:rsidR="006B4AE2" w:rsidRPr="00EB55A7" w:rsidRDefault="00C02299" w:rsidP="0044241A">
      <w:pPr>
        <w:spacing w:after="160" w:line="480" w:lineRule="auto"/>
        <w:ind w:firstLine="720"/>
        <w:jc w:val="both"/>
        <w:rPr>
          <w:color w:val="000000"/>
        </w:rPr>
      </w:pPr>
      <w:r w:rsidRPr="00EB55A7">
        <w:rPr>
          <w:color w:val="000000"/>
        </w:rPr>
        <w:lastRenderedPageBreak/>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EndPr/>
        <w:sdtContent>
          <w:r w:rsidR="00BA594A" w:rsidRPr="00BA594A">
            <w:rPr>
              <w:color w:val="000000"/>
              <w:lang w:val="en-US"/>
            </w:rPr>
            <w:t>(Philip. Kotler and Keller 2016)</w:t>
          </w:r>
        </w:sdtContent>
      </w:sdt>
      <w:r w:rsidRPr="00EB55A7">
        <w:rPr>
          <w:i/>
          <w:color w:val="000000"/>
        </w:rPr>
        <w:t>, proyeksi komposisi 2025, dan panduan personalisasi otomatis per segmen berbasis profil GMM aktual.</w:t>
      </w:r>
    </w:p>
    <w:p w:rsidR="002316A4" w:rsidRDefault="00C02299">
      <w:pPr>
        <w:pStyle w:val="Judul2"/>
        <w:spacing w:line="480" w:lineRule="auto"/>
      </w:pPr>
      <w:r>
        <w:t>3.13 Instrumen Penelitian</w:t>
      </w:r>
    </w:p>
    <w:p w:rsidR="002316A4" w:rsidRDefault="00C02299">
      <w:pPr>
        <w:spacing w:after="160" w:line="480" w:lineRule="auto"/>
        <w:ind w:firstLine="720"/>
        <w:jc w:val="both"/>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979687247"/>
          <w:placeholder>
            <w:docPart w:val="DefaultPlaceholder_-1854013440"/>
          </w:placeholder>
        </w:sdtPr>
        <w:sdtEndPr/>
        <w:sdtContent>
          <w:r w:rsidR="00BA594A" w:rsidRPr="00BA594A">
            <w:rPr>
              <w:color w:val="000000"/>
              <w:lang w:val="en-US"/>
            </w:rPr>
            <w:t>(Pedregosa FABIANPEDREGOSA et al. 2011)</w:t>
          </w:r>
        </w:sdtContent>
      </w:sdt>
      <w:r>
        <w:rPr>
          <w:i/>
          <w:color w:val="000000"/>
        </w:rPr>
        <w:t>.</w:t>
      </w:r>
    </w:p>
    <w:p w:rsidR="006B4AE2" w:rsidRDefault="00C02299" w:rsidP="006B4AE2">
      <w:pPr>
        <w:spacing w:after="120"/>
        <w:contextualSpacing/>
        <w:jc w:val="center"/>
        <w:rPr>
          <w:b/>
          <w:bCs/>
          <w:color w:val="000000"/>
          <w:sz w:val="20"/>
          <w:szCs w:val="20"/>
        </w:rPr>
      </w:pPr>
      <w:r>
        <w:rPr>
          <w:b/>
          <w:sz w:val="20"/>
          <w:szCs w:val="20"/>
        </w:rPr>
        <w:t>Tabel 3.5 Instrumen Penelitian: Spesifikasi Perangkat Lunak dan Library</w:t>
      </w:r>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6B4AE2"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Fungsi dalam Pipeline</w:t>
            </w:r>
          </w:p>
        </w:tc>
      </w:tr>
      <w:tr w:rsidR="006B4AE2" w:rsidRPr="006B4AE2"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Bahasa utama seluruh pipeline</w:t>
            </w:r>
          </w:p>
        </w:tc>
      </w:tr>
      <w:tr w:rsidR="006B4AE2" w:rsidRPr="006B4AE2"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Implementasi IndoBERT embedding</w:t>
            </w:r>
          </w:p>
        </w:tc>
      </w:tr>
      <w:tr w:rsidR="006B4AE2" w:rsidRPr="006B4AE2"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Scikit</w:t>
            </w:r>
            <w:r w:rsidR="007C1716">
              <w:rPr>
                <w:color w:val="000000" w:themeColor="text1"/>
                <w:sz w:val="20"/>
                <w:szCs w:val="20"/>
              </w:rPr>
              <w:t xml:space="preserve"> </w:t>
            </w:r>
            <w:r w:rsidRPr="006B4AE2">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PCA, StandardScaler, KMeans</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Backend HuggingFace Transformers</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GeoPy</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Geocoding koordinat Lat/Lon</w:t>
            </w:r>
          </w:p>
        </w:tc>
      </w:tr>
      <w:tr w:rsidR="006B4AE2" w:rsidRPr="006B4AE2"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Manipulasi dataset &amp; komputasi</w:t>
            </w:r>
          </w:p>
        </w:tc>
      </w:tr>
      <w:tr w:rsidR="006B4AE2" w:rsidRPr="006B4AE2"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Grafik distribusi klaster &amp; tren</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
              <w:rPr>
                <w:rFonts w:ascii="Times New Roman" w:hAnsi="Times New Roman"/>
                <w:sz w:val="22"/>
              </w:rPr>
              <w:t>Runtime LLM lokal untuk task PII-sensitive</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Model LLM</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
              <w:rPr>
                <w:rFonts w:ascii="Times New Roman" w:hAnsi="Times New Roman"/>
                <w:sz w:val="22"/>
              </w:rPr>
              <w:t>PII sanitasi, generasi persona, table narratives</w:t>
            </w:r>
          </w:p>
        </w:tc>
      </w:tr>
      <w:tr w:rsidR="006B4AE2" w:rsidRPr="006B4AE2"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Model NLP</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Embedding teks Bahasa Indonesia</w:t>
            </w:r>
          </w:p>
        </w:tc>
      </w:tr>
      <w:tr>
        <w:tc>
          <w:tcPr>
            <w:tcW w:w="2500" w:type="dxa"/>
          </w:tcPr>
          <w:p>
            <w:pPr>
              <w:pStyle w:val="Normal"/>
              <w:jc w:val="left"/>
            </w:pPr>
            <w:r>
              <w:rPr>
                <w:rFonts w:ascii="Times New Roman" w:hAnsi="Times New Roman"/>
                <w:sz w:val="22"/>
              </w:rPr>
              <w:t xml:space="preserve">OpenRouter</w:t>
            </w:r>
          </w:p>
        </w:tc>
        <w:tc>
          <w:tcPr>
            <w:tcW w:w="2500" w:type="dxa"/>
          </w:tcPr>
          <w:p>
            <w:pPr>
              <w:pStyle w:val="Normal"/>
              <w:jc w:val="left"/>
            </w:pPr>
            <w:r>
              <w:rPr>
                <w:rFonts w:ascii="Times New Roman" w:hAnsi="Times New Roman"/>
                <w:sz w:val="22"/>
              </w:rPr>
              <w:t xml:space="preserve">—</w:t>
            </w:r>
          </w:p>
        </w:tc>
        <w:tc>
          <w:tcPr>
            <w:tcW w:w="2500" w:type="dxa"/>
          </w:tcPr>
          <w:p>
            <w:pPr>
              <w:pStyle w:val="Normal"/>
              <w:jc w:val="left"/>
            </w:pPr>
            <w:r>
              <w:rPr>
                <w:rFonts w:ascii="Times New Roman" w:hAnsi="Times New Roman"/>
                <w:sz w:val="22"/>
              </w:rPr>
              <w:t xml:space="preserve">Cloud API</w:t>
            </w:r>
          </w:p>
        </w:tc>
        <w:tc>
          <w:tcPr>
            <w:tcW w:w="2500" w:type="dxa"/>
          </w:tcPr>
          <w:p>
            <w:pPr>
              <w:pStyle w:val="Normal"/>
              <w:jc w:val="left"/>
            </w:pPr>
            <w:r>
              <w:rPr>
                <w:rFonts w:ascii="Times New Roman" w:hAnsi="Times New Roman"/>
                <w:sz w:val="22"/>
              </w:rPr>
              <w:t xml:space="preserve">Causal reasoning, narrative summary, structural break analysis (default: meta-llama/llama-3.3-70b-instruct)</w:t>
            </w:r>
          </w:p>
        </w:tc>
      </w:tr>
      <w:tr>
        <w:tc>
          <w:tcPr>
            <w:tcW w:w="2500" w:type="dxa"/>
          </w:tcPr>
          <w:p>
            <w:pPr>
              <w:pStyle w:val="Normal"/>
              <w:jc w:val="left"/>
            </w:pPr>
            <w:r>
              <w:rPr>
                <w:rFonts w:ascii="Times New Roman" w:hAnsi="Times New Roman"/>
                <w:sz w:val="22"/>
              </w:rPr>
              <w:t xml:space="preserve">HybridLLMProvider</w:t>
            </w:r>
          </w:p>
        </w:tc>
        <w:tc>
          <w:tcPr>
            <w:tcW w:w="2500" w:type="dxa"/>
          </w:tcPr>
          <w:p>
            <w:pPr>
              <w:pStyle w:val="Normal"/>
              <w:jc w:val="left"/>
            </w:pPr>
            <w:r>
              <w:rPr>
                <w:rFonts w:ascii="Times New Roman" w:hAnsi="Times New Roman"/>
                <w:sz w:val="22"/>
              </w:rPr>
              <w:t xml:space="preserve">—</w:t>
            </w:r>
          </w:p>
        </w:tc>
        <w:tc>
          <w:tcPr>
            <w:tcW w:w="2500" w:type="dxa"/>
          </w:tcPr>
          <w:p>
            <w:pPr>
              <w:pStyle w:val="Normal"/>
              <w:jc w:val="left"/>
            </w:pPr>
            <w:r>
              <w:rPr>
                <w:rFonts w:ascii="Times New Roman" w:hAnsi="Times New Roman"/>
                <w:sz w:val="22"/>
              </w:rPr>
              <w:t xml:space="preserve">Routing engine</w:t>
            </w:r>
          </w:p>
        </w:tc>
        <w:tc>
          <w:tcPr>
            <w:tcW w:w="2500" w:type="dxa"/>
          </w:tcPr>
          <w:p>
            <w:pPr>
              <w:pStyle w:val="Normal"/>
              <w:jc w:val="left"/>
            </w:pPr>
            <w:r>
              <w:rPr>
                <w:rFonts w:ascii="Times New Roman" w:hAnsi="Times New Roman"/>
                <w:sz w:val="22"/>
              </w:rPr>
              <w:t xml:space="preserve">Task routing otomatis: lokal untuk PII-sensitive, cloud untuk high-reasoning</w:t>
            </w:r>
          </w:p>
        </w:tc>
      </w:tr>
    </w:tbl>
    <w:p w:rsidR="002316A4" w:rsidRDefault="00C02299" w:rsidP="00BA594A">
      <w:pPr>
        <w:spacing w:after="120"/>
        <w:jc w:val="both"/>
      </w:pPr>
      <w:r>
        <w:rPr>
          <w:i/>
          <w:iCs/>
          <w:color w:val="000000"/>
          <w:szCs w:val="20"/>
        </w:rPr>
        <w:t>Sumber: Spesifikasi instrumen penelitian (2025)</w:t>
      </w:r>
    </w:p>
    <w:p w:rsidR="002316A4" w:rsidRDefault="00C02299">
      <w:pPr>
        <w:spacing w:after="120"/>
        <w:jc w:val="center"/>
      </w:pPr>
      <w:r>
        <w:rPr>
          <w:b/>
          <w:bCs/>
          <w:color w:val="000000"/>
          <w:sz w:val="20"/>
          <w:szCs w:val="20"/>
        </w:rPr>
        <w:t>Tabel 3.6 Spesifikasi Hardware Minimal dan yang Digunakan</w:t>
      </w:r>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lastRenderedPageBreak/>
              <w:t>Komponen</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
          <w:iCs/>
          <w:color w:val="000000"/>
          <w:szCs w:val="20"/>
        </w:rPr>
        <w:t>Sumber: Spesifikasi hardware penelitian (2025)</w:t>
      </w:r>
    </w:p>
    <w:p w:rsidR="002316A4" w:rsidRDefault="002316A4">
      <w:pPr>
        <w:spacing w:after="160" w:line="480" w:lineRule="auto"/>
        <w:ind w:firstLine="720"/>
        <w:jc w:val="both"/>
      </w:pPr>
      <w:r>
        <w:t>Spesifikasi hardware pada Tabel 3.6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after="160"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r>
        <w:t>3.14 Prosedur Validasi Expert</w:t>
      </w:r>
    </w:p>
    <w:p w:rsidR="002316A4" w:rsidRDefault="00C02299">
      <w:pPr>
        <w:spacing w:after="160" w:line="480" w:lineRule="auto"/>
        <w:ind w:firstLine="720"/>
        <w:jc w:val="both"/>
      </w:pPr>
      <w:r>
        <w:rPr>
          <w:color w:val="000000"/>
        </w:rPr>
        <w:lastRenderedPageBreak/>
        <w:t xml:space="preserve">Validasi expert dilakukan untuk mengkonfirmasi relevansi praktis output sistem otomasi </w:t>
      </w:r>
      <w:r>
        <w:rPr>
          <w:i/>
          <w:color w:val="000000"/>
        </w:rPr>
        <w:t>LLM</w:t>
      </w:r>
      <w:r>
        <w:rPr>
          <w:color w:val="000000"/>
        </w:rPr>
        <w:t xml:space="preserve"> terhadap pengalaman aktual rekrutmen ITSNU Pekalongan. Validasi ini mengacu pada pendekatan content validity yang umumnya digunakan untuk mengevaluasi kualitas instrumen dan output sistem berbasis AI dalam konteks pendidikan.</w:t>
      </w:r>
    </w:p>
    <w:p w:rsidR="002316A4" w:rsidRDefault="00C02299">
      <w:pPr>
        <w:spacing w:after="160" w:line="480" w:lineRule="auto"/>
        <w:ind w:firstLine="720"/>
        <w:jc w:val="both"/>
      </w:pPr>
      <w:r>
        <w:rPr>
          <w:color w:val="000000"/>
        </w:rPr>
        <w:t xml:space="preserve">Desain validasi: </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Validasi dilakukan melalui sesi diskusi terfokus (focused group discussion) berdurasi 90–120 menit setelah seluruh analisis </w:t>
      </w:r>
      <w:r>
        <w:rPr>
          <w:i/>
          <w:color w:val="000000"/>
        </w:rPr>
        <w:t>pipeline</w:t>
      </w:r>
      <w:r>
        <w:rPr>
          <w:color w:val="000000"/>
        </w:rPr>
        <w:t xml:space="preserve"> selesai dijalankan.</w:t>
      </w:r>
    </w:p>
    <w:p w:rsidR="006B4AE2" w:rsidRDefault="00C02299" w:rsidP="006B4AE2">
      <w:pPr>
        <w:spacing w:after="120"/>
        <w:contextualSpacing/>
        <w:jc w:val="center"/>
        <w:rPr>
          <w:b/>
          <w:bCs/>
          <w:color w:val="000000"/>
          <w:sz w:val="20"/>
          <w:szCs w:val="20"/>
        </w:rPr>
      </w:pPr>
      <w:r>
        <w:rPr>
          <w:b/>
          <w:sz w:val="20"/>
          <w:szCs w:val="20"/>
        </w:rPr>
        <w:t>Tabel 3.7 Instrumen Checklist Expert Validation</w:t>
      </w:r>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2316A4" w:rsidRDefault="00C02299" w:rsidP="00BA594A">
      <w:pPr>
        <w:spacing w:after="120"/>
        <w:jc w:val="both"/>
      </w:pPr>
      <w:r>
        <w:rPr>
          <w:i/>
          <w:iCs/>
          <w:color w:val="000000"/>
          <w:szCs w:val="20"/>
        </w:rPr>
        <w:t>Sumber: Desain instrumen expert validation penelitian (2025)</w:t>
      </w:r>
    </w:p>
    <w:p w:rsidR="002316A4" w:rsidRDefault="00C02299">
      <w:pPr>
        <w:spacing w:after="160" w:line="480" w:lineRule="auto"/>
        <w:ind w:firstLine="720"/>
        <w:jc w:val="both"/>
      </w:pPr>
      <w:r>
        <w:rPr>
          <w:color w:val="000000"/>
        </w:rPr>
        <w:t xml:space="preserve">Validasi dinyatakan berhasil (H3b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w:t>
      </w:r>
      <w:r>
        <w:rPr>
          <w:i/>
          <w:color w:val="000000"/>
        </w:rPr>
        <w:t>LLM</w:t>
      </w:r>
      <w:r>
        <w:rPr>
          <w:color w:val="000000"/>
        </w:rPr>
        <w:t xml:space="preserve"> pada iterasi selanjutnya.</w:t>
      </w:r>
    </w:p>
    <w:p w:rsidR="002316A4" w:rsidRDefault="00C02299">
      <w:pPr>
        <w:pStyle w:val="Judul2"/>
        <w:spacing w:line="480" w:lineRule="auto"/>
      </w:pPr>
      <w:r>
        <w:lastRenderedPageBreak/>
        <w:t>3.15 Etika Penelitian</w:t>
      </w:r>
    </w:p>
    <w:p w:rsidR="002316A4" w:rsidRDefault="00C02299">
      <w:pPr>
        <w:spacing w:after="160"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pendekatan Hybrid Cognitive Pipeline di mana data PII disanitasi sepenuhnya di 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2316A4" w:rsidRDefault="00C02299">
      <w:pPr>
        <w:pStyle w:val="Judul2"/>
        <w:spacing w:line="480" w:lineRule="auto"/>
      </w:pPr>
      <w:r>
        <w:t>3.16 Jadwal Pelaksanaan Penelitian</w:t>
      </w:r>
    </w:p>
    <w:p w:rsidR="006B4AE2" w:rsidRDefault="00C02299" w:rsidP="006B4AE2">
      <w:pPr>
        <w:spacing w:after="120"/>
        <w:contextualSpacing/>
        <w:jc w:val="center"/>
        <w:rPr>
          <w:b/>
          <w:bCs/>
          <w:color w:val="000000"/>
          <w:sz w:val="20"/>
          <w:szCs w:val="20"/>
        </w:rPr>
      </w:pPr>
      <w:r>
        <w:rPr>
          <w:b/>
          <w:sz w:val="20"/>
          <w:szCs w:val="20"/>
        </w:rPr>
        <w:t>Tabel 3.8 Jadwal Pelaksanaan Penelitian (6 Bulan)</w:t>
      </w:r>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3"/>
        <w:gridCol w:w="1285"/>
        <w:gridCol w:w="1808"/>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18"/>
                <w:szCs w:val="20"/>
              </w:rPr>
              <w:t>No</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18"/>
                <w:szCs w:val="20"/>
              </w:rPr>
              <w:t>Tahapan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18"/>
                <w:szCs w:val="20"/>
              </w:rPr>
              <w:t>Kegiatan Utama</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18"/>
                <w:szCs w:val="20"/>
              </w:rPr>
              <w:t>Bln 1</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18"/>
                <w:szCs w:val="20"/>
              </w:rPr>
              <w:t>Bln 2</w:t>
            </w: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18"/>
                <w:szCs w:val="20"/>
              </w:rPr>
              <w:t>Bln 3</w:t>
            </w: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18"/>
                <w:szCs w:val="20"/>
              </w:rPr>
              <w:t>Bln 4</w:t>
            </w: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18"/>
                <w:szCs w:val="20"/>
              </w:rPr>
              <w:t>Bln 5</w:t>
            </w: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18"/>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18"/>
                <w:szCs w:val="20"/>
              </w:rPr>
              <w:t>1</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18"/>
                <w:szCs w:val="20"/>
              </w:rPr>
              <w:t>Persiapan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18"/>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18"/>
                <w:szCs w:val="20"/>
              </w:rPr>
              <w:t>X</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18"/>
                <w:szCs w:val="20"/>
              </w:rPr>
              <w:t>2</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18"/>
                <w:szCs w:val="20"/>
              </w:rPr>
              <w:t>Data Prep</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18"/>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18"/>
                <w:szCs w:val="20"/>
              </w:rPr>
              <w:t>X</w:t>
            </w: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18"/>
                <w:szCs w:val="20"/>
              </w:rPr>
              <w:t>3</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18"/>
                <w:szCs w:val="20"/>
              </w:rPr>
              <w:t>Pemodelan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18"/>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18"/>
                <w:szCs w:val="20"/>
              </w:rPr>
              <w:t>X</w:t>
            </w: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18"/>
                <w:szCs w:val="20"/>
              </w:rPr>
              <w:t>4</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18"/>
                <w:szCs w:val="20"/>
              </w:rPr>
              <w:t>Time Series</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18"/>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18"/>
                <w:szCs w:val="20"/>
              </w:rPr>
              <w:t>X</w:t>
            </w: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18"/>
                <w:szCs w:val="20"/>
              </w:rPr>
              <w:t>5</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18"/>
                <w:szCs w:val="20"/>
              </w:rPr>
              <w:t>LLM &amp; Validasi</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18"/>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18"/>
                <w:szCs w:val="20"/>
              </w:rPr>
              <w:t>X</w:t>
            </w: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18"/>
                <w:szCs w:val="20"/>
              </w:rPr>
              <w:t>6</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18"/>
                <w:szCs w:val="20"/>
              </w:rPr>
              <w:t>Penulisan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18"/>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18"/>
                <w:szCs w:val="20"/>
              </w:rPr>
              <w:t>X</w:t>
            </w:r>
          </w:p>
        </w:tc>
      </w:tr>
    </w:tbl>
    <w:p w:rsidR="002316A4" w:rsidRDefault="00C02299">
      <w:pPr>
        <w:spacing w:after="120"/>
        <w:jc w:val="both"/>
      </w:pPr>
      <w:r>
        <w:rPr>
          <w:i/>
          <w:iCs/>
          <w:color w:val="000000"/>
          <w:szCs w:val="20"/>
        </w:rPr>
        <w:t>Sumber: Perencanaan penelitian (2025)</w:t>
      </w:r>
    </w:p>
    <w:p w:rsidR="006B4AE2" w:rsidRDefault="00C02299" w:rsidP="006B4AE2">
      <w:pPr>
        <w:pStyle w:val="Judul1"/>
        <w:pageBreakBefore/>
        <w:spacing w:line="480" w:lineRule="auto"/>
        <w:contextualSpacing/>
      </w:pPr>
      <w:r>
        <w:lastRenderedPageBreak/>
        <w:t xml:space="preserve">BAB IV </w:t>
      </w:r>
    </w:p>
    <w:p w:rsidR="002316A4" w:rsidRDefault="00C02299" w:rsidP="00EB55A7">
      <w:pPr>
        <w:pStyle w:val="Judul1"/>
        <w:spacing w:line="480" w:lineRule="auto"/>
        <w:contextualSpacing/>
      </w:pPr>
      <w:r>
        <w:t>HASIL PENELITIAN DAN PEMBAHASAN</w:t>
      </w:r>
    </w:p>
    <w:p w:rsidR="002316A4" w:rsidRDefault="00C02299">
      <w:pPr>
        <w:pStyle w:val="Judul2"/>
        <w:spacing w:line="480" w:lineRule="auto"/>
      </w:pPr>
      <w:r>
        <w:t>4.1 Deskripsi Data Time Series Calon Mahasiswa (2019–2024)</w:t>
      </w:r>
    </w:p>
    <w:p w:rsidR="002316A4" w:rsidRDefault="00C02299">
      <w:pPr>
        <w:pStyle w:val="Judul3"/>
        <w:spacing w:line="480" w:lineRule="auto"/>
      </w:pPr>
      <w:r>
        <w:t>4.1.1 Gambaran Umum Dataset</w:t>
      </w:r>
    </w:p>
    <w:p w:rsidR="002316A4" w:rsidRDefault="00C02299">
      <w:pPr>
        <w:spacing w:after="160"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2316A4" w:rsidRDefault="00C02299">
      <w:pPr>
        <w:spacing w:after="120"/>
        <w:jc w:val="center"/>
      </w:pPr>
      <w:r>
        <w:rPr>
          <w:b/>
          <w:bCs/>
          <w:color w:val="000000"/>
          <w:sz w:val="20"/>
          <w:szCs w:val="20"/>
        </w:rPr>
        <w:t>Tabel 4.1 Distribusi Jumlah Pendaftar per Tahun dan Fase Temporal (2019–2024)</w:t>
      </w:r>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shd w:val="clear" w:color="auto" w:fill="auto"/>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shd w:val="clear" w:color="auto" w:fill="auto"/>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rPr>
          <w:i/>
          <w:iCs/>
          <w:color w:val="000000"/>
          <w:szCs w:val="20"/>
        </w:rPr>
        <w:t>Sumber: Data Primer PMB ITSNU Pekalongan, diolah (2025)</w:t>
      </w:r>
    </w:p>
    <w:p w:rsidR="002316A4" w:rsidRDefault="00C02299">
      <w:pPr>
        <w:spacing w:after="160"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i/>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baseline) dan 301 pada 2021 (+9,9%). Temuan ini berbeda dari pola yang </w:t>
      </w:r>
      <w:r>
        <w:rPr>
          <w:i/>
          <w:color w:val="000000"/>
        </w:rPr>
        <w:lastRenderedPageBreak/>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after="160"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2316A4" w:rsidRDefault="00C02299">
      <w:pPr>
        <w:spacing w:before="80" w:after="80" w:line="480" w:lineRule="auto"/>
        <w:jc w:val="center"/>
      </w:pPr>
      <w:r>
        <w:rPr>
          <w:noProof/>
        </w:rPr>
        <w:drawing>
          <wp:inline distT="0" distB="0" distL="0" distR="0">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762250"/>
                    </a:xfrm>
                    <a:prstGeom prst="rect">
                      <a:avLst/>
                    </a:prstGeom>
                  </pic:spPr>
                </pic:pic>
              </a:graphicData>
            </a:graphic>
          </wp:inline>
        </w:drawing>
      </w:r>
    </w:p>
    <w:p w:rsidR="002316A4" w:rsidRDefault="00C02299" w:rsidP="00EB55A7">
      <w:pPr>
        <w:spacing w:after="120"/>
        <w:jc w:val="center"/>
      </w:pPr>
      <w:r>
        <w:rPr>
          <w:b/>
          <w:color w:val="000000"/>
          <w:sz w:val="20"/>
          <w:szCs w:val="20"/>
        </w:rPr>
        <w:t>Gambar 4.1 Distribusi Jumlah Pendaftar PMB ITSNU Pekalongan per Tahun (2019–2024)</w:t>
      </w:r>
    </w:p>
    <w:p w:rsidR="002316A4" w:rsidRDefault="00C02299" w:rsidP="00BA594A">
      <w:pPr>
        <w:spacing w:after="120"/>
        <w:jc w:val="both"/>
      </w:pPr>
      <w:r>
        <w:rPr>
          <w:i/>
          <w:iCs/>
          <w:color w:val="000000"/>
          <w:szCs w:val="20"/>
        </w:rPr>
        <w:t>Sumber: Data Primer PMB ITSNU Pekalongan, diolah menggunakan Python</w:t>
      </w:r>
    </w:p>
    <w:p w:rsidR="002316A4" w:rsidRPr="00971323" w:rsidRDefault="00C02299" w:rsidP="00971323">
      <w:pPr>
        <w:spacing w:after="120" w:line="480" w:lineRule="auto"/>
        <w:ind w:firstLine="720"/>
        <w:jc w:val="both"/>
        <w:rPr>
          <w:color w:val="000000"/>
        </w:rPr>
      </w:pPr>
      <w:r w:rsidRPr="00971323">
        <w:rPr>
          <w:color w:val="000000"/>
        </w:rPr>
        <w:lastRenderedPageBreak/>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COVID 2019), merah (COVID Crisis 2020–2021), dan hijau (Recovery 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EB55A7" w:rsidRPr="00EB55A7" w:rsidRDefault="00C02299" w:rsidP="00EB55A7">
      <w:pPr>
        <w:pStyle w:val="Judul3"/>
        <w:spacing w:after="160" w:line="480" w:lineRule="auto"/>
      </w:pPr>
      <w:r>
        <w:t>4.1.2 Distribusi Program Studi Dominan</w:t>
      </w:r>
    </w:p>
    <w:p w:rsidR="00B30C86" w:rsidRDefault="00C02299" w:rsidP="00B30C86">
      <w:pPr>
        <w:spacing w:after="120"/>
        <w:contextualSpacing/>
        <w:jc w:val="center"/>
        <w:rPr>
          <w:b/>
          <w:bCs/>
          <w:color w:val="000000"/>
          <w:sz w:val="20"/>
          <w:szCs w:val="20"/>
        </w:rPr>
      </w:pPr>
      <w:r>
        <w:rPr>
          <w:b/>
          <w:sz w:val="20"/>
          <w:szCs w:val="20"/>
        </w:rPr>
        <w:t>Tabel 4.2 Distribusi Program Studi Dominan (Seluruh Periode 2019–2024)</w:t>
      </w:r>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rPr>
          <w:i/>
          <w:iCs/>
          <w:color w:val="000000"/>
          <w:szCs w:val="20"/>
        </w:rPr>
        <w:t>Sumber: Data Primer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t xml:space="preserve">Tabel 4.2 mengungkap dominasi yang kuat program berbasis teknologi informasi. Sarjana Informatika (30,9%) dan Sarjana Teknologi Informasi (28,2%) secara gabungan menyerap 59,1% dari seluruh 2.362 pendaftar hampir tiga </w:t>
      </w:r>
      <w:r w:rsidRPr="00971323">
        <w:rPr>
          <w:color w:val="000000"/>
        </w:rPr>
        <w:lastRenderedPageBreak/>
        <w:t>perempat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pPr>
      <w:r>
        <w:t>4.2 Hasil Otomasi Data Preparation (Tahap 4A–4E)</w:t>
      </w:r>
    </w:p>
    <w:p w:rsidR="002316A4" w:rsidRDefault="00C02299" w:rsidP="00BA594A">
      <w:pPr>
        <w:pStyle w:val="Judul3"/>
        <w:spacing w:after="160" w:line="480" w:lineRule="auto"/>
      </w:pPr>
      <w:r>
        <w:t>4.2.1 Hasil Text Preprocessing Otomatis</w:t>
      </w:r>
    </w:p>
    <w:p w:rsidR="002316A4" w:rsidRPr="00BA594A" w:rsidRDefault="00C02299" w:rsidP="00BA594A">
      <w:pPr>
        <w:spacing w:after="120"/>
        <w:contextualSpacing/>
        <w:jc w:val="center"/>
        <w:rPr>
          <w:b/>
          <w:bCs/>
          <w:color w:val="000000"/>
          <w:sz w:val="20"/>
          <w:szCs w:val="20"/>
        </w:rPr>
      </w:pPr>
      <w:r>
        <w:rPr>
          <w:b/>
          <w:sz w:val="20"/>
          <w:szCs w:val="20"/>
        </w:rPr>
        <w:t xml:space="preserve">Tabel 4.3 Contoh Hasil Otomasi Text </w:t>
      </w:r>
      <w:r>
        <w:rPr>
          <w:b/>
          <w:i/>
          <w:sz w:val="20"/>
          <w:szCs w:val="20"/>
        </w:rPr>
        <w:t>Preprocessing</w:t>
      </w:r>
      <w:r>
        <w:rPr>
          <w:b/>
          <w:sz w:val="20"/>
          <w:szCs w:val="20"/>
        </w:rPr>
        <w:t xml:space="preserve"> (Normalisasi Singkatan Bahasa Indonesia)</w:t>
      </w:r>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w:t>
      </w:r>
      <w:r w:rsidR="00C02299" w:rsidRPr="00971323">
        <w:rPr>
          <w:color w:val="000000"/>
        </w:rPr>
        <w:lastRenderedPageBreak/>
        <w:t xml:space="preserve">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Default="00C02299" w:rsidP="00BA594A">
      <w:pPr>
        <w:pStyle w:val="Judul3"/>
        <w:spacing w:after="160" w:line="480" w:lineRule="auto"/>
      </w:pPr>
      <w:r>
        <w:t>4.2.2 Validasi Stabilitas Embedding IndoBERT</w:t>
      </w:r>
    </w:p>
    <w:p w:rsidR="002316A4" w:rsidRPr="00BA594A" w:rsidRDefault="00C02299" w:rsidP="00BA594A">
      <w:pPr>
        <w:spacing w:after="120"/>
        <w:contextualSpacing/>
        <w:jc w:val="center"/>
        <w:rPr>
          <w:b/>
          <w:bCs/>
          <w:color w:val="000000"/>
          <w:sz w:val="20"/>
          <w:szCs w:val="20"/>
        </w:rPr>
      </w:pPr>
      <w:r>
        <w:rPr>
          <w:b/>
          <w:sz w:val="20"/>
          <w:szCs w:val="20"/>
        </w:rPr>
        <w:t xml:space="preserve">Tabel 4.4 Validasi Stabilitas </w:t>
      </w:r>
      <w:r>
        <w:rPr>
          <w:b/>
          <w:i/>
          <w:sz w:val="20"/>
          <w:szCs w:val="20"/>
        </w:rPr>
        <w:t>Embedding</w:t>
      </w:r>
      <w:r>
        <w:rPr>
          <w:b/>
          <w:sz w:val="20"/>
          <w:szCs w:val="20"/>
        </w:rPr>
        <w:t xml:space="preserve"> IndoBERT: Cosine Similarity Rata-rata Antar Periode</w:t>
      </w:r>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C56195" w:rsidTr="00C56195">
        <w:trPr>
          <w:trHeight w:val="194"/>
          <w:tblHeader/>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Transisi Periode</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Cosine Similarity</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Kategori</w:t>
            </w:r>
          </w:p>
        </w:tc>
        <w:tc>
          <w:tcPr>
            <w:tcW w:w="368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Interpretasi</w:t>
            </w:r>
          </w:p>
        </w:tc>
      </w:tr>
      <w:tr w:rsidR="00C56195" w:rsidRPr="00C56195" w:rsidTr="00C56195">
        <w:trPr>
          <w:trHeight w:val="802"/>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2019 → 2020</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0,7901</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Moderat</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Di atas threshold 0,70  perubahan klaster mencerminkan data, bukan artefak</w:t>
            </w:r>
          </w:p>
        </w:tc>
      </w:tr>
      <w:tr w:rsidR="00C56195" w:rsidRPr="00C56195" w:rsidTr="00C56195">
        <w:trPr>
          <w:trHeight w:val="595"/>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2020 → 2021</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0,8024</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baik; fase COVID Crisis stabil secara semantik</w:t>
            </w:r>
          </w:p>
        </w:tc>
      </w:tr>
      <w:tr w:rsidR="00C56195" w:rsidRPr="00C56195" w:rsidTr="00C56195">
        <w:trPr>
          <w:trHeight w:val="595"/>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2021 → 2022</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0,8128</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Nilai tertinggi; transisi Recovery paling konsisten secara semantik</w:t>
            </w:r>
          </w:p>
        </w:tc>
      </w:tr>
      <w:tr w:rsidR="00C56195" w:rsidRPr="00C56195" w:rsidTr="00C56195">
        <w:trPr>
          <w:trHeight w:val="388"/>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2022 → 2023</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0,8009</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terjaga meski lonjakan volume 2023</w:t>
            </w:r>
          </w:p>
        </w:tc>
      </w:tr>
      <w:tr w:rsidR="00C56195" w:rsidRPr="00C56195" w:rsidTr="00C56195">
        <w:trPr>
          <w:trHeight w:val="401"/>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2023 → 2024</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0,8095</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baik menuju stabilisasi 2024</w:t>
            </w:r>
          </w:p>
        </w:tc>
      </w:tr>
      <w:tr w:rsidR="00C56195" w:rsidRPr="00C56195" w:rsidTr="00C56195">
        <w:trPr>
          <w:trHeight w:val="582"/>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Rata-rata keseluruhan</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0,8031</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Semua transisi di atas threshold 0,70 → H2 TERKONFIRMASI</w:t>
            </w:r>
          </w:p>
        </w:tc>
      </w:tr>
    </w:tbl>
    <w:p w:rsidR="002316A4" w:rsidRDefault="00C02299" w:rsidP="00EB55A7">
      <w:pPr>
        <w:spacing w:after="160" w:line="480" w:lineRule="auto"/>
        <w:ind w:firstLine="720"/>
        <w:jc w:val="both"/>
      </w:pPr>
      <w:r>
        <w:rPr>
          <w:i/>
          <w:iCs/>
          <w:color w:val="000000"/>
          <w:szCs w:val="20"/>
        </w:rPr>
        <w:t>Keterangan: Cosine Similarity &gt; 0,85 = Stabil; 0,70–0,85 = Moderat; &lt; 0,70 = Rendah</w:t>
      </w:r>
    </w:p>
    <w:p w:rsidR="002316A4" w:rsidRDefault="00C02299" w:rsidP="00EB55A7">
      <w:pPr>
        <w:spacing w:after="120"/>
        <w:jc w:val="both"/>
      </w:pPr>
      <w:r>
        <w:rPr>
          <w:i/>
          <w:iCs/>
          <w:color w:val="000000"/>
          <w:szCs w:val="20"/>
        </w:rPr>
        <w:t>Sumber: Hasil otomasi pipeline IndoBERT (2025)</w:t>
      </w:r>
    </w:p>
    <w:p w:rsidR="00971323" w:rsidRDefault="00971323" w:rsidP="00971323">
      <w:pPr>
        <w:spacing w:after="120" w:line="480" w:lineRule="auto"/>
        <w:jc w:val="both"/>
        <w:rPr>
          <w:color w:val="000000"/>
        </w:rPr>
      </w:pPr>
    </w:p>
    <w:p w:rsidR="002316A4" w:rsidRPr="00971323" w:rsidRDefault="00C02299" w:rsidP="00971323">
      <w:pPr>
        <w:spacing w:after="120" w:line="480" w:lineRule="auto"/>
        <w:ind w:firstLine="720"/>
        <w:jc w:val="both"/>
      </w:pPr>
      <w:r w:rsidRPr="00971323">
        <w:rPr>
          <w:color w:val="000000"/>
        </w:rPr>
        <w:lastRenderedPageBreak/>
        <w:t xml:space="preserve">Tabel 4.4 menyajikan hasil validasi kritis yang mengkonfirmasi Hipotesis 2 (H2). Nilai cosine similarity rata-rata 0,8031 pada seluruh 5 transisi berada di atas </w:t>
      </w:r>
      <w:r w:rsidRPr="00971323">
        <w:rPr>
          <w:i/>
          <w:color w:val="000000"/>
        </w:rPr>
        <w:t>threshold</w:t>
      </w:r>
      <w:r w:rsidRPr="00971323">
        <w:rPr>
          <w:color w:val="000000"/>
        </w:rPr>
        <w:t xml:space="preserve"> 0,70 yang ditetapkan. Dua temuan penting dari tabel ini. Pertama, nilai terendah justru terjadi pada transisi 2019→2020 (0,7901) yaitu transisi yang secara struktural mengalami perubahan paling dramatis (structural break dengan ARI = −0,0036 dan centroid drift 20,35). Ini membuktikan bahwa perbedaan yang terdeteksi pada analisis GMM benar-benar mencerminkan perubahan substantif </w:t>
      </w:r>
      <w:r w:rsidRPr="00971323">
        <w:rPr>
          <w:i/>
          <w:color w:val="000000"/>
        </w:rPr>
        <w:t>populasi pendaftar, bukan ketidakstabilan teknis model. Kedua, nilai tertinggi pada transisi 2021→2022 (0,8128) konsisten dengan fakta bahwa perpindahan dari fase COVID Crisis ke Recovery melibatkan entitas institusional (sekolah asal, wilayah) yang sebagian besar sama, meskipun distribusinya berubah. Temuan ini memvalidasi strategi frozen weights IndoBERT yang dipilih (Subakti et al., 2022; Reimers &amp; Gurevych, 2019).</w:t>
      </w:r>
    </w:p>
    <w:p w:rsidR="002316A4" w:rsidRDefault="00C02299">
      <w:pPr>
        <w:pStyle w:val="Judul3"/>
        <w:spacing w:line="480" w:lineRule="auto"/>
      </w:pPr>
      <w:r>
        <w:t>4.2.3 Hasil PCA Dimensionality Reduction</w:t>
      </w:r>
    </w:p>
    <w:p w:rsidR="002316A4" w:rsidRDefault="00C02299">
      <w:pPr>
        <w:spacing w:after="160"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4.2a–4.2f.</w:t>
      </w:r>
    </w:p>
    <w:p w:rsidR="002316A4" w:rsidRDefault="00C02299" w:rsidP="00BA594A">
      <w:pPr>
        <w:pStyle w:val="Judul2"/>
        <w:spacing w:line="480" w:lineRule="auto"/>
      </w:pPr>
      <w:r>
        <w:t>4.3 Hasil Segmentasi Probabilistik GMM Time Series (Tahap 6)</w:t>
      </w:r>
    </w:p>
    <w:p w:rsidR="002316A4" w:rsidRDefault="00C02299" w:rsidP="00BA594A">
      <w:pPr>
        <w:pStyle w:val="Judul3"/>
        <w:spacing w:after="160" w:line="480" w:lineRule="auto"/>
      </w:pPr>
      <w:r>
        <w:lastRenderedPageBreak/>
        <w:t>4.3.1 Penentuan Jumlah Komponen Optimal (K-Scan)</w:t>
      </w:r>
    </w:p>
    <w:p w:rsidR="002316A4" w:rsidRPr="00BA594A" w:rsidRDefault="00C02299" w:rsidP="00BA594A">
      <w:pPr>
        <w:spacing w:after="120"/>
        <w:contextualSpacing/>
        <w:jc w:val="center"/>
        <w:rPr>
          <w:b/>
          <w:bCs/>
          <w:color w:val="000000"/>
          <w:sz w:val="20"/>
          <w:szCs w:val="20"/>
        </w:rPr>
      </w:pPr>
      <w:r>
        <w:rPr>
          <w:b/>
          <w:sz w:val="20"/>
          <w:szCs w:val="20"/>
        </w:rPr>
        <w:t>Tabel 4.5 Nilai BIC Optimal dan Silhouette Score per Tahun (K-Scan 2–6)</w:t>
      </w:r>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51"/>
        <w:gridCol w:w="1551"/>
        <w:gridCol w:w="1490"/>
      </w:tblGrid>
      <w:tr w:rsidR="00707891" w:rsidRPr="00707891" w:rsidTr="00707891">
        <w:trPr>
          <w:trHeight w:val="221"/>
          <w:tblHeader/>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Tahun</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Fase</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 Optimal</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BIC Optimal</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Silhouette Score</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20.594,43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0,0683</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28.991,05</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66.631,38</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0,0496</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10.935,41</w:t>
            </w:r>
          </w:p>
        </w:tc>
      </w:tr>
      <w:tr w:rsidR="00707891" w:rsidRPr="00707891" w:rsidTr="00707891">
        <w:trPr>
          <w:trHeight w:val="208"/>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80.792,73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4.595,64</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138.331,39</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0,0138</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−28.915,23</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212.737,22</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0,0905</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−89.231,81</w:t>
            </w:r>
          </w:p>
        </w:tc>
      </w:tr>
      <w:tr w:rsidR="00707891" w:rsidRPr="00707891" w:rsidTr="00707891">
        <w:trPr>
          <w:trHeight w:val="208"/>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163.307,13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0,0279</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−57.135,11</w:t>
            </w:r>
          </w:p>
        </w:tc>
      </w:tr>
    </w:tbl>
    <w:p w:rsidR="002316A4" w:rsidRDefault="00C02299" w:rsidP="00EB55A7">
      <w:pPr>
        <w:spacing w:after="160" w:line="480" w:lineRule="auto"/>
        <w:ind w:firstLine="720"/>
        <w:jc w:val="both"/>
      </w:pPr>
      <w:r>
        <w:rPr>
          <w:i/>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Tabel 4.5 menyajikan hasil K-scan yang mengungkap dua pola utama. Pertama, terdapat tren konsolidasi K yang jelas dari waktu ke waktu: fase Pre</w:t>
      </w:r>
      <w:r w:rsidR="007C1716" w:rsidRPr="00971323">
        <w:rPr>
          <w:color w:val="000000"/>
        </w:rPr>
        <w:t xml:space="preserve"> </w:t>
      </w:r>
      <w:r w:rsidRPr="00971323">
        <w:rPr>
          <w:color w:val="000000"/>
        </w:rPr>
        <w:t>COVID dan COVID Crisis konsisten menghasilkan K=6 (fragmentasi tinggi), sementara fase Recovery menunjukkan konsolidasi progresif dari K=5 (2022) → K=2 (2023) → K=3 (2024). Penurunan K mengindikasikan bahwa segmen pendaftar semakin homogen, kemungkinan akibat kampanye rekrutmen yang semakin terfokus pada segmen tertentu. Kedua, nilai BIC yang jauh lebih besar pada fase Recovery (138.331–212.737) dibandingkan fase Pre</w:t>
      </w:r>
      <w:r w:rsidR="007C1716" w:rsidRPr="00971323">
        <w:rPr>
          <w:color w:val="000000"/>
        </w:rPr>
        <w:t xml:space="preserve"> </w:t>
      </w:r>
      <w:r w:rsidRPr="00971323">
        <w:rPr>
          <w:color w:val="000000"/>
        </w:rPr>
        <w:t xml:space="preserve">COVID (20.594) </w:t>
      </w:r>
      <w:r w:rsidRPr="00971323">
        <w:rPr>
          <w:i/>
          <w:color w:val="000000"/>
        </w:rPr>
        <w:t xml:space="preserve">mencerminkan ukuran dataset yang jauh lebih besar nilai BIC sensitif terhadap N, bukan penurunan kualitas model. Nilai Silhouette Score tertinggi (0,0905) pada 2023 dengan K=2 menunjukkan dua kelompok besar pendaftar pada tahun tersebut memiliki diferensiasi yang paling jelas. Scrucca et al. (2024) menegaskan nilai </w:t>
      </w:r>
      <w:r w:rsidRPr="00971323">
        <w:rPr>
          <w:i/>
          <w:color w:val="000000"/>
        </w:rPr>
        <w:lastRenderedPageBreak/>
        <w:t>Silhouette Score dalam rentang 0,01–0,10 tetap bermakna dalam soft clustering seperti GMM, mengingat sifat inheren overlap antar segmen.</w:t>
      </w:r>
    </w:p>
    <w:p w:rsidR="002316A4" w:rsidRDefault="00C02299" w:rsidP="00EB55A7">
      <w:pPr>
        <w:spacing w:before="80" w:after="80" w:line="480" w:lineRule="auto"/>
        <w:jc w:val="center"/>
      </w:pPr>
      <w:r>
        <w:rPr>
          <w:noProof/>
        </w:rPr>
        <w:drawing>
          <wp:inline distT="0" distB="0" distL="0" distR="0">
            <wp:extent cx="4381500" cy="2524125"/>
            <wp:effectExtent l="0" t="0" r="0" b="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524125"/>
                    </a:xfrm>
                    <a:prstGeom prst="rect">
                      <a:avLst/>
                    </a:prstGeom>
                  </pic:spPr>
                </pic:pic>
              </a:graphicData>
            </a:graphic>
          </wp:inline>
        </w:drawing>
      </w:r>
    </w:p>
    <w:p w:rsidR="00EB55A7" w:rsidRDefault="00C02299" w:rsidP="00EB55A7">
      <w:pPr>
        <w:spacing w:after="160" w:line="480" w:lineRule="auto"/>
        <w:ind w:firstLine="720"/>
        <w:contextualSpacing/>
        <w:jc w:val="both"/>
      </w:pPr>
      <w:r>
        <w:rPr>
          <w:color w:val="000000"/>
          <w:sz w:val="20"/>
          <w:szCs w:val="20"/>
        </w:rPr>
        <w:t>Gambar 4.3a Silhouette Score GMM per Periode (2019–2024)</w:t>
      </w:r>
    </w:p>
    <w:p w:rsidR="002316A4" w:rsidRDefault="00C02299" w:rsidP="00EB55A7">
      <w:pPr>
        <w:spacing w:after="120"/>
        <w:contextualSpacing/>
        <w:jc w:val="both"/>
        <w:rPr>
          <w:i/>
          <w:iCs/>
          <w:color w:val="000000"/>
          <w:szCs w:val="20"/>
        </w:rPr>
      </w:pPr>
      <w:r>
        <w:rPr>
          <w:i/>
          <w:iCs/>
          <w:color w:val="000000"/>
          <w:szCs w:val="20"/>
        </w:rPr>
        <w:t>Sumber: Hasil pemodelan GMM menggunakan Python</w:t>
      </w:r>
    </w:p>
    <w:p w:rsidR="00971323" w:rsidRDefault="00971323" w:rsidP="00EB55A7">
      <w:pPr>
        <w:spacing w:after="120"/>
        <w:contextualSpacing/>
        <w:jc w:val="both"/>
      </w:pPr>
    </w:p>
    <w:p w:rsidR="002316A4" w:rsidRDefault="00C02299" w:rsidP="00EB55A7">
      <w:pPr>
        <w:spacing w:after="160" w:line="480" w:lineRule="auto"/>
        <w:ind w:firstLine="720"/>
        <w:jc w:val="both"/>
      </w:pPr>
      <w:r>
        <w:rPr>
          <w:color w:val="000000"/>
        </w:rPr>
        <w:t>Gambar 4.3a menampilkan visualisasi tren Silhouette Score GMM selama enam periode dalam bentuk line chart. Grafik memperlihatkan fluktuasi yang tidak monoton: penurunan dari 0,0683 (2019) ke nilai terendah pada 2020 (0,0496), sedikit pemulihan di 2021 (0,0585), penurunan drastis ke 0,0138 pada 2022, kemudian lonjakan signifikan ke puncak 0,0905 pada 2023, dan kembali turun ke 0,0279 pada 2024. Pola ini konsisten dengan perubahan K optimal yang terjadi: ketika K meningkat (lebih banyak klaster kecil), Silhouette Score cenderung lebih rendah karena overlap antar klaster meningkat. Sebaliknya, K=2 pada 2023 menghasilkan dua klaster yang paling terpisah satu sama lain, menghasilkan Silhouette Score tertinggi. Gambar ini memperkuat narasi konsolidasi segmen yang terjadi selama fase Recovery.</w:t>
      </w:r>
    </w:p>
    <w:p w:rsidR="002316A4" w:rsidRDefault="00C02299" w:rsidP="00EB55A7">
      <w:pPr>
        <w:pStyle w:val="Judul2"/>
        <w:spacing w:line="480" w:lineRule="auto"/>
      </w:pPr>
      <w:r>
        <w:lastRenderedPageBreak/>
        <w:t>4.4 Hasil Time Series Analysis dan Deteksi Structural Break (Tahap 7)</w:t>
      </w:r>
    </w:p>
    <w:p w:rsidR="002316A4" w:rsidRPr="00BA594A" w:rsidRDefault="00C02299" w:rsidP="00BA594A">
      <w:pPr>
        <w:spacing w:after="120"/>
        <w:contextualSpacing/>
        <w:jc w:val="center"/>
        <w:rPr>
          <w:b/>
          <w:bCs/>
          <w:color w:val="000000"/>
          <w:sz w:val="20"/>
          <w:szCs w:val="20"/>
        </w:rPr>
      </w:pPr>
      <w:r>
        <w:rPr>
          <w:b/>
          <w:sz w:val="20"/>
          <w:szCs w:val="20"/>
        </w:rPr>
        <w:t>Tabel 4.6 Analisis Stabilitas Klaster: ARI, Jaccard Similarity, dan Centroid Drift Antar Periode</w:t>
      </w:r>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03"/>
        <w:gridCol w:w="863"/>
        <w:gridCol w:w="878"/>
        <w:gridCol w:w="991"/>
        <w:gridCol w:w="995"/>
        <w:gridCol w:w="2665"/>
      </w:tblGrid>
      <w:tr w:rsidR="00707891" w:rsidRPr="00707891" w:rsidTr="00707891">
        <w:trPr>
          <w:trHeight w:val="250"/>
          <w:tblHeader/>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Centroid Drift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Kategori</w:t>
            </w:r>
          </w:p>
        </w:tc>
        <w:tc>
          <w:tcPr>
            <w:tcW w:w="268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 → 2020</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−0,0036</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20,3555</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Lonjakan +87,7%; komposisi segmen berubah fundamental  H1 TERKONFIRMASI</w:t>
            </w:r>
          </w:p>
        </w:tc>
      </w:tr>
      <w:tr w:rsidR="00707891" w:rsidRPr="00707891" w:rsidTr="00707891">
        <w:trPr>
          <w:trHeight w:val="500"/>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 → 2021</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0,0160</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17,2465</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Adaptasi pandemi berlanjut; K tetap 6 tetapi posisi sentroid bergeser</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 → 2022</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0,0055</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0,8333</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Perubahan K (6→5); centroid drift ∞ = reorganisasi total klaster</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 → 2023</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−0,0036</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Konsolidasi K (5→2); lonjakan 2023 +48,5% dengan profil sangat homogen</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 → 2024</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0,0021</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0,6667</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Transisi K (2→3); penurunan 2024 −26,0% memunculkan segmen ketiga</w:t>
            </w:r>
          </w:p>
        </w:tc>
      </w:tr>
    </w:tbl>
    <w:p w:rsidR="002316A4" w:rsidRDefault="00C02299" w:rsidP="00EB55A7">
      <w:pPr>
        <w:spacing w:after="160" w:line="480" w:lineRule="auto"/>
        <w:ind w:firstLine="720"/>
        <w:contextualSpacing/>
        <w:jc w:val="both"/>
      </w:pPr>
      <w:r>
        <w:rPr>
          <w:i/>
          <w:iCs/>
          <w:color w:val="000000"/>
          <w:szCs w:val="20"/>
        </w:rPr>
        <w:t>Keterangan: ARI &gt; 0,60 = Stabil | 0,30–0,60 = Drift Moderat | &lt; 0,30 = Structural Break | ∞ = perubahan K (reorganisasi total)</w:t>
      </w:r>
    </w:p>
    <w:p w:rsidR="002316A4" w:rsidRDefault="00C02299" w:rsidP="00EB55A7">
      <w:pPr>
        <w:spacing w:after="120"/>
        <w:contextualSpacing/>
        <w:jc w:val="both"/>
        <w:rPr>
          <w:i/>
          <w:iCs/>
          <w:color w:val="000000"/>
          <w:szCs w:val="20"/>
        </w:rPr>
      </w:pPr>
      <w:r>
        <w:rPr>
          <w:i/>
          <w:iCs/>
          <w:color w:val="000000"/>
          <w:szCs w:val="20"/>
        </w:rPr>
        <w:t>Sumber: Hasil analisis stabilitas GMM (2025)</w:t>
      </w:r>
    </w:p>
    <w:p w:rsidR="00971323" w:rsidRDefault="00971323" w:rsidP="00EB55A7">
      <w:pPr>
        <w:spacing w:after="120"/>
        <w:contextualSpacing/>
        <w:jc w:val="both"/>
      </w:pPr>
    </w:p>
    <w:p w:rsidR="002316A4" w:rsidRPr="00971323" w:rsidRDefault="00C02299" w:rsidP="007A5F01">
      <w:pPr>
        <w:spacing w:after="120" w:line="480" w:lineRule="auto"/>
        <w:ind w:firstLine="720"/>
        <w:jc w:val="both"/>
      </w:pPr>
      <w:r w:rsidRPr="00971323">
        <w:rPr>
          <w:color w:val="000000"/>
        </w:rPr>
        <w:t>Tabel 4.6 menyajikan temuan paling signifikan dalam penelitian ini: seluruh 5 transisi antar periode dikonfirmasi sebagai Structural Break (ARI &lt; 0,30), mengkonfirmasi Hipotesis 1 (H1) secara menyeluruh dan melampaui ekspektasi awal yang hanya menduga structural break pada transisi 2019→2020.</w:t>
      </w:r>
    </w:p>
    <w:p w:rsidR="002316A4" w:rsidRDefault="00C02299" w:rsidP="00EB55A7">
      <w:pPr>
        <w:spacing w:after="160" w:line="480" w:lineRule="auto"/>
        <w:ind w:firstLine="720"/>
        <w:jc w:val="both"/>
      </w:pPr>
      <w:r>
        <w:rPr>
          <w:color w:val="000000"/>
        </w:rPr>
        <w:t xml:space="preserve">Analisis tiga metrik komplementer mengungkap nuansa penting di balik angka ARI. Pertama, nilai ARI negatif (−0,0036) pada transisi 2019→2020 dan 2022→2023 mengindikasikan bahwa pengelompokan pada kedua periode tersebut lebih acak dibandingkan ekspektasi kebetulan (Hubert &amp; Arabie, 1985) sebuah indikator perubahan struktural yang sangat fundamental. Kedua, nilai Jaccard = </w:t>
      </w:r>
      <w:r>
        <w:rPr>
          <w:color w:val="000000"/>
        </w:rPr>
        <w:lastRenderedPageBreak/>
        <w:t>1,0000 pada transisi 2019→2020 dan 2020→2021 menunjukkan semua klaster dari periode sebelumnya "terwakili" pada periode berikutnya (K sama = 6), namun posisi dan komposisi anggota klaster berubah drastis tercermin dari centroid drift 20,35 (2019→2020) dan 17,25 (2020→2021). Ketiga, nilai centroid drift ∞ pada tiga transisi terakhir (2021→2022, 2022→2023, 2023→2024) bukan error, melainkan mencerminkan perubahan K sehingga perbandingan sentroid langsung tidak dapat dilakukan sebuah bentuk structural break yang bahkan lebih dramatis daripada drift yang terukur.</w:t>
      </w:r>
    </w:p>
    <w:p w:rsidR="002316A4" w:rsidRDefault="00C02299">
      <w:pPr>
        <w:spacing w:after="160"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2316A4" w:rsidRDefault="00C02299">
      <w:pPr>
        <w:spacing w:before="80" w:after="80" w:line="480" w:lineRule="auto"/>
        <w:jc w:val="center"/>
      </w:pPr>
      <w:r>
        <w:rPr>
          <w:noProof/>
        </w:rPr>
        <w:drawing>
          <wp:inline distT="0" distB="0" distL="0" distR="0">
            <wp:extent cx="4381500" cy="2524125"/>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524125"/>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4.3b ARI Stabilitas Klaster Antar Periode (2019–2024)</w:t>
      </w:r>
    </w:p>
    <w:p w:rsidR="002316A4" w:rsidRDefault="00C02299" w:rsidP="00EB55A7">
      <w:pPr>
        <w:spacing w:after="120"/>
        <w:contextualSpacing/>
        <w:jc w:val="both"/>
      </w:pPr>
      <w:r>
        <w:rPr>
          <w:i/>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lastRenderedPageBreak/>
        <w:t xml:space="preserve">Gambar 4.3b memvisualisasikan nilai ARI untuk setiap transisi antar periode dalam bentuk bar chart horizontal. Seluruh batang berada di bawah nilai 0,030 jauh di bawah </w:t>
      </w:r>
      <w:r>
        <w:rPr>
          <w:i/>
          <w:color w:val="000000"/>
        </w:rPr>
        <w:t>threshold</w:t>
      </w:r>
      <w:r>
        <w:rPr>
          <w:color w:val="000000"/>
        </w:rPr>
        <w:t xml:space="preserve"> structural break (ARI &lt; 0,30) maupun </w:t>
      </w:r>
      <w:r>
        <w:rPr>
          <w:i/>
          <w:color w:val="000000"/>
        </w:rPr>
        <w:t>threshold</w:t>
      </w:r>
      <w:r>
        <w:rPr>
          <w:color w:val="000000"/>
        </w:rPr>
        <w:t xml:space="preserve"> stabilitas (ARI &gt; 0,60). Secara visual, batang yang bernilai negatif (2019→2020 dan 2022→2023) paling mudah diidentifikasi sebagai perubahan paling dramatis posisinya di sebelah kiri garis nol menunjukkan bahwa klasterisasi lebih mirip penugasan acak daripada pengelompokan yang bermakna. Batang dengan nilai tertinggi (2020→2021, ARI = 0,0160) sekalipun tetap berada sangat jauh di bawah </w:t>
      </w:r>
      <w:r>
        <w:rPr>
          <w:i/>
          <w:color w:val="000000"/>
        </w:rPr>
        <w:t>threshold</w:t>
      </w:r>
      <w:r>
        <w:rPr>
          <w:color w:val="000000"/>
        </w:rPr>
        <w:t xml:space="preserve"> 0,30. Gambar ini menjadi bukti visual yang kuat bahwa ITSNU Pekalongan mengalami perubahan struktural segmen di setiap tahunnya.</w:t>
      </w:r>
    </w:p>
    <w:p w:rsidR="002316A4" w:rsidRDefault="00C02299" w:rsidP="00EB55A7">
      <w:pPr>
        <w:pStyle w:val="Judul3"/>
        <w:spacing w:line="480" w:lineRule="auto"/>
      </w:pPr>
      <w:r>
        <w:t>4.4.1 Proyeksi Jumlah Pendaftar 2025</w:t>
      </w:r>
    </w:p>
    <w:p w:rsidR="002316A4" w:rsidRDefault="00C02299">
      <w:pPr>
        <w:spacing w:after="160" w:line="480" w:lineRule="auto"/>
        <w:ind w:firstLine="720"/>
        <w:jc w:val="both"/>
      </w:pPr>
      <w:r>
        <w:rPr>
          <w:color w:val="000000"/>
        </w:rPr>
        <w:t>Proyeksi jumlah pendaftar 2025 menggunakan regresi linear pada tren Recovery (2022–2024) menghasilkan estimasi 592 pendaftar untuk tahun 2025.</w:t>
      </w:r>
    </w:p>
    <w:p w:rsidR="002316A4" w:rsidRDefault="00C02299">
      <w:pPr>
        <w:spacing w:before="80" w:after="80" w:line="480" w:lineRule="auto"/>
        <w:jc w:val="center"/>
      </w:pPr>
      <w:r>
        <w:rPr>
          <w:noProof/>
        </w:rPr>
        <w:drawing>
          <wp:inline distT="0" distB="0" distL="0" distR="0">
            <wp:extent cx="4381500" cy="2524125"/>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524125"/>
                    </a:xfrm>
                    <a:prstGeom prst="rect">
                      <a:avLst/>
                    </a:prstGeom>
                  </pic:spPr>
                </pic:pic>
              </a:graphicData>
            </a:graphic>
          </wp:inline>
        </w:drawing>
      </w:r>
    </w:p>
    <w:p w:rsidR="002316A4" w:rsidRDefault="00C02299" w:rsidP="00EB55A7">
      <w:pPr>
        <w:spacing w:after="120"/>
        <w:contextualSpacing/>
        <w:jc w:val="center"/>
      </w:pPr>
      <w:r>
        <w:rPr>
          <w:b/>
          <w:color w:val="000000"/>
          <w:sz w:val="20"/>
          <w:szCs w:val="20"/>
        </w:rPr>
        <w:t>Gambar 4.4 Proyeksi Jumlah Pendaftar ITSNU Pekalongan Tahun 2025 Berbasis Tren Recovery (2022–2024)</w:t>
      </w:r>
    </w:p>
    <w:p w:rsidR="002316A4" w:rsidRDefault="00C02299" w:rsidP="00EB55A7">
      <w:pPr>
        <w:spacing w:after="120"/>
        <w:contextualSpacing/>
        <w:jc w:val="both"/>
      </w:pPr>
      <w:r>
        <w:rPr>
          <w:i/>
          <w:iCs/>
          <w:color w:val="000000"/>
          <w:szCs w:val="20"/>
        </w:rPr>
        <w:t>Sumber: Hasil regresi linear tren Recovery menggunakan Python</w:t>
      </w:r>
    </w:p>
    <w:p w:rsidR="002316A4" w:rsidRPr="007A5F01" w:rsidRDefault="00C02299" w:rsidP="007A5F01">
      <w:pPr>
        <w:spacing w:after="120" w:line="480" w:lineRule="auto"/>
        <w:ind w:firstLine="720"/>
        <w:jc w:val="both"/>
      </w:pPr>
      <w:r w:rsidRPr="007A5F01">
        <w:rPr>
          <w:color w:val="000000"/>
        </w:rPr>
        <w:lastRenderedPageBreak/>
        <w:t>Gambar 4.4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eksogen seperti kebijakan pendidikan, kondisi ekonomi regional, atau kampanye rekrutmen khusus.</w:t>
      </w:r>
    </w:p>
    <w:p w:rsidR="002316A4" w:rsidRDefault="00C02299">
      <w:pPr>
        <w:pStyle w:val="Judul2"/>
        <w:spacing w:line="480" w:lineRule="auto"/>
      </w:pPr>
      <w:r>
        <w:t>4.5 Hasil Evaluasi Multi</w:t>
      </w:r>
      <w:r w:rsidR="007C1716">
        <w:t xml:space="preserve"> </w:t>
      </w:r>
      <w:r>
        <w:t>Level (Tahap 8)</w:t>
      </w:r>
    </w:p>
    <w:p w:rsidR="002316A4" w:rsidRDefault="00C02299">
      <w:pPr>
        <w:pStyle w:val="Judul3"/>
        <w:spacing w:after="160" w:line="480" w:lineRule="auto"/>
      </w:pPr>
      <w:r>
        <w:t>4.5.1 Evaluasi Internal GMM per Periode</w:t>
      </w:r>
    </w:p>
    <w:p w:rsidR="002316A4" w:rsidRPr="00BA594A" w:rsidRDefault="00C02299" w:rsidP="00BA594A">
      <w:pPr>
        <w:spacing w:after="120"/>
        <w:contextualSpacing/>
        <w:jc w:val="center"/>
        <w:rPr>
          <w:b/>
          <w:bCs/>
          <w:color w:val="000000"/>
          <w:sz w:val="20"/>
          <w:szCs w:val="20"/>
        </w:rPr>
      </w:pPr>
      <w:r>
        <w:rPr>
          <w:b/>
          <w:sz w:val="20"/>
          <w:szCs w:val="20"/>
        </w:rPr>
        <w:t>Tabel 4.7 Ringkasan Metrik Evaluasi Internal GMM per Periode</w:t>
      </w:r>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w:t>
            </w:r>
            <w:r w:rsidR="007C1716">
              <w:rPr>
                <w:b/>
                <w:bCs/>
                <w:color w:val="000000" w:themeColor="text1"/>
                <w:sz w:val="20"/>
                <w:szCs w:val="20"/>
              </w:rPr>
              <w:t xml:space="preserve"> </w:t>
            </w:r>
            <w:r w:rsidRPr="00707891">
              <w:rPr>
                <w:b/>
                <w:bCs/>
                <w:color w:val="000000" w:themeColor="text1"/>
                <w:sz w:val="20"/>
                <w:szCs w:val="20"/>
              </w:rPr>
              <w:t>Harabasz</w:t>
            </w:r>
          </w:p>
        </w:tc>
        <w:tc>
          <w:tcPr>
            <w:tcW w:w="15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w:t>
            </w:r>
            <w:r w:rsidR="007C1716">
              <w:rPr>
                <w:b/>
                <w:bCs/>
                <w:color w:val="000000" w:themeColor="text1"/>
                <w:sz w:val="20"/>
                <w:szCs w:val="20"/>
              </w:rPr>
              <w:t xml:space="preserve"> </w:t>
            </w:r>
            <w:r w:rsidRPr="00707891">
              <w:rPr>
                <w:b/>
                <w:bCs/>
                <w:color w:val="000000" w:themeColor="text1"/>
                <w:sz w:val="20"/>
                <w:szCs w:val="20"/>
              </w:rPr>
              <w:t>Bouldin</w:t>
            </w:r>
          </w:p>
        </w:tc>
        <w:tc>
          <w:tcPr>
            <w:tcW w:w="12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w:t>
            </w:r>
            <w:r w:rsidR="007C1716">
              <w:rPr>
                <w:color w:val="000000" w:themeColor="text1"/>
                <w:sz w:val="20"/>
                <w:szCs w:val="20"/>
              </w:rPr>
              <w:t xml:space="preserve"> </w:t>
            </w:r>
            <w:r w:rsidRPr="00707891">
              <w:rPr>
                <w:color w:val="000000" w:themeColor="text1"/>
                <w:sz w:val="20"/>
                <w:szCs w:val="20"/>
              </w:rPr>
              <w:t>COVID</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0,0683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7,23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2,9794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28.991,05</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0,0496</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11,91</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3,6303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10.935,41</w:t>
            </w:r>
          </w:p>
        </w:tc>
      </w:tr>
      <w:tr w:rsidR="00707891" w:rsidRPr="00707891" w:rsidTr="00707891">
        <w:trPr>
          <w:trHeight w:val="222"/>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14,17</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3,4786</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4.595,64</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0,0138</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14,19</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3,4279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−28.915,23</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0,0905</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12,53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3,9169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−89.231,81</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0,0279</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18,01</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4,1920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−57.135,11</w:t>
            </w:r>
          </w:p>
        </w:tc>
      </w:tr>
    </w:tbl>
    <w:p w:rsidR="002316A4" w:rsidRDefault="00C02299" w:rsidP="00EB55A7">
      <w:pPr>
        <w:spacing w:after="120"/>
        <w:contextualSpacing/>
        <w:jc w:val="both"/>
      </w:pPr>
      <w:r>
        <w:rPr>
          <w:i/>
          <w:iCs/>
          <w:color w:val="000000"/>
          <w:szCs w:val="20"/>
        </w:rPr>
        <w:t>Sumber: Hasil evaluasi GMM (2025)</w:t>
      </w:r>
    </w:p>
    <w:p w:rsidR="003F0C54" w:rsidRDefault="00FB4563" w:rsidP="00EB55A7">
      <w:pPr>
        <w:spacing w:after="160" w:line="480" w:lineRule="auto"/>
        <w:ind w:firstLine="720"/>
        <w:contextualSpacing/>
        <w:jc w:val="both"/>
      </w:pPr>
      <w:r>
        <w:rPr>
          <w:i/>
          <w:iCs/>
        </w:rPr>
        <w:t xml:space="preserve">Catatan: Threshold interpretasi Silhouette Score pada tabel di atas berlaku untuk hard clustering konvensional. Untuk soft clustering probabilistik seperti </w:t>
      </w:r>
      <w:r>
        <w:rPr>
          <w:i/>
          <w:iCs/>
        </w:rPr>
        <w:lastRenderedPageBreak/>
        <w:t xml:space="preserve">GMM, </w:t>
      </w:r>
      <w:sdt>
        <w:sdtPr>
          <w:rPr>
            <w:i/>
            <w:iCs/>
            <w:color w:val="000000"/>
          </w:rPr>
          <w:tag w:val="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1039014126"/>
          <w:placeholder>
            <w:docPart w:val="DefaultPlaceholder_-1854013440"/>
          </w:placeholder>
        </w:sdtPr>
        <w:sdtEndPr/>
        <w:sdtContent>
          <w:r w:rsidR="000D6197" w:rsidRPr="000D6197">
            <w:rPr>
              <w:i/>
              <w:iCs/>
              <w:color w:val="000000"/>
            </w:rPr>
            <w:t>(Saqr and López-Pernas 2024)</w:t>
          </w:r>
        </w:sdtContent>
      </w:sdt>
      <w:r>
        <w:rPr>
          <w:i/>
          <w:iCs/>
        </w:rPr>
        <w:t xml:space="preserve"> menegaskan bahwa nilai Silhouette Score dalam rentang 0,01–0,10 tetap bermakna secara substansif karena sifat inheren overlap antar segmen dalam model campuran Gaussian.</w:t>
      </w:r>
    </w:p>
    <w:p w:rsidR="002316A4" w:rsidRPr="007A5F01" w:rsidRDefault="00C02299" w:rsidP="007A5F01">
      <w:pPr>
        <w:spacing w:after="120" w:line="480" w:lineRule="auto"/>
        <w:ind w:firstLine="720"/>
        <w:jc w:val="both"/>
      </w:pPr>
      <w:r w:rsidRPr="007A5F01">
        <w:rPr>
          <w:color w:val="000000"/>
        </w:rPr>
        <w:t>Tabel 4.7 menyajikan empat metrik evaluasi internal untuk setiap periode. Beberapa pola penting perlu dicermati. Pertama, nilai Log</w:t>
      </w:r>
      <w:r w:rsidR="007C1716" w:rsidRPr="007A5F01">
        <w:rPr>
          <w:color w:val="000000"/>
        </w:rPr>
        <w:t xml:space="preserve"> </w:t>
      </w:r>
      <w:r w:rsidRPr="007A5F01">
        <w:rPr>
          <w:color w:val="000000"/>
        </w:rPr>
        <w:t>Likelihood berubah dari positif (Pre</w:t>
      </w:r>
      <w:r w:rsidR="007C1716" w:rsidRPr="007A5F01">
        <w:rPr>
          <w:color w:val="000000"/>
        </w:rPr>
        <w:t xml:space="preserve"> </w:t>
      </w:r>
      <w:r w:rsidRPr="007A5F01">
        <w:rPr>
          <w:color w:val="000000"/>
        </w:rPr>
        <w:t xml:space="preserve">COVID dan COVID Crisis) menjadi negatif (Recovery). Ini bukan penurunan kualitas model, melainkan konsekuensi matematis dari ukuran </w:t>
      </w:r>
      <w:r w:rsidRPr="007A5F01">
        <w:rPr>
          <w:i/>
          <w:color w:val="000000"/>
        </w:rPr>
        <w:t>dataset</w:t>
      </w:r>
      <w:r w:rsidRPr="007A5F01">
        <w:rPr>
          <w:color w:val="000000"/>
        </w:rPr>
        <w:t xml:space="preserve"> yang jauh lebih besar pada fase Recovery semakin banyak observasi, semakin besar probabilitas joint yang harus dihitung dalam bentuk logaritma negatif. Kedua, nilai Calinski</w:t>
      </w:r>
      <w:r w:rsidR="007C1716" w:rsidRPr="007A5F01">
        <w:rPr>
          <w:color w:val="000000"/>
        </w:rPr>
        <w:t xml:space="preserve"> </w:t>
      </w:r>
      <w:r w:rsidRPr="007A5F01">
        <w:rPr>
          <w:color w:val="000000"/>
        </w:rPr>
        <w:t>Harabasz meningkat dari 7,23 (2019) ke 18,01 (2024), mengindikasikan separasi antar klaster yang semakin baik relatif terhadap dispersi internal positif untuk kualitas segmentasi. Ketiga, nilai Davies</w:t>
      </w:r>
      <w:r w:rsidR="007C1716" w:rsidRPr="007A5F01">
        <w:rPr>
          <w:color w:val="000000"/>
        </w:rPr>
        <w:t xml:space="preserve"> </w:t>
      </w:r>
      <w:r w:rsidRPr="007A5F01">
        <w:rPr>
          <w:color w:val="000000"/>
        </w:rPr>
        <w:t>Bouldin yang sedikit meningkat dari 2,98 (2019) ke 4,19 (2024) menunjukkan klaster yang sedikit lebih overlapping di 2024, konsisten dengan K=3 yang menghasilkan segmen yang lebih saling berdekatan dibandingkan K=6.</w:t>
      </w:r>
    </w:p>
    <w:p w:rsidR="002316A4" w:rsidRDefault="00C02299" w:rsidP="000D6197">
      <w:pPr>
        <w:pStyle w:val="Judul3"/>
        <w:spacing w:after="160" w:line="480" w:lineRule="auto"/>
      </w:pPr>
      <w:r>
        <w:t>4.5.2 Perbandingan Empiris GMM vs K-Means</w:t>
      </w:r>
    </w:p>
    <w:p w:rsidR="002316A4" w:rsidRDefault="00C02299">
      <w:pPr>
        <w:spacing w:after="120"/>
        <w:jc w:val="center"/>
      </w:pPr>
      <w:r>
        <w:rPr>
          <w:b/>
          <w:bCs/>
          <w:color w:val="000000"/>
          <w:sz w:val="20"/>
          <w:szCs w:val="20"/>
        </w:rPr>
        <w:t>Tabel 4.8 Perbandingan Metrik Klasterisasi GMM vs K-Means (Data 2024, K=3)</w:t>
      </w:r>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8"/>
        <w:gridCol w:w="992"/>
        <w:gridCol w:w="1274"/>
        <w:gridCol w:w="863"/>
        <w:gridCol w:w="3160"/>
      </w:tblGrid>
      <w:tr w:rsidR="00707891" w:rsidRPr="00707891" w:rsidTr="00707891">
        <w:trPr>
          <w:trHeight w:val="225"/>
          <w:tblHeader/>
        </w:trPr>
        <w:tc>
          <w:tcPr>
            <w:tcW w:w="170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Davies-Bouldin</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Soft Clustering</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4.8 menyajikan perbandingan empiris yang menghasilkan gambaran nuansif. Secara metrik klasterisasi konvensional, K-Means menunjukkan nilai yang lebih baik: Silhouette Score 0,0722 vs 0,0279, Calinski</w:t>
      </w:r>
      <w:r w:rsidR="007C1716" w:rsidRPr="007A5F01">
        <w:rPr>
          <w:color w:val="000000"/>
        </w:rPr>
        <w:t xml:space="preserve"> </w:t>
      </w:r>
      <w:r w:rsidRPr="007A5F01">
        <w:rPr>
          <w:color w:val="000000"/>
        </w:rPr>
        <w:t>Harabasz 40,75 vs 18,01, dan Davies</w:t>
      </w:r>
      <w:r w:rsidR="007C1716" w:rsidRPr="007A5F01">
        <w:rPr>
          <w:color w:val="000000"/>
        </w:rPr>
        <w:t xml:space="preserve"> </w:t>
      </w:r>
      <w:r w:rsidRPr="007A5F01">
        <w:rPr>
          <w:color w:val="000000"/>
        </w:rPr>
        <w:t>Bouldin 2,97 vs 4,19.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w:t>
      </w:r>
      <w:r w:rsidR="007C1716" w:rsidRPr="007A5F01">
        <w:rPr>
          <w:color w:val="000000"/>
        </w:rPr>
        <w:t xml:space="preserve"> </w:t>
      </w:r>
      <w:r w:rsidRPr="007A5F01">
        <w:rPr>
          <w:color w:val="000000"/>
        </w:rPr>
        <w:t>likelihood probabilistik sebuah asumsi yang jauh lebih realistis untuk data perilaku calon mahasiswa yang memang tidak memiliki batas segmen yang tegas.</w:t>
      </w:r>
    </w:p>
    <w:p w:rsidR="002316A4" w:rsidRDefault="00C02299" w:rsidP="00EB55A7">
      <w:pPr>
        <w:spacing w:after="160" w:line="480" w:lineRule="auto"/>
        <w:ind w:firstLine="720"/>
        <w:jc w:val="both"/>
      </w:pPr>
      <w:r>
        <w:rPr>
          <w:color w:val="000000"/>
        </w:rPr>
        <w:t>Keunggulan fundamental GMM terletak pada tiga kemampuan yang tidak dapat dipenuhi K</w:t>
      </w:r>
      <w:r w:rsidR="007C1716">
        <w:rPr>
          <w:color w:val="000000"/>
        </w:rPr>
        <w:t xml:space="preserve"> </w:t>
      </w:r>
      <w:r>
        <w:rPr>
          <w:color w:val="000000"/>
        </w:rPr>
        <w:t xml:space="preserve">Means: (1) menghasilkan posterior probability yang menjadi basis </w:t>
      </w:r>
      <w:r>
        <w:rPr>
          <w:i/>
          <w:color w:val="000000"/>
        </w:rPr>
        <w:t>reasoning</w:t>
      </w:r>
      <w:r>
        <w:rPr>
          <w:color w:val="000000"/>
        </w:rPr>
        <w:t xml:space="preserve"> kausal </w:t>
      </w:r>
      <w:r>
        <w:rPr>
          <w:i/>
          <w:color w:val="000000"/>
        </w:rPr>
        <w:t>LLM</w:t>
      </w:r>
      <w:r>
        <w:rPr>
          <w:color w:val="000000"/>
        </w:rPr>
        <w:t xml:space="preserve">; (2) mendukung proyeksi komposisi segmen 2025 (592 pendaftar); dan (3) memfasilitasi otomasi persona per klaster. Tiga kemampuan </w:t>
      </w:r>
      <w:r>
        <w:rPr>
          <w:i/>
          <w:color w:val="000000"/>
        </w:rPr>
        <w:t xml:space="preserve">inilah yang menjadi nilai tambah utama penelitian ini, konsisten dengan </w:t>
      </w:r>
      <w:r>
        <w:rPr>
          <w:i/>
          <w:color w:val="000000"/>
        </w:rPr>
        <w:lastRenderedPageBreak/>
        <w:t>argumentasi Scrucca et al. (2024) bahwa nilai metrik GMM yang lebih rendah dari K-Means mencerminkan sifat soft clustering yang lebih realistis, bukan inferioritas model.</w:t>
      </w:r>
    </w:p>
    <w:p w:rsidR="002316A4" w:rsidRDefault="00C02299">
      <w:pPr>
        <w:pStyle w:val="Judul2"/>
        <w:spacing w:line="480" w:lineRule="auto"/>
      </w:pPr>
      <w:r>
        <w:t>4.6 Profil Klaster GMM per Fase Temporal dan Analisis Lifecycle</w:t>
      </w:r>
    </w:p>
    <w:p w:rsidR="002316A4" w:rsidRDefault="00C02299">
      <w:pPr>
        <w:pStyle w:val="Judul3"/>
        <w:spacing w:line="480" w:lineRule="auto"/>
      </w:pPr>
      <w:r>
        <w:t>4.6.1 Profil Klaster Fase Pre</w:t>
      </w:r>
      <w:r w:rsidR="007C1716">
        <w:t xml:space="preserve"> </w:t>
      </w:r>
      <w:r>
        <w:t>COVID (2019)</w:t>
      </w:r>
    </w:p>
    <w:p w:rsidR="002316A4" w:rsidRDefault="00C02299">
      <w:pPr>
        <w:spacing w:after="160" w:line="480" w:lineRule="auto"/>
        <w:ind w:firstLine="720"/>
        <w:jc w:val="both"/>
      </w:pPr>
      <w:r>
        <w:rPr>
          <w:color w:val="000000"/>
        </w:rPr>
        <w:t>Pada 2019 (baseline 146 pendaftar), GMM mengidentifikasi 6 klaster dengan distribusi yang relatif merata berkisar 5,5%–22,6%. Keseimbangan distribusi ini mencerminkan keberagaman profil pendaftar pada kondisi normal pra</w:t>
      </w:r>
      <w:r w:rsidR="007C1716">
        <w:rPr>
          <w:color w:val="000000"/>
        </w:rPr>
        <w:t xml:space="preserve"> </w:t>
      </w:r>
      <w:r>
        <w:rPr>
          <w:color w:val="000000"/>
        </w:rPr>
        <w:t>pandemi.</w:t>
      </w:r>
    </w:p>
    <w:p w:rsidR="00707891" w:rsidRDefault="00C02299" w:rsidP="00707891">
      <w:pPr>
        <w:spacing w:after="120"/>
        <w:contextualSpacing/>
        <w:jc w:val="center"/>
        <w:rPr>
          <w:b/>
          <w:bCs/>
          <w:color w:val="000000"/>
          <w:sz w:val="20"/>
          <w:szCs w:val="20"/>
        </w:rPr>
      </w:pPr>
      <w:r>
        <w:rPr>
          <w:b/>
          <w:sz w:val="20"/>
          <w:szCs w:val="20"/>
        </w:rPr>
        <w:t>Tabel 4.9 Profil Klaster GMM Tahun 2019 (Pre COVID Baseline, N=146)</w:t>
      </w:r>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5"/>
        <w:gridCol w:w="632"/>
        <w:gridCol w:w="841"/>
        <w:gridCol w:w="2306"/>
        <w:gridCol w:w="2774"/>
      </w:tblGrid>
      <w:tr w:rsidR="00707891" w:rsidRPr="00707891" w:rsidTr="00707891">
        <w:trPr>
          <w:trHeight w:val="225"/>
          <w:tblHeader/>
        </w:trPr>
        <w:tc>
          <w:tcPr>
            <w:tcW w:w="79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w:t>
            </w:r>
          </w:p>
        </w:tc>
        <w:tc>
          <w:tcPr>
            <w:tcW w:w="84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w:t>
            </w:r>
          </w:p>
        </w:tc>
        <w:tc>
          <w:tcPr>
            <w:tcW w:w="232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 Dominan</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33</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22,6</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(14), S1 Informatika (9)</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(24), Kota Pekalongan (4)</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K6</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21,9</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(17), S1 Teknologi Informasi (6)</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(28), Kab. Batang (2)</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21,2</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(12), S1 Teknik Industri (11)</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(16), Kota Pekalongan (14)</w:t>
            </w:r>
          </w:p>
        </w:tc>
      </w:tr>
      <w:tr w:rsidR="00707891" w:rsidRPr="00707891" w:rsidTr="00707891">
        <w:trPr>
          <w:trHeight w:val="449"/>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14,4</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(6), S1 Informatika (6)</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(20), Kota Pekalongan (1)</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14,4</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(8), S1 Informatika (7)</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(15), Kab. Batang (2)</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8</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5,5</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(4), S1 Teknologi Informasi (2)</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(8)</w:t>
            </w:r>
          </w:p>
        </w:tc>
      </w:tr>
    </w:tbl>
    <w:p w:rsidR="002316A4" w:rsidRDefault="00C02299" w:rsidP="00EB55A7">
      <w:pPr>
        <w:spacing w:after="120"/>
        <w:jc w:val="both"/>
        <w:rPr>
          <w:i/>
          <w:iCs/>
          <w:color w:val="000000"/>
          <w:szCs w:val="20"/>
        </w:rPr>
      </w:pPr>
      <w:r>
        <w:rPr>
          <w:i/>
          <w:iCs/>
          <w:color w:val="000000"/>
          <w:szCs w:val="20"/>
        </w:rPr>
        <w:t>Sumber: Hasil pemodelan GMM (2025)</w:t>
      </w:r>
    </w:p>
    <w:p w:rsidR="007A5F01" w:rsidRDefault="007A5F01" w:rsidP="00EB55A7">
      <w:pPr>
        <w:spacing w:after="120"/>
        <w:jc w:val="both"/>
      </w:pPr>
    </w:p>
    <w:p w:rsidR="002316A4" w:rsidRPr="007A5F01" w:rsidRDefault="00C02299" w:rsidP="007A5F01">
      <w:pPr>
        <w:spacing w:after="120" w:line="480" w:lineRule="auto"/>
        <w:ind w:firstLine="720"/>
        <w:jc w:val="both"/>
      </w:pPr>
      <w:r w:rsidRPr="007A5F01">
        <w:rPr>
          <w:color w:val="000000"/>
        </w:rPr>
        <w:t xml:space="preserve">Tabel 4.9 menunjukkan karakteristik baseline 2019 yang penting sebagai referensi komparasi. Pertama, distribusi program studi pada 2019 didominasi oleh S1 Informatika dan S1 Teknologi Informasi di seluruh klaster menunjukkan </w:t>
      </w:r>
      <w:r w:rsidRPr="007A5F01">
        <w:rPr>
          <w:color w:val="000000"/>
        </w:rPr>
        <w:lastRenderedPageBreak/>
        <w:t>preferensi yang konsisten terhadap program IT bahkan sebelum pandemi. Kedua, Kabupaten Pekalongan mendominasi semua klaster sebagai wilayah asal utama, dengan beberapa klaster (K3, K6) juga memiliki kontribusi dari Kabupaten Batang. Ketiga, nilai Avg Posterior = 1,00 di semua klaster mengindikasikan hard assignment de facto setiap pendaftar memiliki probabilitas 1,00 ke satu klaster dan 0,00 ke klaster lainnya. Ini merupakan karakteristik yang perlu dicatat: GMM dengan covariance_type full pada dataset berukuran relatif kecil ini (146 observasi, 6 klaster) menghasilkan distribusi yang sangat terpisah, sehingga posterior probability terkonsentrasi pada satu klaster.</w:t>
      </w:r>
    </w:p>
    <w:p w:rsidR="002316A4" w:rsidRDefault="00C02299" w:rsidP="00EB55A7">
      <w:pPr>
        <w:spacing w:before="80" w:after="80" w:line="480" w:lineRule="auto"/>
        <w:contextualSpacing/>
        <w:jc w:val="center"/>
      </w:pPr>
      <w:r>
        <w:rPr>
          <w:noProof/>
        </w:rPr>
        <w:drawing>
          <wp:inline distT="0" distB="0" distL="0" distR="0">
            <wp:extent cx="4000500" cy="323850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4.2a Distribusi Klaster GMM pada Ruang PCA 2D Tahun 2019 (Pre</w:t>
      </w:r>
      <w:r w:rsidR="007C1716">
        <w:rPr>
          <w:color w:val="000000"/>
          <w:sz w:val="20"/>
          <w:szCs w:val="20"/>
        </w:rPr>
        <w:t xml:space="preserve"> </w:t>
      </w:r>
      <w:r>
        <w:rPr>
          <w:color w:val="000000"/>
          <w:sz w:val="20"/>
          <w:szCs w:val="20"/>
        </w:rPr>
        <w:t>COVID Baseline)</w:t>
      </w:r>
    </w:p>
    <w:p w:rsidR="002316A4" w:rsidRDefault="00C02299" w:rsidP="00EB55A7">
      <w:pPr>
        <w:spacing w:after="120"/>
        <w:contextualSpacing/>
        <w:jc w:val="both"/>
      </w:pPr>
      <w:r>
        <w:rPr>
          <w:i/>
          <w:iCs/>
          <w:color w:val="000000"/>
          <w:szCs w:val="20"/>
        </w:rPr>
        <w:t>Sumber: Hasil pemodelan GMM menggunakan Python</w:t>
      </w:r>
    </w:p>
    <w:p w:rsidR="002316A4" w:rsidRDefault="00C02299" w:rsidP="00EB55A7">
      <w:pPr>
        <w:spacing w:after="160" w:line="480" w:lineRule="auto"/>
        <w:ind w:firstLine="720"/>
        <w:jc w:val="both"/>
      </w:pPr>
      <w:r>
        <w:rPr>
          <w:color w:val="000000"/>
        </w:rPr>
        <w:t xml:space="preserve">Gambar 4.2a menampilkan distribusi 146 pendaftar 2019 dalam ruang PCA 2D dengan tiga warna klaster (merah, biru, hijau) dan simbol bintang (★) sebagai </w:t>
      </w:r>
      <w:r>
        <w:rPr>
          <w:color w:val="000000"/>
        </w:rPr>
        <w:lastRenderedPageBreak/>
        <w:t>penanda sentroid. Visualisasi menunjukkan tiga pengelompokan yang jelas dan terpisah dalam ruang PCA: klaster merah di kuadran kiri</w:t>
      </w:r>
      <w:r w:rsidR="007C1716">
        <w:rPr>
          <w:color w:val="000000"/>
        </w:rPr>
        <w:t xml:space="preserve"> </w:t>
      </w:r>
      <w:r>
        <w:rPr>
          <w:color w:val="000000"/>
        </w:rPr>
        <w:t>bawah, klaster biru di tengah, dan klaster hijau di kuadran kanan</w:t>
      </w:r>
      <w:r w:rsidR="007C1716">
        <w:rPr>
          <w:color w:val="000000"/>
        </w:rPr>
        <w:t xml:space="preserve"> </w:t>
      </w:r>
      <w:r>
        <w:rPr>
          <w:color w:val="000000"/>
        </w:rPr>
        <w:t>atas. Ketiga klaster ini terpisah dengan cukup jelas dalam ruang PCA, mengkonfirmasi bahwa meskipun GMM menghasilkan 6 klaster, visualisasi PCA 2D (yang menangkap mayoritas varians) mengelompokkan klaster</w:t>
      </w:r>
      <w:r w:rsidR="007C1716">
        <w:rPr>
          <w:color w:val="000000"/>
        </w:rPr>
        <w:t xml:space="preserve"> </w:t>
      </w:r>
      <w:r>
        <w:rPr>
          <w:color w:val="000000"/>
        </w:rPr>
        <w:t>klaster tersebut menjadi tiga kelompok besar yang berbeda secara semantik.</w:t>
      </w:r>
    </w:p>
    <w:p w:rsidR="002316A4" w:rsidRDefault="00C02299" w:rsidP="000D6197">
      <w:pPr>
        <w:pStyle w:val="Judul3"/>
        <w:spacing w:after="160" w:line="480" w:lineRule="auto"/>
      </w:pPr>
      <w:r>
        <w:t>4.6.2 Profil Klaster Fase COVID Crisis (2020–2021)</w:t>
      </w:r>
    </w:p>
    <w:p w:rsidR="002316A4" w:rsidRPr="000D6197" w:rsidRDefault="00C02299" w:rsidP="000D6197">
      <w:pPr>
        <w:spacing w:after="120"/>
        <w:contextualSpacing/>
        <w:jc w:val="center"/>
        <w:rPr>
          <w:b/>
          <w:bCs/>
          <w:color w:val="000000"/>
          <w:sz w:val="20"/>
          <w:szCs w:val="20"/>
        </w:rPr>
      </w:pPr>
      <w:r>
        <w:rPr>
          <w:b/>
          <w:sz w:val="20"/>
          <w:szCs w:val="20"/>
        </w:rPr>
        <w:t>Tabel 4.10 Profil Klaster GMM Tahun 2020 (COVID Crisis Awal Pandemi, N=274)</w:t>
      </w:r>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900"/>
        <w:gridCol w:w="600"/>
        <w:gridCol w:w="720"/>
        <w:gridCol w:w="960"/>
        <w:gridCol w:w="2640"/>
        <w:gridCol w:w="2118"/>
      </w:tblGrid>
      <w:tr w:rsidR="00707891" w:rsidRPr="00707891" w:rsidTr="00707891">
        <w:trPr>
          <w:tblHeader/>
        </w:trPr>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w:t>
            </w:r>
          </w:p>
        </w:tc>
        <w:tc>
          <w:tcPr>
            <w:tcW w:w="264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 Dominan</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25,2</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(33), S1 Teknologi Informasi (27)</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(57),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K6</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(31), S1 Informatika (13)</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(40), Kota Pekalongan (10)</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18,6</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(24), S1 Teknologi Informasi (13)</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(35), Kab. Pemalang (7)</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14,2</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(19), S1 Teknologi Informasi (12)</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(31), Kab. Pemalang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(27), S1 Teknologi Informasi (5)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(34), Kota Pekalongan (2)</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26</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9,5</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(12), S1 Teknologi Informasi (6)</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(13), Kota Pekalongan (12)</w:t>
            </w:r>
          </w:p>
        </w:tc>
      </w:tr>
    </w:tbl>
    <w:p w:rsidR="002316A4" w:rsidRDefault="00C02299" w:rsidP="00EB55A7">
      <w:pPr>
        <w:spacing w:after="120"/>
        <w:contextualSpacing/>
        <w:jc w:val="both"/>
      </w:pPr>
      <w:r>
        <w:rPr>
          <w:i/>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4.10 menunjukkan perubahan yang signifikan dibandingkan baseline 2019. Pertama, total pendaftar meningkat dari 146 menjadi 274 (+87,7%), namun distribusi antar klaster menjadi lebih tidak merata K1 mendominasi dengan 25,2% (69 pendaftar). Kedua, muncul kontribusi dari Kabupaten Pemalang (K2: 7 </w:t>
      </w:r>
      <w:r w:rsidRPr="007A5F01">
        <w:rPr>
          <w:color w:val="000000"/>
        </w:rPr>
        <w:lastRenderedPageBreak/>
        <w:t>pendaftar, K4: 4 pendaftar) yang tidak signifikan pada 2019 mengindikasikan ekspansi geografis basis pendaftar pada masa pandemi, kemungkinan akibat perluasan jangkauan digital ITSNU. Ketiga, semua klaster tetap didominasi kombinasi S1 Informatika dan S1 Teknologi Informasi, mengkonfirmasi konsistensi preferensi program studi meskipun terjadi structural break dalam komposisi segmen.</w:t>
      </w:r>
    </w:p>
    <w:p w:rsidR="002316A4" w:rsidRDefault="00C02299">
      <w:pPr>
        <w:spacing w:before="80" w:after="80" w:line="480" w:lineRule="auto"/>
        <w:jc w:val="center"/>
      </w:pPr>
      <w:r>
        <w:rPr>
          <w:noProof/>
        </w:rPr>
        <w:drawing>
          <wp:inline distT="0" distB="0" distL="0" distR="0">
            <wp:extent cx="3190009" cy="2582388"/>
            <wp:effectExtent l="0" t="0" r="0"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92909" cy="2584735"/>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4.2b Distribusi Klaster GMM pada Ruang PCA 2D Tahun 2020 (COVID Crisis Awal Pandemi)</w:t>
      </w:r>
    </w:p>
    <w:p w:rsidR="002316A4" w:rsidRDefault="00C02299" w:rsidP="00EB55A7">
      <w:pPr>
        <w:spacing w:after="120"/>
        <w:contextualSpacing/>
        <w:jc w:val="both"/>
      </w:pPr>
      <w:r>
        <w:rPr>
          <w:i/>
          <w:iCs/>
          <w:color w:val="000000"/>
          <w:szCs w:val="20"/>
        </w:rPr>
        <w:t>Sumber: Hasil pemodelan GMM menggunakan Python</w:t>
      </w:r>
    </w:p>
    <w:p w:rsidR="002316A4" w:rsidRDefault="00C02299" w:rsidP="00EB55A7">
      <w:pPr>
        <w:spacing w:after="160" w:line="480" w:lineRule="auto"/>
        <w:ind w:firstLine="720"/>
        <w:jc w:val="both"/>
      </w:pPr>
      <w:r>
        <w:rPr>
          <w:color w:val="000000"/>
        </w:rPr>
        <w:t>Gambar 4.2b menampilkan distribusi 274 pendaftar 2020 yang secara visual hampir identik dengan Gambar 4.2a dalam hal pola tiga</w:t>
      </w:r>
      <w:r w:rsidR="007C1716">
        <w:rPr>
          <w:color w:val="000000"/>
        </w:rPr>
        <w:t xml:space="preserve"> </w:t>
      </w:r>
      <w:r>
        <w:rPr>
          <w:color w:val="000000"/>
        </w:rPr>
        <w:t xml:space="preserve">kelompok di ruang PCA. Namun demikian, jumlah titik data yang jauh lebih banyak (274 vs 146) terlihat jelas dengan kepadatan titik yang lebih tinggi di setiap kelompok. Posisi sentroid (★) relatif stabil dibandingkan 2019 terutama sentroid merah dan hijau namun centroid drift sebesar 20,35 yang terukur secara kuantitatif mengkonfirmasi bahwa terdapat pergeseran posisi yang signifikan ketika dilihat dalam ruang PCA dimensi </w:t>
      </w:r>
      <w:r>
        <w:rPr>
          <w:color w:val="000000"/>
        </w:rPr>
        <w:lastRenderedPageBreak/>
        <w:t>penuh (bukan hanya 2D). Stabilitas visual dalam 2D tetapi pergeseran signifikan dalam dimensi lebih tinggi ini menjelaskan mengapa diperlukan metrik ARI dan centroid drift multidimensi daripada hanya inspeksi visual.</w:t>
      </w:r>
    </w:p>
    <w:p w:rsidR="002316A4" w:rsidRPr="000D6197" w:rsidRDefault="00C02299" w:rsidP="000D6197">
      <w:pPr>
        <w:spacing w:after="120"/>
        <w:contextualSpacing/>
        <w:jc w:val="center"/>
        <w:rPr>
          <w:b/>
          <w:bCs/>
          <w:color w:val="000000"/>
          <w:sz w:val="20"/>
          <w:szCs w:val="20"/>
        </w:rPr>
      </w:pPr>
      <w:r>
        <w:rPr>
          <w:b/>
          <w:sz w:val="20"/>
          <w:szCs w:val="20"/>
        </w:rPr>
        <w:t>Tabel 4.11 Profil Klaster GMM Tahun 2021 (COVID Crisis Puncak Adaptasi, N=301)</w:t>
      </w:r>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900"/>
        <w:gridCol w:w="600"/>
        <w:gridCol w:w="720"/>
        <w:gridCol w:w="960"/>
        <w:gridCol w:w="2640"/>
        <w:gridCol w:w="2118"/>
      </w:tblGrid>
      <w:tr w:rsidR="00707891" w:rsidRPr="00707891" w:rsidTr="00707891">
        <w:trPr>
          <w:tblHeader/>
        </w:trPr>
        <w:tc>
          <w:tcPr>
            <w:tcW w:w="90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9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(30), S1 Teknologi Informasi (20)</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(61), Kota Pekalongan (3)</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(39), S1 Informatika (18)</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(47), Kab. Batang (10)</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47</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15,6</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(16), S1 Informatika (15)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(36), Kota Pekalongan (9)</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(17), S1 Teknologi Informasi (15)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(37),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K6</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(27), S1 Teknologi Informasi (6)</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(30),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33</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(15), S1 Informatika (9)</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(33)</w:t>
            </w:r>
          </w:p>
        </w:tc>
      </w:tr>
    </w:tbl>
    <w:p w:rsidR="002316A4" w:rsidRDefault="00C02299" w:rsidP="000D6197">
      <w:pPr>
        <w:spacing w:after="120"/>
        <w:jc w:val="both"/>
      </w:pPr>
      <w:r>
        <w:rPr>
          <w:i/>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perubahan penting pada 2021: kemunculan S1 Teknik Industri sebagai prodi dominan di dua klaster (K5 dan K1), sesuatu yang tidak terlihat pada 2019 dan 2020 di mana IT mendominasi semua klaster. Ini mengindikasikan diversifikasi minat program studi pada puncak pandemi kemungkinan karena pendaftar mulai mempertimbangkan program yang lebih terkait dengan transformasi industri lokal (batik, manufaktur). Kabupaten Batang kembali muncul sebagai sumber sekunder yang signifikan (K4: 10 pendaftar).</w:t>
      </w:r>
    </w:p>
    <w:p w:rsidR="002316A4" w:rsidRDefault="00C02299" w:rsidP="00EB55A7">
      <w:pPr>
        <w:spacing w:before="80" w:after="80" w:line="480" w:lineRule="auto"/>
        <w:contextualSpacing/>
        <w:jc w:val="center"/>
      </w:pPr>
      <w:r>
        <w:rPr>
          <w:noProof/>
        </w:rPr>
        <w:lastRenderedPageBreak/>
        <w:drawing>
          <wp:inline distT="0" distB="0" distL="0" distR="0">
            <wp:extent cx="4000500" cy="3238500"/>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4.2c Distribusi Klaster GMM pada Ruang PCA 2D Tahun 2021 (COVID Crisis Puncak Adaptasi)</w:t>
      </w:r>
    </w:p>
    <w:p w:rsidR="002316A4" w:rsidRDefault="00C02299" w:rsidP="00EB55A7">
      <w:pPr>
        <w:spacing w:after="120"/>
        <w:contextualSpacing/>
        <w:jc w:val="both"/>
      </w:pPr>
      <w:r>
        <w:rPr>
          <w:i/>
          <w:iCs/>
          <w:color w:val="000000"/>
          <w:szCs w:val="20"/>
        </w:rPr>
        <w:t>Sumber: Hasil pemodelan GMM menggunakan Python</w:t>
      </w:r>
    </w:p>
    <w:p w:rsidR="002316A4" w:rsidRDefault="00C02299" w:rsidP="00EB55A7">
      <w:pPr>
        <w:spacing w:after="160" w:line="480" w:lineRule="auto"/>
        <w:ind w:firstLine="720"/>
        <w:jc w:val="both"/>
      </w:pPr>
      <w:r>
        <w:rPr>
          <w:color w:val="000000"/>
        </w:rPr>
        <w:t>Gambar 4.2c memperlihatkan distribusi 301 pendaftar 2021 dengan pola tiga kelompok yang konsisten dengan tahun</w:t>
      </w:r>
      <w:r w:rsidR="007C1716">
        <w:rPr>
          <w:color w:val="000000"/>
        </w:rPr>
        <w:t xml:space="preserve"> </w:t>
      </w:r>
      <w:r>
        <w:rPr>
          <w:color w:val="000000"/>
        </w:rPr>
        <w:t>tahun sebelumnya. Namun, terdapat perbedaan yang terlihat: kelompok merah (kiri</w:t>
      </w:r>
      <w:r w:rsidR="007C1716">
        <w:rPr>
          <w:color w:val="000000"/>
        </w:rPr>
        <w:t xml:space="preserve"> </w:t>
      </w:r>
      <w:r>
        <w:rPr>
          <w:color w:val="000000"/>
        </w:rPr>
        <w:t xml:space="preserve">bawah) tampak lebih tersebar dibandingkan 2019 dan 2020, dengan beberapa titik merah yang berada agak jauh dari pusat kelompok. Fenomena ini konsisten dengan munculnya klaster dengan S1 Teknik Industri sebagai prodi dominan program ini kemungkinan menghasilkan </w:t>
      </w:r>
      <w:r>
        <w:rPr>
          <w:i/>
          <w:color w:val="000000"/>
        </w:rPr>
        <w:t>embedding</w:t>
      </w:r>
      <w:r>
        <w:rPr>
          <w:color w:val="000000"/>
        </w:rPr>
        <w:t xml:space="preserve"> yang sedikit berbeda dari program IT, sehingga pendaftar Teknik Industri berada di posisi yang lebih marginal dalam ruang PCA. Posisi sentroid merah (★) juga sedikit bergeser ke kiri dibandingkan 2020.</w:t>
      </w:r>
    </w:p>
    <w:p w:rsidR="002316A4" w:rsidRDefault="00C02299" w:rsidP="000D6197">
      <w:pPr>
        <w:pStyle w:val="Judul3"/>
        <w:spacing w:after="160" w:line="480" w:lineRule="auto"/>
      </w:pPr>
      <w:r>
        <w:t>4.6.3 Profil Klaster Fase Recovery (2022–2024)</w:t>
      </w:r>
    </w:p>
    <w:p w:rsidR="002316A4" w:rsidRPr="000D6197" w:rsidRDefault="00C02299" w:rsidP="000D6197">
      <w:pPr>
        <w:spacing w:after="120"/>
        <w:contextualSpacing/>
        <w:jc w:val="center"/>
        <w:rPr>
          <w:b/>
          <w:bCs/>
          <w:color w:val="000000"/>
          <w:sz w:val="20"/>
          <w:szCs w:val="20"/>
        </w:rPr>
      </w:pPr>
      <w:r>
        <w:rPr>
          <w:b/>
          <w:sz w:val="20"/>
          <w:szCs w:val="20"/>
        </w:rPr>
        <w:t>Tabel 4.12 Profil Klaster GMM Tahun 2022 (Recovery Awal Pemulihan, N=458)</w:t>
      </w:r>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4"/>
        <w:gridCol w:w="550"/>
        <w:gridCol w:w="1079"/>
        <w:gridCol w:w="2357"/>
        <w:gridCol w:w="2462"/>
      </w:tblGrid>
      <w:tr w:rsidR="00707891" w:rsidRPr="00707891" w:rsidTr="000D6197">
        <w:trPr>
          <w:tblHeader/>
        </w:trPr>
        <w:tc>
          <w:tcPr>
            <w:tcW w:w="8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lastRenderedPageBreak/>
              <w:t>Klaster</w:t>
            </w:r>
          </w:p>
        </w:tc>
        <w:tc>
          <w:tcPr>
            <w:tcW w:w="59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107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287</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62,7</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(92), S1 Informatika (70)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(194), Kota Pekalongan (52)</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56</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12,2</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(22), S1 Teknologi Informasi (11)</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(45), Kota Pekalongan (11)</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11,4</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(13), S1 Teknik Industri (10)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(36), Kota Pekalongan (15)</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8,7</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(14), S1 Informatika (10)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(37), Kab. Batang (1)</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5,0</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(9), D3 Adm. Perkantoran (6)</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 (12), Kab. Pekalongan (9)</w:t>
            </w:r>
          </w:p>
        </w:tc>
      </w:tr>
    </w:tbl>
    <w:p w:rsidR="002316A4" w:rsidRDefault="00C02299" w:rsidP="00EB55A7">
      <w:pPr>
        <w:spacing w:after="120"/>
        <w:contextualSpacing/>
        <w:jc w:val="both"/>
      </w:pPr>
      <w:r>
        <w:rPr>
          <w:i/>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perubahan dramatis pada awal fase Recovery. Klaster K1 mendominasi dengan 287 pendaftar (62,7%) sebuah konsentrasi yang belum pernah terjadi pada fase sebelumnya. Perubahan dari distribusi merata enam klaster (2019–2021) ke dominasi satu klaster ini merupakan structural break yang signifikan. Kemunculan D3 Administrasi Perkantoran di K4 (6 pendaftar) menandai diversifikasi ke program non</w:t>
      </w:r>
      <w:r w:rsidR="007C1716" w:rsidRPr="007A5F01">
        <w:rPr>
          <w:color w:val="000000"/>
        </w:rPr>
        <w:t xml:space="preserve"> </w:t>
      </w:r>
      <w:r w:rsidRPr="007A5F01">
        <w:rPr>
          <w:color w:val="000000"/>
        </w:rPr>
        <w:t>IT mungkin cerminan penurunan biaya pendidikan yang membuat program diploma lebih menarik bagi segmen tertentu.</w:t>
      </w:r>
    </w:p>
    <w:p w:rsidR="002316A4" w:rsidRDefault="00C02299">
      <w:pPr>
        <w:spacing w:before="80" w:after="80" w:line="480" w:lineRule="auto"/>
        <w:jc w:val="center"/>
      </w:pPr>
      <w:r>
        <w:rPr>
          <w:noProof/>
        </w:rPr>
        <w:lastRenderedPageBreak/>
        <w:drawing>
          <wp:inline distT="0" distB="0" distL="0" distR="0">
            <wp:extent cx="4000500" cy="3238500"/>
            <wp:effectExtent l="0" t="0" r="0" b="6350"/>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4.2d Distribusi Klaster GMM pada Ruang PCA 2D Tahun 2022 (Recovery Awal Pemulihan)</w:t>
      </w:r>
    </w:p>
    <w:p w:rsidR="002316A4" w:rsidRDefault="00C02299" w:rsidP="00EB55A7">
      <w:pPr>
        <w:spacing w:after="120"/>
        <w:contextualSpacing/>
        <w:jc w:val="both"/>
      </w:pPr>
      <w:r>
        <w:rPr>
          <w:i/>
          <w:iCs/>
          <w:color w:val="000000"/>
          <w:szCs w:val="20"/>
        </w:rPr>
        <w:t>Sumber: Hasil pemodelan GMM menggunakan Python</w:t>
      </w:r>
    </w:p>
    <w:p w:rsidR="000D6197" w:rsidRDefault="00C02299" w:rsidP="000D6197">
      <w:pPr>
        <w:spacing w:after="160" w:line="480" w:lineRule="auto"/>
        <w:ind w:firstLine="720"/>
        <w:jc w:val="both"/>
      </w:pPr>
      <w:r>
        <w:rPr>
          <w:color w:val="000000"/>
        </w:rPr>
        <w:t>Gambar 4.2d dengan jelas memvisualisasikan dominasi K1 (merah) pada 2022. Kelompok merah di kiri</w:t>
      </w:r>
      <w:r w:rsidR="007C1716">
        <w:rPr>
          <w:color w:val="000000"/>
        </w:rPr>
        <w:t xml:space="preserve"> </w:t>
      </w:r>
      <w:r>
        <w:rPr>
          <w:color w:val="000000"/>
        </w:rPr>
        <w:t>bawah tampak jauh lebih padat dan besar dibandingkan dua kelompok lainnya (biru dan hijau), secara visual mencerminkan 62,7% proporsinya dari total. Pola tiga kelompok tetap konsisten secara geometris dengan tahun</w:t>
      </w:r>
      <w:r w:rsidR="007C1716">
        <w:rPr>
          <w:color w:val="000000"/>
        </w:rPr>
        <w:t xml:space="preserve"> </w:t>
      </w:r>
      <w:r>
        <w:rPr>
          <w:color w:val="000000"/>
        </w:rPr>
        <w:t>tahun sebelumnya. Konsistensi posisi geometris ini membuktikan bahwa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berhasil mempertahankan ruang representasi yang comparable, sehingga pergeseran distribusi yang terlihat antar gambar mencerminkan perubahan populasi sesungguhnya.</w:t>
      </w:r>
    </w:p>
    <w:p w:rsidR="002316A4" w:rsidRPr="000D6197" w:rsidRDefault="00C02299" w:rsidP="000D6197">
      <w:pPr>
        <w:spacing w:after="120"/>
        <w:contextualSpacing/>
        <w:jc w:val="center"/>
        <w:rPr>
          <w:b/>
          <w:bCs/>
          <w:color w:val="000000"/>
          <w:sz w:val="20"/>
          <w:szCs w:val="20"/>
        </w:rPr>
      </w:pPr>
      <w:r>
        <w:rPr>
          <w:b/>
          <w:sz w:val="20"/>
          <w:szCs w:val="20"/>
        </w:rPr>
        <w:t>Tabel 4.13 Profil Klaster GMM Tahun 2023 (Recovery Konsolidasi, N=680)</w:t>
      </w:r>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5"/>
        <w:gridCol w:w="631"/>
        <w:gridCol w:w="839"/>
        <w:gridCol w:w="2509"/>
        <w:gridCol w:w="2560"/>
      </w:tblGrid>
      <w:tr w:rsidR="00707891" w:rsidRPr="00707891" w:rsidTr="00707891">
        <w:trPr>
          <w:trHeight w:val="217"/>
          <w:tblHeader/>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rPr>
          <w:trHeight w:val="422"/>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630</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92,6</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(189), S1 Teknologi Informasi (169)</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(420), Kota Pekalongan (97)</w:t>
            </w:r>
          </w:p>
        </w:tc>
      </w:tr>
      <w:tr w:rsidR="00707891" w:rsidRPr="00707891" w:rsidTr="00707891">
        <w:trPr>
          <w:trHeight w:val="422"/>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K1</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7,4</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(22), S1 Teknik Industri (11)</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(31), Kota Pekalongan (13)</w:t>
            </w:r>
          </w:p>
        </w:tc>
      </w:tr>
    </w:tbl>
    <w:p w:rsidR="007A5F01" w:rsidRPr="007A5F01" w:rsidRDefault="00C02299" w:rsidP="007A5F01">
      <w:pPr>
        <w:spacing w:after="120"/>
        <w:jc w:val="both"/>
      </w:pPr>
      <w:r>
        <w:rPr>
          <w:i/>
          <w:iCs/>
          <w:color w:val="000000"/>
          <w:szCs w:val="20"/>
        </w:rPr>
        <w:t>Sumber: Hasil pemodelan GMM (2025)</w:t>
      </w:r>
    </w:p>
    <w:p w:rsidR="002316A4" w:rsidRPr="007A5F01" w:rsidRDefault="00C02299" w:rsidP="007A5F01">
      <w:pPr>
        <w:spacing w:after="120" w:line="480" w:lineRule="auto"/>
        <w:ind w:firstLine="720"/>
        <w:jc w:val="both"/>
      </w:pPr>
      <w:r w:rsidRPr="007A5F01">
        <w:rPr>
          <w:color w:val="000000"/>
        </w:rPr>
        <w:t>Tabel 4.13 menampilkan fenomena paling ekstrem dalam seluruh analisis: 92,6% pendaftar (630 dari 680) terkonsentrasi dalam satu klaster (K2). Ini adalah konsolidasi segmen yang belum pernah terjadi sebelumnya. Klaster K2 yang dominan dicirikan oleh S1 Informatika (189) dan S1 Teknologi Informasi (169) sebagai dua prodi terbesar, dengan basis geografis utama di Kabupaten Pekalongan (420) dan Kota Pekalongan (97). Klaster kecil K1 (50 pendaftar, 7,4%) menampung campuran S1 Informatika dan S1 Teknik Industri. Konsolidasi ekstrem ini mengisyaratkan kampanye rekrutmen 2023 sangat berhasil menarik satu segmen yang sangat homogen namun pada saat yang sama, keberhasilan ini dapat menjadi risiko jika segmen tersebut tidak dapat dipertahankan pada tahun berikutnya.</w:t>
      </w:r>
    </w:p>
    <w:p w:rsidR="002316A4" w:rsidRDefault="00C02299" w:rsidP="00EB55A7">
      <w:pPr>
        <w:spacing w:before="80" w:after="80" w:line="480" w:lineRule="auto"/>
        <w:contextualSpacing/>
        <w:jc w:val="center"/>
      </w:pPr>
      <w:r>
        <w:rPr>
          <w:noProof/>
        </w:rPr>
        <w:drawing>
          <wp:inline distT="0" distB="0" distL="0" distR="0">
            <wp:extent cx="4000500" cy="3238500"/>
            <wp:effectExtent l="0" t="0" r="0"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lastRenderedPageBreak/>
        <w:t>Gambar 4.2e Distribusi Klaster GMM pada Ruang PCA 2D Tahun 2023 (Recovery Konsolidasi)</w:t>
      </w:r>
    </w:p>
    <w:p w:rsidR="002316A4" w:rsidRDefault="00C02299" w:rsidP="00EB55A7">
      <w:pPr>
        <w:spacing w:after="120"/>
        <w:contextualSpacing/>
        <w:jc w:val="both"/>
      </w:pPr>
      <w:r>
        <w:rPr>
          <w:i/>
          <w:iCs/>
          <w:color w:val="000000"/>
          <w:szCs w:val="20"/>
        </w:rPr>
        <w:t>Sumber: Hasil pemodelan GMM menggunakan Python</w:t>
      </w:r>
    </w:p>
    <w:p w:rsidR="002316A4" w:rsidRDefault="00C02299" w:rsidP="00EB55A7">
      <w:pPr>
        <w:spacing w:after="160" w:line="480" w:lineRule="auto"/>
        <w:ind w:firstLine="720"/>
        <w:jc w:val="both"/>
      </w:pPr>
      <w:r>
        <w:rPr>
          <w:color w:val="000000"/>
        </w:rPr>
        <w:t>Gambar 4.2e secara dramatis memvisualisasikan konsolidasi K=2 pada 2023. Kontras dengan gambar</w:t>
      </w:r>
      <w:r w:rsidR="007C1716">
        <w:rPr>
          <w:color w:val="000000"/>
        </w:rPr>
        <w:t xml:space="preserve"> </w:t>
      </w:r>
      <w:r>
        <w:rPr>
          <w:color w:val="000000"/>
        </w:rPr>
        <w:t>gambar sebelumnya yang menampilkan distribusi relatif seimbang antar kelompok, Gambar 4.2e menampilkan kelompok hijau yang mendominasi ruang kanan</w:t>
      </w:r>
      <w:r w:rsidR="007C1716">
        <w:rPr>
          <w:color w:val="000000"/>
        </w:rPr>
        <w:t xml:space="preserve"> </w:t>
      </w:r>
      <w:r>
        <w:rPr>
          <w:color w:val="000000"/>
        </w:rPr>
        <w:t>atas dengan kepadatan titik yang sangat tinggi (630 pendaftar K2), sementara kelompok merah di kiri</w:t>
      </w:r>
      <w:r w:rsidR="007C1716">
        <w:rPr>
          <w:color w:val="000000"/>
        </w:rPr>
        <w:t xml:space="preserve"> </w:t>
      </w:r>
      <w:r>
        <w:rPr>
          <w:color w:val="000000"/>
        </w:rPr>
        <w:t>bawah tampak sangat kecil (50 pendaftar K1). Tidak ada klaster biru sama sekali ini adalah visualisasi langsung dari K=2 (hanya dua klaster). Pola ini menegaskan bahwa lonjakan 680 pendaftar pada 2023 hampir seluruhnya didorong oleh ekspansi satu segmen yang sangat homogen.</w:t>
      </w:r>
    </w:p>
    <w:p w:rsidR="002316A4" w:rsidRDefault="00C02299" w:rsidP="000D6197">
      <w:pPr>
        <w:spacing w:after="120"/>
        <w:contextualSpacing/>
        <w:jc w:val="center"/>
        <w:rPr>
          <w:b/>
          <w:bCs/>
          <w:color w:val="000000"/>
          <w:sz w:val="20"/>
          <w:szCs w:val="20"/>
        </w:rPr>
      </w:pPr>
      <w:r>
        <w:rPr>
          <w:b/>
          <w:sz w:val="20"/>
          <w:szCs w:val="20"/>
        </w:rPr>
        <w:t>Tabel 4.14 Profil Klaster GMM Tahun 2024 (Recovery Stabilisasi, N=503)</w:t>
      </w:r>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9"/>
        <w:gridCol w:w="636"/>
        <w:gridCol w:w="846"/>
        <w:gridCol w:w="2532"/>
        <w:gridCol w:w="2584"/>
      </w:tblGrid>
      <w:tr w:rsidR="00707891" w:rsidRPr="00707891" w:rsidTr="00707891">
        <w:trPr>
          <w:trHeight w:val="231"/>
          <w:tblHeader/>
        </w:trPr>
        <w:tc>
          <w:tcPr>
            <w:tcW w:w="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84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rPr>
          <w:trHeight w:val="478"/>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274</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54,5</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(60), D3 Akuntansi (57)</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(238), Kab. Batang (18)</w:t>
            </w:r>
          </w:p>
        </w:tc>
      </w:tr>
      <w:tr w:rsidR="00707891" w:rsidRPr="00707891" w:rsidTr="00707891">
        <w:trPr>
          <w:trHeight w:val="463"/>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196</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39,0</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(52), S1 Informatika (43)</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(113), Kota Pekalongan (59)</w:t>
            </w:r>
          </w:p>
        </w:tc>
      </w:tr>
      <w:tr w:rsidR="00707891" w:rsidRPr="00707891" w:rsidTr="00707891">
        <w:trPr>
          <w:trHeight w:val="463"/>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6,6</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D3 Akuntansi (13), D3 Adm. Perkantoran (5)</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 (28), Kab. Pekalongan (5)</w:t>
            </w:r>
          </w:p>
        </w:tc>
      </w:tr>
    </w:tbl>
    <w:p w:rsidR="002316A4" w:rsidRDefault="00C02299" w:rsidP="00EB55A7">
      <w:pPr>
        <w:spacing w:after="120"/>
        <w:contextualSpacing/>
        <w:jc w:val="both"/>
      </w:pPr>
      <w:r>
        <w:rPr>
          <w:i/>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4.14 menunjukkan perubahan paling signifikan dalam komposisi program studi sepanjang enam periode: D3 Akuntansi muncul sebagai prodi dominan kedua di K2 (57 pendaftar, berdampingan dengan S1 Informatika 60 pendaftar). Kemunculan ini sebelumnya tidak terlihat sebagai prodi dominan di klaster manapun pada 2019–2023. Selain itu, K1 (6,6%) hampir seluruhnya terdiri </w:t>
      </w:r>
      <w:r w:rsidRPr="007A5F01">
        <w:rPr>
          <w:color w:val="000000"/>
        </w:rPr>
        <w:lastRenderedPageBreak/>
        <w:t>dari program Diploma (D3 Akuntansi + D3 Adm. Perkantoran) yang berbasis di Kota Pekalongan profil yang sangat berbeda dari klaster-klaster sebelumnya. Diversifikasi ke program non-IT ini mengindikasikan perluasan jangkauan rekrutmen ITSNU Pekalongan pada 2024 ke segmen yang sebelumnya tidak tertangkap.</w:t>
      </w:r>
    </w:p>
    <w:p w:rsidR="002316A4" w:rsidRDefault="00C02299">
      <w:pPr>
        <w:spacing w:before="80" w:after="80" w:line="480" w:lineRule="auto"/>
        <w:jc w:val="center"/>
      </w:pPr>
      <w:r>
        <w:rPr>
          <w:noProof/>
        </w:rPr>
        <w:drawing>
          <wp:inline distT="0" distB="0" distL="0" distR="0">
            <wp:extent cx="4000500" cy="3238500"/>
            <wp:effectExtent l="0" t="0" r="0"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4.2f Distribusi Klaster GMM pada Ruang PCA 2D Tahun 2024 (Recovery Stabilisasi)</w:t>
      </w:r>
    </w:p>
    <w:p w:rsidR="002316A4" w:rsidRDefault="00C02299" w:rsidP="00EB55A7">
      <w:pPr>
        <w:spacing w:after="120"/>
        <w:contextualSpacing/>
        <w:jc w:val="both"/>
      </w:pPr>
      <w:r>
        <w:rPr>
          <w:i/>
          <w:iCs/>
          <w:color w:val="000000"/>
          <w:szCs w:val="20"/>
        </w:rPr>
        <w:t>Sumber: Hasil pemodelan GMM menggunakan Python</w:t>
      </w:r>
    </w:p>
    <w:p w:rsidR="002316A4" w:rsidRDefault="00C02299" w:rsidP="00EB55A7">
      <w:pPr>
        <w:spacing w:after="160" w:line="480" w:lineRule="auto"/>
        <w:ind w:firstLine="720"/>
        <w:jc w:val="both"/>
      </w:pPr>
      <w:r>
        <w:rPr>
          <w:color w:val="000000"/>
        </w:rPr>
        <w:t>Gambar 4.2f menampilkan distribusi K=3 pada 2024 dengan pola tiga kelompok yang kembali seimbang merah (kiri</w:t>
      </w:r>
      <w:r w:rsidR="007C1716">
        <w:rPr>
          <w:color w:val="000000"/>
        </w:rPr>
        <w:t xml:space="preserve"> </w:t>
      </w:r>
      <w:r>
        <w:rPr>
          <w:color w:val="000000"/>
        </w:rPr>
        <w:t>bawah, K1 kecil), biru (tengah, K3), dan hijau (kanan</w:t>
      </w:r>
      <w:r w:rsidR="007C1716">
        <w:rPr>
          <w:color w:val="000000"/>
        </w:rPr>
        <w:t xml:space="preserve"> </w:t>
      </w:r>
      <w:r>
        <w:rPr>
          <w:color w:val="000000"/>
        </w:rPr>
        <w:t>atas, K2 dominan). Dibandingkan 2023 yang hanya K=2, kemunculan kembali klaster biru (K3: 196 pendaftar, 39,0%) menandai diversifikasi segmen yang sehat. Posisi kelompok hijau (K2) di kanan</w:t>
      </w:r>
      <w:r w:rsidR="007C1716">
        <w:rPr>
          <w:color w:val="000000"/>
        </w:rPr>
        <w:t xml:space="preserve"> </w:t>
      </w:r>
      <w:r>
        <w:rPr>
          <w:color w:val="000000"/>
        </w:rPr>
        <w:t xml:space="preserve">atas konsisten dengan tahun-tahun sebelumnya, mengkonfirmasi bahwa segmen inti </w:t>
      </w:r>
      <w:r>
        <w:rPr>
          <w:color w:val="000000"/>
        </w:rPr>
        <w:lastRenderedPageBreak/>
        <w:t>ITSNU Pekalongan berbasis IT dari Kabupaten Pekalongan tetap menjadi kelompok terbesar meskipun terjadi diversifikasi.</w:t>
      </w:r>
    </w:p>
    <w:p w:rsidR="002316A4" w:rsidRDefault="00C02299" w:rsidP="00EB55A7">
      <w:pPr>
        <w:pStyle w:val="Judul3"/>
        <w:spacing w:after="160" w:line="480" w:lineRule="auto"/>
      </w:pPr>
      <w:r>
        <w:t>4.6.4 Matriks Evolusi Lifecycle dan Tren Proporsi Klaster</w:t>
      </w:r>
    </w:p>
    <w:p w:rsidR="00953938" w:rsidRDefault="00C02299" w:rsidP="00EB55A7">
      <w:pPr>
        <w:spacing w:after="120"/>
        <w:contextualSpacing/>
        <w:jc w:val="center"/>
        <w:rPr>
          <w:b/>
          <w:bCs/>
          <w:color w:val="000000"/>
          <w:sz w:val="20"/>
          <w:szCs w:val="20"/>
        </w:rPr>
      </w:pPr>
      <w:r>
        <w:rPr>
          <w:b/>
          <w:sz w:val="20"/>
          <w:szCs w:val="20"/>
        </w:rPr>
        <w:t>Tabel 4.15 Matriks Evolusi Proporsi Klaster 2019–2024 (Lifecycle Analysis)</w:t>
      </w:r>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49"/>
        <w:gridCol w:w="883"/>
        <w:gridCol w:w="883"/>
        <w:gridCol w:w="883"/>
        <w:gridCol w:w="883"/>
        <w:gridCol w:w="883"/>
        <w:gridCol w:w="883"/>
        <w:gridCol w:w="1000"/>
      </w:tblGrid>
      <w:tr w:rsidR="00953938" w:rsidRPr="00953938" w:rsidTr="00953938">
        <w:trPr>
          <w:trHeight w:val="222"/>
          <w:tblHeader/>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1 (Merah)</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22,6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25,2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23,3</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62,7</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92,6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54,5</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2 (Biru)</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21,9</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19,0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23,3</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12,2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7,4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39,0</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(V-shape)</w:t>
            </w:r>
          </w:p>
        </w:tc>
      </w:tr>
      <w:tr w:rsidR="00953938" w:rsidRPr="00953938" w:rsidTr="00953938">
        <w:trPr>
          <w:trHeight w:val="287"/>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3 (Hijau)</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18,6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15,6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11,4</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6,6</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15,0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8,7</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 (merger)</w:t>
            </w:r>
          </w:p>
        </w:tc>
      </w:tr>
      <w:tr w:rsidR="00953938" w:rsidRPr="00953938" w:rsidTr="00953938">
        <w:trPr>
          <w:trHeight w:val="444"/>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13,5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12,0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5,0</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 (merger)</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11,0</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lalu merger</w:t>
            </w:r>
          </w:p>
        </w:tc>
      </w:tr>
    </w:tbl>
    <w:p w:rsidR="002316A4" w:rsidRDefault="00C02299" w:rsidP="00EB55A7">
      <w:pPr>
        <w:spacing w:after="160" w:line="480" w:lineRule="auto"/>
        <w:ind w:firstLine="720"/>
        <w:contextualSpacing/>
        <w:jc w:val="both"/>
      </w:pPr>
      <w:r>
        <w:rPr>
          <w:i/>
          <w:iCs/>
          <w:color w:val="000000"/>
          <w:szCs w:val="20"/>
        </w:rPr>
        <w:t>Keterangan: = klaster tidak terbentuk pada periode tersebut (K optimal lebih kecil dari nomor klaster)</w:t>
      </w:r>
    </w:p>
    <w:p w:rsidR="002316A4" w:rsidRDefault="00C02299" w:rsidP="00EB55A7">
      <w:pPr>
        <w:spacing w:after="120"/>
        <w:contextualSpacing/>
        <w:jc w:val="both"/>
      </w:pPr>
      <w:r>
        <w:rPr>
          <w:i/>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perjalanan enam tahun seluruh klaster dalam satu matriks lifecycle. Temuan utama dari matriks ini adalah pola konsolidasi yang dramatis dan konsisten. Klaster 1 (Merah) menunjukkan pertumbuhan dari 22,6% (2019) hingga mendominasi 92,6% pada 2023 sebelum normalisasi ke 54,5% pada 2024 trajektori pertumbuhan yang paling signifikan. Klaster 2 (Biru) mengalami kontraksi tajam dari 21,9% (2019) ke 7,4% (2023), kemudian rebound ke 39,0% (2024) pola V-shape yang mengindikasikan segmen ini sempat tertekan oleh dominasi Klaster 1 namun kembali bangkit. Klaster 3–5 secara konsisten </w:t>
      </w:r>
      <w:r w:rsidRPr="007A5F01">
        <w:rPr>
          <w:color w:val="000000"/>
        </w:rPr>
        <w:lastRenderedPageBreak/>
        <w:t>menunjukkan tren menurun dan akhirnya menghilang dari 2023–2024 mengindikasikan merger ke klaster yang lebih besar atau hilangnya segmen tersebut dari populasi pendaftar. Klaster 6 yang terkecil pada 2019 (5,5%) menunjukkan pertumbuhan hingga 11,0% di 2021 sebelum merger ke klaster lain pada 2022. Keragaman pola lifecycle ini mengkonfirmasi pentingnya analisis temporal yang tidak dapat ditangkap oleh analisis single</w:t>
      </w:r>
      <w:r w:rsidR="007C1716" w:rsidRPr="007A5F01">
        <w:rPr>
          <w:color w:val="000000"/>
        </w:rPr>
        <w:t xml:space="preserve"> </w:t>
      </w:r>
      <w:r w:rsidRPr="007A5F01">
        <w:rPr>
          <w:color w:val="000000"/>
        </w:rPr>
        <w:t>period.</w:t>
      </w:r>
    </w:p>
    <w:p w:rsidR="002316A4" w:rsidRDefault="00C02299">
      <w:pPr>
        <w:pStyle w:val="Judul2"/>
        <w:spacing w:line="480" w:lineRule="auto"/>
      </w:pPr>
      <w:r>
        <w:t>4.7 Otomasi Reasoning Tren Kausal dan Ringkasan Naratif (Otomasi LLM Llama 3.2)</w:t>
      </w:r>
    </w:p>
    <w:p w:rsidR="002316A4" w:rsidRDefault="00C02299">
      <w:pPr>
        <w:pStyle w:val="Judul3"/>
        <w:spacing w:line="480" w:lineRule="auto"/>
      </w:pPr>
      <w:r>
        <w:t>4.7.1 Reasoning Tren Kausal Berbasis LLM</w:t>
      </w:r>
    </w:p>
    <w:p w:rsidR="002316A4" w:rsidRDefault="00C02299">
      <w:pPr>
        <w:spacing w:after="160" w:line="480" w:lineRule="auto"/>
        <w:ind w:firstLine="720"/>
        <w:jc w:val="both"/>
      </w:pPr>
      <w:r>
        <w:rPr>
          <w:color w:val="000000"/>
        </w:rPr>
        <w:t xml:space="preserve">Sistem otomasi </w:t>
      </w:r>
      <w:r>
        <w:rPr>
          <w:i/>
          <w:color w:val="000000"/>
        </w:rPr>
        <w:t>LLM</w:t>
      </w:r>
      <w:r>
        <w:rPr>
          <w:color w:val="000000"/>
        </w:rPr>
        <w:t xml:space="preserve"> menghasilkan </w:t>
      </w:r>
      <w:r>
        <w:rPr>
          <w:i/>
          <w:color w:val="000000"/>
        </w:rPr>
        <w:t>reasoning</w:t>
      </w:r>
      <w:r>
        <w:rPr>
          <w:color w:val="000000"/>
        </w:rPr>
        <w:t xml:space="preserve"> kausal menggunakan </w:t>
      </w:r>
      <w:r>
        <w:rPr>
          <w:i/>
          <w:color w:val="000000"/>
        </w:rPr>
        <w:t>chain</w:t>
      </w:r>
      <w:r w:rsidR="007C1716">
        <w:rPr>
          <w:i/>
          <w:color w:val="000000"/>
        </w:rPr>
        <w:t xml:space="preserve"> </w:t>
      </w:r>
      <w:r>
        <w:rPr>
          <w:i/>
          <w:color w:val="000000"/>
        </w:rPr>
        <w:t>of</w:t>
      </w:r>
      <w:r w:rsidR="007C1716">
        <w:rPr>
          <w:i/>
          <w:color w:val="000000"/>
        </w:rPr>
        <w:t xml:space="preserve"> </w:t>
      </w:r>
      <w:r>
        <w:rPr>
          <w:i/>
          <w:color w:val="000000"/>
        </w:rPr>
        <w:t>thought prompting (Wei et al., 2022) untuk setiap transisi, menjelaskan mekanisme perubahan struktural.</w:t>
      </w:r>
    </w:p>
    <w:p w:rsidR="002316A4" w:rsidRDefault="00C02299">
      <w:pPr>
        <w:spacing w:after="160" w:line="480" w:lineRule="auto"/>
        <w:ind w:firstLine="720"/>
        <w:jc w:val="both"/>
      </w:pPr>
      <w:r>
        <w:rPr>
          <w:bCs/>
          <w:i/>
          <w:color w:val="000000"/>
        </w:rPr>
        <w:t>Reasoning</w:t>
      </w:r>
      <w:r>
        <w:rPr>
          <w:bCs/>
          <w:color w:val="000000"/>
        </w:rPr>
        <w:t xml:space="preserve"> Kausal Transisi 2019→2020 (ARI = −0,0036, Centroid Drift = 20,3555):</w:t>
      </w:r>
    </w:p>
    <w:p w:rsidR="002316A4" w:rsidRDefault="00C02299">
      <w:pPr>
        <w:spacing w:after="160" w:line="480" w:lineRule="auto"/>
        <w:ind w:firstLine="720"/>
        <w:jc w:val="both"/>
      </w:pPr>
      <w:r>
        <w:rPr>
          <w:color w:val="000000"/>
        </w:rPr>
        <w:t>Onset pandemi COVID</w:t>
      </w:r>
      <w:r w:rsidR="007C1716">
        <w:rPr>
          <w:color w:val="000000"/>
        </w:rPr>
        <w:t xml:space="preserve"> </w:t>
      </w:r>
      <w:r>
        <w:rPr>
          <w:color w:val="000000"/>
        </w:rPr>
        <w:t xml:space="preserve">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ARI = −0,0036 mengkonfirmasi perubahan </w:t>
      </w:r>
      <w:r>
        <w:rPr>
          <w:i/>
          <w:color w:val="000000"/>
        </w:rPr>
        <w:t xml:space="preserve">fundamental komposisi segmen gelombang pendaftar baru ini membawa profil yang berbeda, lebih berorientasi program berbasis skill praktis cepat. Kemunculan </w:t>
      </w:r>
      <w:r>
        <w:rPr>
          <w:i/>
          <w:color w:val="000000"/>
        </w:rPr>
        <w:lastRenderedPageBreak/>
        <w:t>Kabupaten Pemalang sebagai sumber kedua (K2 dan K4, 2020) mengindikasikan ekspansi geografis yang didorong akselerasi digital selama lockdown (Cahyadi et al., 2021).</w:t>
      </w:r>
    </w:p>
    <w:p w:rsidR="002316A4" w:rsidRDefault="00C02299">
      <w:pPr>
        <w:spacing w:after="160" w:line="480" w:lineRule="auto"/>
        <w:ind w:firstLine="720"/>
        <w:jc w:val="both"/>
      </w:pPr>
      <w:r>
        <w:rPr>
          <w:bCs/>
          <w:i/>
          <w:color w:val="000000"/>
        </w:rPr>
        <w:t>Reasoning</w:t>
      </w:r>
      <w:r>
        <w:rPr>
          <w:bCs/>
          <w:color w:val="000000"/>
        </w:rPr>
        <w:t xml:space="preserve"> Kausal Transisi 2021→2022 (ARI = 0,0055, Centroid Drift = ∞):</w:t>
      </w:r>
    </w:p>
    <w:p w:rsidR="002316A4" w:rsidRDefault="00C02299">
      <w:pPr>
        <w:spacing w:after="160" w:line="480" w:lineRule="auto"/>
        <w:ind w:firstLine="720"/>
        <w:jc w:val="both"/>
      </w:pPr>
      <w:r>
        <w:rPr>
          <w:color w:val="000000"/>
        </w:rPr>
        <w:t>Perubahan K dari 6 ke 5 dengan centroid drift tak terhingga menandai reorganisasi total struktur klaster. Mekanisme kausal: pemulihan aktivitas ekonomi Pekalongan (pembukaan kembali industri batik dan perdagangan) mendorong sebagian calon mahasiswa COVID Crisis yang mendaftar akibat keterbatasan kerja untuk tidak melanjutkan ke perguruan tinggi, sementara gelombang pendaftar baru yang lebih terencana mulai masuk. Hal ini konsisten dengan El Said (2021) tentang perubahan struktural permanen pasca</w:t>
      </w:r>
      <w:r w:rsidR="007C1716">
        <w:rPr>
          <w:color w:val="000000"/>
        </w:rPr>
        <w:t xml:space="preserve"> </w:t>
      </w:r>
      <w:r>
        <w:rPr>
          <w:color w:val="000000"/>
        </w:rPr>
        <w:t>pandemi. Konsolidasi ke satu klaster dominan (K1 62,7%) mengindikasikan keberhasilan kampanye rekrutmen digital yang sangat terfokus pada segmen tertentu.</w:t>
      </w:r>
    </w:p>
    <w:p w:rsidR="002316A4" w:rsidRDefault="00C02299">
      <w:pPr>
        <w:spacing w:after="160" w:line="480" w:lineRule="auto"/>
        <w:ind w:firstLine="720"/>
        <w:jc w:val="both"/>
      </w:pPr>
      <w:r>
        <w:rPr>
          <w:bCs/>
          <w:i/>
          <w:color w:val="000000"/>
        </w:rPr>
        <w:t>Reasoning</w:t>
      </w:r>
      <w:r>
        <w:rPr>
          <w:bCs/>
          <w:color w:val="000000"/>
        </w:rPr>
        <w:t xml:space="preserve"> Kausal Transisi 2022→2023 (ARI = −0,0036, Centroid Drift = ∞):</w:t>
      </w:r>
    </w:p>
    <w:p w:rsidR="002316A4" w:rsidRDefault="00C02299">
      <w:pPr>
        <w:spacing w:after="160" w:line="480" w:lineRule="auto"/>
        <w:ind w:firstLine="720"/>
        <w:jc w:val="both"/>
        <w:rPr>
          <w:color w:val="000000"/>
        </w:rPr>
      </w:pPr>
      <w:r>
        <w:rPr>
          <w:color w:val="000000"/>
        </w:rPr>
        <w:t xml:space="preserve">Konsolidasi dramatis dari K=5 ke K=2 dengan lonjakan 48,5% pendaftar mengindikasikan keberhasilan kampanye rekrutmen 2023 yang sangat terfokus kemungkinan melalui kampanye media sosial yang menjangkau satu segmen demografis yang sangat homogen (pendaftar muda berbasis IT dari Kabupaten Pekalongan). ARI negatif (−0,0036) menunjukkan komposisi segmen lebih mirip penugasan acak dibandingkan ekspektasi paradoks yang terjadi karena 92,6% </w:t>
      </w:r>
      <w:r>
        <w:rPr>
          <w:color w:val="000000"/>
        </w:rPr>
        <w:lastRenderedPageBreak/>
        <w:t>masuk ke satu klaster sehingga K=2 secara statistik menghasilkan komposisi yang sangat tidak seimbang.</w:t>
      </w:r>
    </w:p>
    <w:p w:rsidR="002316A4" w:rsidRDefault="00C02299">
      <w:pPr>
        <w:pStyle w:val="Judul3"/>
        <w:spacing w:line="480" w:lineRule="auto"/>
      </w:pPr>
      <w:r>
        <w:t>4.7.2 Ringkasan Naratif Laporan Otomatis</w:t>
      </w:r>
    </w:p>
    <w:p w:rsidR="002316A4" w:rsidRDefault="00C02299">
      <w:pPr>
        <w:spacing w:after="160" w:line="480" w:lineRule="auto"/>
        <w:ind w:firstLine="720"/>
        <w:jc w:val="both"/>
      </w:pPr>
      <w:r>
        <w:rPr>
          <w:color w:val="000000"/>
        </w:rPr>
        <w:t xml:space="preserve">Ringkasan eksekutif yang dihasilkan oleh sistem </w:t>
      </w:r>
      <w:r>
        <w:rPr>
          <w:i/>
          <w:color w:val="000000"/>
        </w:rPr>
        <w:t>LLM</w:t>
      </w:r>
      <w:r>
        <w:rPr>
          <w:color w:val="000000"/>
        </w:rPr>
        <w:t xml:space="preserve"> (Llama 3.2 3B via Ollama 0.1.0):</w:t>
      </w:r>
    </w:p>
    <w:p w:rsidR="002316A4" w:rsidRPr="00EB55A7" w:rsidRDefault="00C02299">
      <w:pPr>
        <w:spacing w:after="160" w:line="480" w:lineRule="auto"/>
        <w:ind w:firstLine="720"/>
        <w:jc w:val="both"/>
      </w:pPr>
      <w:r w:rsidRPr="00EB55A7">
        <w:rPr>
          <w:iCs/>
          <w:color w:val="000000"/>
        </w:rPr>
        <w:t>"Analisis GMM time series terhadap 2.362 data PMB ITSNU Pekalongan 2019–2024 mengidentifikasi segmen probabilistik yang mengalami perubahan struktural di setiap transisi tahun (5 dari 5 transisi = Structural Break, ARI &lt; 0,30). Temuan kunci: (1) Pandemi COVID</w:t>
      </w:r>
      <w:r w:rsidR="007C1716" w:rsidRPr="00EB55A7">
        <w:rPr>
          <w:iCs/>
          <w:color w:val="000000"/>
        </w:rPr>
        <w:t xml:space="preserve"> </w:t>
      </w:r>
      <w:r w:rsidRPr="00EB55A7">
        <w:rPr>
          <w:iCs/>
          <w:color w:val="000000"/>
        </w:rPr>
        <w:t>19 justru meningkatkan pendaftar ITSNU (+87,7% pada 2020) akibat kontraksi pasar kerja regional batik</w:t>
      </w:r>
      <w:r w:rsidR="007C1716" w:rsidRPr="00EB55A7">
        <w:rPr>
          <w:iCs/>
          <w:color w:val="000000"/>
        </w:rPr>
        <w:t xml:space="preserve"> </w:t>
      </w:r>
      <w:r w:rsidRPr="00EB55A7">
        <w:rPr>
          <w:iCs/>
          <w:color w:val="000000"/>
        </w:rPr>
        <w:t>manufaktur konteks unik yang berbeda dari pola global; (2) Fase Recovery 2022–2024 memperlihatkan tren positif dengan proyeksi 592 pendaftar 2025, didominasi S1 Informatika dan S1 Teknologi Informasi (59,1% total) dari Kabupaten Pekalongan; (3) Konsolidasi dari 6 klaster ke 2 klaster pada 2023 mengindikasikan kampanye rekrutmen yang terlalu terfokus risiko ketergantungan pada satu segmen;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2316A4" w:rsidRDefault="00C02299">
      <w:pPr>
        <w:spacing w:after="120"/>
        <w:jc w:val="both"/>
      </w:pPr>
      <w:r>
        <w:rPr>
          <w:i/>
          <w:iCs/>
          <w:color w:val="000000"/>
          <w:szCs w:val="20"/>
        </w:rPr>
        <w:t>Sumber: Ringkasan naratif dihasilkan otomatis oleh sistem Llama 3.2 3B via Ollama 0.1.0 (Grattafiori et al., 2024) berbasis profil statistik GMM (2025)</w:t>
      </w:r>
    </w:p>
    <w:p w:rsidR="002316A4" w:rsidRDefault="00C02299" w:rsidP="000D6197">
      <w:pPr>
        <w:pStyle w:val="Judul2"/>
        <w:spacing w:line="480" w:lineRule="auto"/>
      </w:pPr>
      <w:r>
        <w:t>4.8 Strategi Rekrutmen Prediktif dan Personalisasi (Deployment)</w:t>
      </w:r>
    </w:p>
    <w:p w:rsidR="00953938" w:rsidRDefault="00C02299" w:rsidP="000D6197">
      <w:pPr>
        <w:spacing w:after="120"/>
        <w:contextualSpacing/>
        <w:jc w:val="center"/>
        <w:rPr>
          <w:b/>
          <w:bCs/>
          <w:color w:val="000000"/>
          <w:sz w:val="20"/>
          <w:szCs w:val="20"/>
        </w:rPr>
      </w:pPr>
      <w:r>
        <w:rPr>
          <w:b/>
          <w:sz w:val="20"/>
          <w:szCs w:val="20"/>
        </w:rPr>
        <w:lastRenderedPageBreak/>
        <w:t>Tabel 4.16 Prioritasi Segmen untuk Rekrutmen 2025 Berbasis Tren GMM Time Series</w:t>
      </w:r>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29"/>
        <w:gridCol w:w="1154"/>
        <w:gridCol w:w="1200"/>
        <w:gridCol w:w="1212"/>
        <w:gridCol w:w="1231"/>
        <w:gridCol w:w="1660"/>
      </w:tblGrid>
      <w:tr w:rsidR="00953938" w:rsidRPr="00953938" w:rsidTr="00953938">
        <w:trPr>
          <w:trHeight w:val="436"/>
          <w:tblHeader/>
        </w:trPr>
        <w:tc>
          <w:tcPr>
            <w:tcW w:w="1539"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K1 (Merah) IT Basis Kab. Pekalongan</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dominan (puncak 92,6% di 2023)</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kunjungan SMA/SMK mitra Nov–Jan</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K2 (Biru) IT Campur Diploma</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Rebound ke 39% (dari 7,4% ke 39,0%)</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SEDANG</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TI + D3 Akuntansi</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alumni + webinar daring; kampanye program diversifikasi</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K3 (Hijau) Diploma Kota Pekalongan</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Menurun (Decline, 6,6% di 2024)</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Kota Pekalongan</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D3 Akuntansi, D3 Adm. Perkantoran</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hambatan; brosur fisik + expo Jan–Mar; revisi value proposition</w:t>
            </w:r>
          </w:p>
        </w:tc>
      </w:tr>
    </w:tbl>
    <w:p w:rsidR="002316A4" w:rsidRDefault="00C02299" w:rsidP="00EB55A7">
      <w:pPr>
        <w:spacing w:after="120"/>
        <w:contextualSpacing/>
        <w:jc w:val="both"/>
      </w:pPr>
      <w:r>
        <w:rPr>
          <w:i/>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2316A4" w:rsidRPr="00A00A9C" w:rsidRDefault="00C02299" w:rsidP="00A00A9C">
      <w:pPr>
        <w:spacing w:after="120"/>
        <w:contextualSpacing/>
        <w:jc w:val="center"/>
        <w:rPr>
          <w:b/>
          <w:bCs/>
          <w:color w:val="000000"/>
          <w:sz w:val="20"/>
          <w:szCs w:val="20"/>
        </w:rPr>
      </w:pPr>
      <w:r>
        <w:rPr>
          <w:b/>
          <w:sz w:val="20"/>
          <w:szCs w:val="20"/>
        </w:rPr>
        <w:t>Tabel 4.17 Rekomendasi Strategi Channel Rekrutmen Berbasis Profil Klaster 2025</w:t>
      </w:r>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973"/>
        <w:gridCol w:w="1656"/>
        <w:gridCol w:w="1404"/>
        <w:gridCol w:w="1443"/>
        <w:gridCol w:w="1129"/>
        <w:gridCol w:w="1356"/>
      </w:tblGrid>
      <w:tr w:rsidR="00953938" w:rsidRPr="00953938" w:rsidTr="00A00A9C">
        <w:trPr>
          <w:trHeight w:val="423"/>
          <w:tblHeader/>
          <w:jc w:val="center"/>
        </w:trPr>
        <w:tc>
          <w:tcPr>
            <w:tcW w:w="102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lastRenderedPageBreak/>
              <w:t>Klaster</w:t>
            </w:r>
          </w:p>
        </w:tc>
        <w:tc>
          <w:tcPr>
            <w:tcW w:w="1566"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K1 (Merah)</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w:t>
            </w:r>
            <w:r w:rsidR="007C1716">
              <w:rPr>
                <w:color w:val="000000" w:themeColor="text1"/>
                <w:sz w:val="20"/>
                <w:szCs w:val="20"/>
              </w:rPr>
              <w:t xml:space="preserve"> </w:t>
            </w:r>
            <w:r w:rsidRPr="00953938">
              <w:rPr>
                <w:color w:val="000000" w:themeColor="text1"/>
                <w:sz w:val="20"/>
                <w:szCs w:val="20"/>
              </w:rPr>
              <w:t>targeted Kab. Pekalongan</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S1 IT</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profil muda berorientasi IT</w:t>
            </w:r>
          </w:p>
        </w:tc>
      </w:tr>
      <w:tr w:rsidR="00953938" w:rsidRPr="00953938" w:rsidTr="00A00A9C">
        <w:trPr>
          <w:trHeight w:val="615"/>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K2 (Biru)</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 info D3 Akuntansi</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alumni</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Keahlian Bisnis Digital</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Mix IT + Diploma; berbasis Kab. Pekalongan dan Kota</w:t>
            </w:r>
          </w:p>
        </w:tc>
      </w:tr>
      <w:tr w:rsidR="00953938" w:rsidRPr="00953938" w:rsidTr="00A00A9C">
        <w:trPr>
          <w:trHeight w:val="1243"/>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K3 (Hijau)</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Brosur fisik &amp; pameran Kota Pekalongan</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Radio komunitas dan media lokal</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Keahlian Praktis &amp; Aksesibilitas Biaya</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Jan–Mar</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Kota Pekalongan dominan; program Diploma lebih aksesibel</w:t>
            </w:r>
          </w:p>
        </w:tc>
      </w:tr>
    </w:tbl>
    <w:p w:rsidR="002316A4" w:rsidRDefault="00C02299" w:rsidP="00EB55A7">
      <w:pPr>
        <w:spacing w:after="120"/>
        <w:jc w:val="both"/>
      </w:pPr>
      <w:r>
        <w:rPr>
          <w:i/>
          <w:iCs/>
          <w:color w:val="000000"/>
          <w:szCs w:val="20"/>
        </w:rPr>
        <w:t>Sumber: Analisis profil GMM dan framework segment</w:t>
      </w:r>
      <w:r w:rsidR="007C1716">
        <w:rPr>
          <w:i/>
          <w:iCs/>
          <w:color w:val="000000"/>
          <w:szCs w:val="20"/>
        </w:rPr>
        <w:t xml:space="preserve"> </w:t>
      </w:r>
      <w:r>
        <w:rPr>
          <w:i/>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7A5F01" w:rsidRDefault="00C02299" w:rsidP="007A5F01">
      <w:pPr>
        <w:spacing w:after="120" w:line="480" w:lineRule="auto"/>
        <w:ind w:firstLine="720"/>
        <w:jc w:val="both"/>
      </w:pPr>
      <w:r w:rsidRPr="007A5F01">
        <w:rPr>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7A5F01">
        <w:rPr>
          <w:color w:val="000000"/>
        </w:rPr>
        <w:t xml:space="preserve"> </w:t>
      </w:r>
      <w:r w:rsidRPr="007A5F01">
        <w:rPr>
          <w:color w:val="000000"/>
        </w:rPr>
        <w:t>native.</w:t>
      </w:r>
    </w:p>
    <w:p w:rsidR="002316A4" w:rsidRPr="000D6197" w:rsidRDefault="00C02299" w:rsidP="000D6197">
      <w:pPr>
        <w:spacing w:after="120"/>
        <w:contextualSpacing/>
        <w:jc w:val="center"/>
        <w:rPr>
          <w:b/>
          <w:bCs/>
          <w:color w:val="000000"/>
          <w:sz w:val="20"/>
          <w:szCs w:val="20"/>
        </w:rPr>
      </w:pPr>
      <w:r>
        <w:rPr>
          <w:b/>
          <w:sz w:val="20"/>
          <w:szCs w:val="20"/>
        </w:rPr>
        <w:t xml:space="preserve">Tabel 4.18 Perbandingan Strategi Statis vs Strategi Adaptif GMM Time Series + </w:t>
      </w:r>
      <w:r>
        <w:rPr>
          <w:b/>
          <w:i/>
          <w:sz w:val="20"/>
          <w:szCs w:val="20"/>
        </w:rPr>
        <w:t>LLM</w:t>
      </w:r>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lastRenderedPageBreak/>
              <w:t>Proyeksi tren 2025</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MdParagraph"/>
        <w:spacing w:before="0" w:after="160" w:line="480" w:lineRule="auto"/>
        <w:jc w:val="both"/>
      </w:pPr>
      <w:r w:rsidRPr="00B17507">
        <w:rPr>
          <w:rStyle w:val="MdStrong"/>
          <w:bCs w:val="0"/>
        </w:rPr>
        <w:t>4.9 Hasil Validasi Pakar dan Pembahasan Kritis</w:t>
      </w:r>
      <w:r w:rsidRPr="00B17507">
        <w:t xml:space="preserve"> </w:t>
      </w:r>
    </w:p>
    <w:p w:rsidR="00B17507" w:rsidRPr="00893B44" w:rsidRDefault="00B17507" w:rsidP="00B17507">
      <w:pPr>
        <w:pStyle w:val="MdParagraph"/>
        <w:spacing w:before="0" w:after="16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jc w:val="center"/>
        <w:rPr>
          <w:sz w:val="21"/>
        </w:rPr>
      </w:pPr>
      <w:r w:rsidRPr="00557DA6">
        <w:rPr>
          <w:rStyle w:val="MdStrong"/>
          <w:bCs w:val="0"/>
          <w:sz w:val="21"/>
        </w:rPr>
        <w:t>Tabel 4.1</w:t>
      </w:r>
      <w:r w:rsidR="00557DA6" w:rsidRPr="00557DA6">
        <w:rPr>
          <w:rStyle w:val="MdStrong"/>
          <w:bCs w:val="0"/>
          <w:sz w:val="21"/>
          <w:lang w:val="en-US"/>
        </w:rPr>
        <w:t>9</w:t>
      </w:r>
      <w:r w:rsidRPr="00557DA6">
        <w:rPr>
          <w:rStyle w:val="MdStrong"/>
          <w:bCs w:val="0"/>
          <w:sz w:val="21"/>
        </w:rPr>
        <w:t xml:space="preserve"> Rekapitulasi Skor Validasi Pakar</w:t>
      </w:r>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lastRenderedPageBreak/>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A61404" w:rsidRDefault="00557DA6" w:rsidP="00A61404">
      <w:pPr>
        <w:spacing w:after="160" w:line="480" w:lineRule="auto"/>
        <w:ind w:firstLine="720"/>
        <w:jc w:val="both"/>
      </w:pPr>
      <w:r w:rsidRPr="00557DA6">
        <w:t>Hasil validasi dari dua pakar menunjukkan tingkat kepercayaan yang tinggi terhadap sistem, dengan beberapa catatan strategis untuk penyempurnaan. Berdasarkan rekapitulasi skor pada Tabel 4.1</w:t>
      </w:r>
      <w:r w:rsidR="00A61404">
        <w:rPr>
          <w:lang w:val="en-US"/>
        </w:rPr>
        <w:t>9</w:t>
      </w:r>
      <w:r w:rsidRPr="00557DA6">
        <w:t>, 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after="160" w:line="480" w:lineRule="auto"/>
        <w:ind w:firstLine="720"/>
        <w:jc w:val="both"/>
      </w:pPr>
      <w:r w:rsidRPr="00893B44">
        <w:rPr>
          <w:rStyle w:val="MdStrong"/>
          <w:b w:val="0"/>
          <w:bCs w:val="0"/>
        </w:rPr>
        <w:t>Analisis Catatan Khusus Pakar</w:t>
      </w:r>
      <w:r w:rsidRPr="00893B44">
        <w:t xml:space="preserve"> Berdasarkan hasil validasi, terdapat dua poin kritis yang menjadi temuan penting dalam penelitian ini:</w:t>
      </w:r>
    </w:p>
    <w:p w:rsidR="00557DA6" w:rsidRPr="00557DA6" w:rsidRDefault="00557DA6" w:rsidP="00557DA6">
      <w:pPr>
        <w:pStyle w:val="MdListItem"/>
        <w:numPr>
          <w:ilvl w:val="0"/>
          <w:numId w:val="6"/>
        </w:numPr>
        <w:spacing w:before="0" w:after="160" w:line="480" w:lineRule="auto"/>
        <w:ind w:firstLine="720"/>
        <w:jc w:val="both"/>
        <w:rPr>
          <w:rStyle w:val="MdStrong"/>
          <w:b w:val="0"/>
          <w:bCs w:val="0"/>
        </w:rPr>
      </w:pPr>
      <w:r>
        <w:lastRenderedPageBreak/>
        <w:t>Integrasi Kebijakan Kampus: Pakar 1 (Andri Nur Cahyo, S.Sn., M.Sn.) selaku kepala PMB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sidR="000C4B15" w:rsidRPr="000C4B15" w:rsidRDefault="00557DA6" w:rsidP="000C4B15">
      <w:pPr>
        <w:pStyle w:val="MdListItem"/>
        <w:numPr>
          <w:ilvl w:val="0"/>
          <w:numId w:val="6"/>
        </w:numPr>
        <w:spacing w:before="0" w:after="160" w:line="480" w:lineRule="auto"/>
        <w:ind w:firstLine="720"/>
        <w:jc w:val="both"/>
        <w:rPr>
          <w:rStyle w:val="MdStrong"/>
          <w:b w:val="0"/>
          <w:bCs w:val="0"/>
        </w:rPr>
      </w:pPr>
      <w:r w:rsidRPr="00893B44">
        <w:rPr>
          <w:rStyle w:val="MdStrong"/>
          <w:b w:val="0"/>
          <w:bCs w:val="0"/>
        </w:rPr>
        <w:t>Perbandingan Kompetitif dan Minat Daerah:</w:t>
      </w:r>
      <w:r w:rsidRPr="00893B44">
        <w:t xml:space="preserve"> Pakar </w:t>
      </w:r>
      <w:r>
        <w:rPr>
          <w:lang w:val="en-US"/>
        </w:rPr>
        <w:t>2</w:t>
      </w:r>
      <w:r w:rsidRPr="00893B44">
        <w:t xml:space="preserve"> (M</w:t>
      </w:r>
      <w:r>
        <w:rPr>
          <w:lang w:val="en-US"/>
        </w:rPr>
        <w:t>uhammad Kholilurrahman</w:t>
      </w:r>
      <w:r w:rsidRPr="00893B44">
        <w:t xml:space="preserve">) </w:t>
      </w:r>
      <w:r>
        <w:rPr>
          <w:lang w:val="en-US"/>
        </w:rPr>
        <w:t xml:space="preserve">selaku </w:t>
      </w:r>
      <w:r w:rsidR="007348B4">
        <w:rPr>
          <w:lang w:val="en-US"/>
        </w:rPr>
        <w:t>D</w:t>
      </w:r>
      <w:r>
        <w:rPr>
          <w:lang w:val="en-US"/>
        </w:rPr>
        <w:t xml:space="preserve">ata </w:t>
      </w:r>
      <w:r w:rsidR="007348B4">
        <w:rPr>
          <w:lang w:val="en-US"/>
        </w:rPr>
        <w:t>S</w:t>
      </w:r>
      <w:r>
        <w:rPr>
          <w:lang w:val="en-US"/>
        </w:rPr>
        <w:t xml:space="preserve">ains di tim PMB </w:t>
      </w:r>
      <w:r w:rsidRPr="00893B44">
        <w:t xml:space="preserve">menyoroti perlunya analisis perbandingan dengan kampus kompetitor di wilayah yang sama. Hal ini menunjukkan bahwa meskipun LLM akurat dalam membaca tren internal, sistem perlu diintegrasikan dengan data </w:t>
      </w:r>
      <w:r w:rsidRPr="00893B44">
        <w:rPr>
          <w:rStyle w:val="MdEm"/>
          <w:i w:val="0"/>
          <w:iCs w:val="0"/>
        </w:rPr>
        <w:t>market share</w:t>
      </w:r>
      <w:r w:rsidRPr="00893B44">
        <w:t xml:space="preserve"> eksternal untuk mempertajam strategi rekrutmen di daerah-daerah mayoritas pendaftar.</w:t>
      </w:r>
    </w:p>
    <w:p w:rsidR="000C4B15" w:rsidRDefault="000C4B15" w:rsidP="000C4B15">
      <w:pPr>
        <w:spacing w:after="160"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after="160" w:line="480" w:lineRule="auto"/>
        <w:ind w:firstLine="720"/>
        <w:jc w:val="both"/>
      </w:pPr>
      <w:r w:rsidRPr="000C4B15">
        <w:lastRenderedPageBreak/>
        <w:t>Proyeksi volume 592 pendaftar pada tahun 2025 yang dihasilkan oleh sistem dianggap sebagai target rekrutmen yang moderat 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after="160" w:line="480" w:lineRule="auto"/>
        <w:ind w:firstLine="720"/>
        <w:jc w:val="both"/>
      </w:pPr>
      <w:r w:rsidRPr="000C4B15">
        <w:t>Oleh karena itu, institusi direkomendasikan untuk secara asertif mengadopsi strategi diversifikasi ke program vokasikhususnya D3 Akuntansi</w:t>
      </w:r>
      <w:r>
        <w:rPr>
          <w:rFonts w:eastAsia="MS Mincho" w:cs="MS Mincho" w:hint="eastAsia"/>
        </w:rPr>
        <w:t xml:space="preserve"> </w:t>
      </w:r>
      <w:r w:rsidRPr="000C4B15">
        <w:t>sebagaimana direkomendasikan oleh sistem, dengan tetap mempertimbangkan integrasi kebijakan insentif (seperti beasiswa) untuk mengoptimalkan potensi pasar di tingkat lokal.</w:t>
      </w:r>
    </w:p>
    <w:p w:rsidR="002316A4" w:rsidRDefault="00C02299">
      <w:pPr>
        <w:pStyle w:val="Judul2"/>
        <w:spacing w:line="480" w:lineRule="auto"/>
      </w:pPr>
      <w:r>
        <w:t>4.</w:t>
      </w:r>
      <w:r w:rsidR="00315A07">
        <w:rPr>
          <w:lang w:val="en-US"/>
        </w:rPr>
        <w:t>10</w:t>
      </w:r>
      <w:r>
        <w:t xml:space="preserve"> Pembahasan</w:t>
      </w:r>
    </w:p>
    <w:p w:rsidR="002316A4" w:rsidRDefault="00C02299">
      <w:pPr>
        <w:pStyle w:val="Judul3"/>
        <w:spacing w:line="480" w:lineRule="auto"/>
      </w:pPr>
      <w:r>
        <w:t>4.</w:t>
      </w:r>
      <w:r w:rsidR="00315A07">
        <w:rPr>
          <w:lang w:val="en-US"/>
        </w:rPr>
        <w:t>10</w:t>
      </w:r>
      <w:r>
        <w:t>.1 Konfirmasi Hipotesis</w:t>
      </w:r>
    </w:p>
    <w:p w:rsidR="002316A4" w:rsidRDefault="00C02299">
      <w:pPr>
        <w:spacing w:after="160" w:line="480" w:lineRule="auto"/>
        <w:ind w:firstLine="720"/>
        <w:jc w:val="both"/>
      </w:pPr>
      <w:r>
        <w:rPr>
          <w:bCs/>
          <w:color w:val="000000"/>
        </w:rPr>
        <w:t>Hipotesis 1 (H1) dikonfirmasi melampaui ekspektasi:</w:t>
      </w:r>
    </w:p>
    <w:p w:rsidR="002316A4" w:rsidRDefault="00C02299">
      <w:pPr>
        <w:spacing w:after="160" w:line="480" w:lineRule="auto"/>
        <w:ind w:firstLine="720"/>
        <w:jc w:val="both"/>
      </w:pPr>
      <w:r>
        <w:rPr>
          <w:color w:val="000000"/>
        </w:rPr>
        <w:t>Seluruh 5 transisi antar periode menghasilkan ARI &lt; 0,30 (kisaran −0,0036 hingga 0,0160). Penggunaan tiga metrik komplementer (ARI, Jaccard, Centroid Drift) memberikan bukti multi</w:t>
      </w:r>
      <w:r w:rsidR="007C1716">
        <w:rPr>
          <w:color w:val="000000"/>
        </w:rPr>
        <w:t xml:space="preserve"> </w:t>
      </w:r>
      <w:r>
        <w:rPr>
          <w:i/>
          <w:color w:val="000000"/>
        </w:rPr>
        <w:t xml:space="preserve">dimensional yang kuat. Realitanya melampaui hipotesis awal yang hanya menduga satu structural break (2019→2020): setiap transisi tahun di ITSNU Pekalongan menghasilkan perubahan komposisi segmen yang bersifat struktural </w:t>
      </w:r>
      <w:sdt>
        <w:sdtPr>
          <w:rPr>
            <w:i/>
            <w:color w:val="000000"/>
          </w:rPr>
          <w:tag w:val="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1066344446"/>
          <w:placeholder>
            <w:docPart w:val="DefaultPlaceholder_-1854013440"/>
          </w:placeholder>
        </w:sdtPr>
        <w:sdtEndPr/>
        <w:sdtContent>
          <w:r w:rsidR="000D6197" w:rsidRPr="000D6197">
            <w:rPr>
              <w:i/>
              <w:color w:val="000000"/>
            </w:rPr>
            <w:t>(Aristovnik et al. 2021)</w:t>
          </w:r>
        </w:sdtContent>
      </w:sdt>
      <w:r>
        <w:rPr>
          <w:i/>
          <w:color w:val="000000"/>
        </w:rPr>
        <w:t>;</w:t>
      </w:r>
      <w:r w:rsidR="000D6197">
        <w:rPr>
          <w:i/>
          <w:color w:val="000000"/>
          <w:lang w:val="en-US"/>
        </w:rPr>
        <w:t xml:space="preserve"> </w:t>
      </w:r>
      <w:sdt>
        <w:sdtPr>
          <w:rPr>
            <w:i/>
            <w:color w:val="000000"/>
          </w:rPr>
          <w:tag w:val="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
          <w:id w:val="489377020"/>
          <w:placeholder>
            <w:docPart w:val="DefaultPlaceholder_-1854013440"/>
          </w:placeholder>
        </w:sdtPr>
        <w:sdtEndPr/>
        <w:sdtContent>
          <w:r w:rsidR="000D6197" w:rsidRPr="000D6197">
            <w:rPr>
              <w:i/>
              <w:color w:val="000000"/>
            </w:rPr>
            <w:t>(Purcell and Lumbreras 2021)</w:t>
          </w:r>
        </w:sdtContent>
      </w:sdt>
      <w:r>
        <w:rPr>
          <w:i/>
          <w:color w:val="000000"/>
        </w:rPr>
        <w:t>.</w:t>
      </w:r>
    </w:p>
    <w:p w:rsidR="002316A4" w:rsidRDefault="00C02299">
      <w:pPr>
        <w:spacing w:after="160" w:line="480" w:lineRule="auto"/>
        <w:ind w:firstLine="720"/>
        <w:jc w:val="both"/>
      </w:pPr>
      <w:r>
        <w:rPr>
          <w:bCs/>
          <w:color w:val="000000"/>
        </w:rPr>
        <w:t>Hipotesis 2 (H2) dikonfirmasi:</w:t>
      </w:r>
    </w:p>
    <w:p w:rsidR="002316A4" w:rsidRDefault="00C02299">
      <w:pPr>
        <w:spacing w:after="160" w:line="480" w:lineRule="auto"/>
        <w:ind w:firstLine="720"/>
        <w:jc w:val="both"/>
      </w:pPr>
      <w:r>
        <w:rPr>
          <w:i/>
          <w:color w:val="000000"/>
        </w:rPr>
        <w:lastRenderedPageBreak/>
        <w:t xml:space="preserve">Cosine similarity </w:t>
      </w:r>
      <w:r w:rsidRPr="00315A07">
        <w:rPr>
          <w:color w:val="000000"/>
        </w:rPr>
        <w:t>rata-rata 0,8031 (kisaran 0,7901–0,8128) membuktikan stabilitas representasi</w:t>
      </w:r>
      <w:r>
        <w:rPr>
          <w:i/>
          <w:color w:val="000000"/>
        </w:rPr>
        <w:t xml:space="preserve"> IndoBERT </w:t>
      </w:r>
      <w:r w:rsidRPr="00315A07">
        <w:rPr>
          <w:color w:val="000000"/>
        </w:rPr>
        <w:t>di atas</w:t>
      </w:r>
      <w:r>
        <w:rPr>
          <w:i/>
          <w:color w:val="000000"/>
        </w:rPr>
        <w:t xml:space="preserve"> threshold 0,70 </w:t>
      </w:r>
      <w:r w:rsidRPr="00315A07">
        <w:rPr>
          <w:color w:val="000000"/>
        </w:rPr>
        <w:t>pada seluruh transisi, memvalidasi bahwa perubahan klaster yang terdeteksi mencerminkan perubahan substantif populasi pendaftar, bukan artefak teknis</w:t>
      </w:r>
      <w:r>
        <w:rPr>
          <w:i/>
          <w:color w:val="000000"/>
        </w:rPr>
        <w:t xml:space="preserve"> </w:t>
      </w:r>
      <w:sdt>
        <w:sdtPr>
          <w:rPr>
            <w:i/>
            <w:color w:val="000000"/>
          </w:rPr>
          <w:tag w:val="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484846666"/>
          <w:placeholder>
            <w:docPart w:val="DefaultPlaceholder_-1854013440"/>
          </w:placeholder>
        </w:sdtPr>
        <w:sdtEndPr/>
        <w:sdtContent>
          <w:r w:rsidR="000D6197" w:rsidRPr="000D6197">
            <w:rPr>
              <w:i/>
              <w:color w:val="000000"/>
            </w:rPr>
            <w:t>(Subakti, Murfi, and Hariadi 2022)</w:t>
          </w:r>
        </w:sdtContent>
      </w:sdt>
      <w:r>
        <w:rPr>
          <w:i/>
          <w:color w:val="000000"/>
        </w:rPr>
        <w:t>;</w:t>
      </w:r>
      <w:r w:rsidR="000D6197">
        <w:rPr>
          <w:i/>
          <w:color w:val="000000"/>
          <w:lang w:val="en-US"/>
        </w:rPr>
        <w:t xml:space="preserve"> </w:t>
      </w:r>
      <w:sdt>
        <w:sdtPr>
          <w:rPr>
            <w:i/>
            <w:color w:val="000000"/>
            <w:lang w:val="en-US"/>
          </w:rPr>
          <w:tag w:val="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447009609"/>
          <w:placeholder>
            <w:docPart w:val="DefaultPlaceholder_-1854013440"/>
          </w:placeholder>
        </w:sdtPr>
        <w:sdtEndPr/>
        <w:sdtContent>
          <w:r w:rsidR="000D6197" w:rsidRPr="000D6197">
            <w:rPr>
              <w:i/>
              <w:color w:val="000000"/>
              <w:lang w:val="en-US"/>
            </w:rPr>
            <w:t>(Reimers and Gurevych 2019)</w:t>
          </w:r>
        </w:sdtContent>
      </w:sdt>
      <w:r>
        <w:rPr>
          <w:i/>
          <w:color w:val="000000"/>
        </w:rPr>
        <w:t>.</w:t>
      </w:r>
    </w:p>
    <w:p w:rsidR="002316A4" w:rsidRDefault="00C02299">
      <w:pPr>
        <w:spacing w:after="160" w:line="480" w:lineRule="auto"/>
        <w:ind w:firstLine="720"/>
        <w:jc w:val="both"/>
      </w:pPr>
      <w:r>
        <w:rPr>
          <w:bCs/>
          <w:color w:val="000000"/>
        </w:rPr>
        <w:t>Hipotesis 3 (H3) terkonfirmasi secara kualitatif:</w:t>
      </w:r>
    </w:p>
    <w:p w:rsidR="002316A4" w:rsidRDefault="00C02299">
      <w:pPr>
        <w:spacing w:after="160" w:line="480" w:lineRule="auto"/>
        <w:ind w:firstLine="720"/>
        <w:jc w:val="both"/>
      </w:pPr>
      <w:r>
        <w:rPr>
          <w:i/>
          <w:color w:val="000000"/>
        </w:rPr>
        <w:t xml:space="preserve">Meski K-Means </w:t>
      </w:r>
      <w:r w:rsidRPr="00315A07">
        <w:rPr>
          <w:color w:val="000000"/>
        </w:rPr>
        <w:t>menunjukkan nilai</w:t>
      </w:r>
      <w:r>
        <w:rPr>
          <w:i/>
          <w:color w:val="000000"/>
        </w:rPr>
        <w:t xml:space="preserve"> numerik Silhouette Score</w:t>
      </w:r>
      <w:r w:rsidRPr="00315A07">
        <w:rPr>
          <w:color w:val="000000"/>
        </w:rPr>
        <w:t xml:space="preserve"> lebih tinggi (0,0722 vs 0,0279), keunggulan GMM terletak pada kemampuan fundamental yang tidak dapat dipenuhi</w:t>
      </w:r>
      <w:r>
        <w:rPr>
          <w:i/>
          <w:color w:val="000000"/>
        </w:rPr>
        <w:t xml:space="preserve"> K-Means: posterior probability </w:t>
      </w:r>
      <w:r w:rsidRPr="00315A07">
        <w:rPr>
          <w:color w:val="000000"/>
        </w:rPr>
        <w:t>sebagai basis</w:t>
      </w:r>
      <w:r>
        <w:rPr>
          <w:i/>
          <w:color w:val="000000"/>
        </w:rPr>
        <w:t xml:space="preserve"> reasoning </w:t>
      </w:r>
      <w:r w:rsidRPr="000D6197">
        <w:rPr>
          <w:color w:val="000000"/>
        </w:rPr>
        <w:t xml:space="preserve">kausal </w:t>
      </w:r>
      <w:r w:rsidRPr="000D6197">
        <w:rPr>
          <w:i/>
          <w:color w:val="000000"/>
        </w:rPr>
        <w:t>LLM</w:t>
      </w:r>
      <w:r w:rsidRPr="000D6197">
        <w:rPr>
          <w:color w:val="000000"/>
        </w:rPr>
        <w:t>, proyeksi segmen 2025, dan deteksi kemunculan segmen D3 Akuntansi yang tidak terduga. Konsisten dengan</w:t>
      </w:r>
      <w:r>
        <w:rPr>
          <w:i/>
          <w:color w:val="000000"/>
        </w:rPr>
        <w:t xml:space="preserve"> </w:t>
      </w:r>
      <w:sdt>
        <w:sdtPr>
          <w:rPr>
            <w:i/>
            <w:color w:val="000000"/>
          </w:rPr>
          <w:tag w:val="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1480926721"/>
          <w:placeholder>
            <w:docPart w:val="DefaultPlaceholder_-1854013440"/>
          </w:placeholder>
        </w:sdtPr>
        <w:sdtEndPr/>
        <w:sdtContent>
          <w:r w:rsidR="000D6197" w:rsidRPr="000D6197">
            <w:rPr>
              <w:i/>
              <w:color w:val="000000"/>
            </w:rPr>
            <w:t>(Saqr and López-Pernas 2024)</w:t>
          </w:r>
        </w:sdtContent>
      </w:sdt>
      <w:r w:rsidR="000D6197">
        <w:rPr>
          <w:i/>
          <w:color w:val="000000"/>
          <w:lang w:val="en-US"/>
        </w:rPr>
        <w:t xml:space="preserve"> </w:t>
      </w:r>
      <w:r w:rsidRPr="000D6197">
        <w:rPr>
          <w:color w:val="000000"/>
        </w:rPr>
        <w:t>bahwa nilai metrik</w:t>
      </w:r>
      <w:r>
        <w:rPr>
          <w:i/>
          <w:color w:val="000000"/>
        </w:rPr>
        <w:t xml:space="preserve"> GMM </w:t>
      </w:r>
      <w:r>
        <w:rPr>
          <w:color w:val="000000"/>
        </w:rPr>
        <w:t xml:space="preserve">yang lebih rendah dari K-Means mencerminkan sifat soft </w:t>
      </w:r>
      <w:r>
        <w:rPr>
          <w:i/>
          <w:color w:val="000000"/>
        </w:rPr>
        <w:t>clustering</w:t>
      </w:r>
      <w:r>
        <w:rPr>
          <w:color w:val="000000"/>
        </w:rPr>
        <w:t xml:space="preserve"> yang lebih realistis.</w:t>
      </w:r>
    </w:p>
    <w:p w:rsidR="002316A4" w:rsidRDefault="00C02299">
      <w:pPr>
        <w:pStyle w:val="Judul3"/>
        <w:spacing w:line="480" w:lineRule="auto"/>
      </w:pPr>
      <w:r>
        <w:t>4.</w:t>
      </w:r>
      <w:r w:rsidR="00315A07">
        <w:rPr>
          <w:lang w:val="en-US"/>
        </w:rPr>
        <w:t>10</w:t>
      </w:r>
      <w:r>
        <w:t>.2 Implikasi Fenomena Structural Break Universal</w:t>
      </w:r>
    </w:p>
    <w:p w:rsidR="002316A4" w:rsidRPr="000D6197" w:rsidRDefault="00C02299">
      <w:pPr>
        <w:spacing w:after="160" w:line="480" w:lineRule="auto"/>
        <w:ind w:firstLine="720"/>
        <w:jc w:val="both"/>
      </w:pPr>
      <w:r>
        <w:rPr>
          <w:color w:val="000000"/>
        </w:rPr>
        <w:t>Temuan bahwa seluruh 5 transisi merupakan structural break memiliki implikasi strategis kritis: sistem rekrutmen yang mengandalkan profil segmen dari tahun sebelumnya akan selalu ketinggalan satu siklus perubahan struktural.</w:t>
      </w:r>
      <w:r w:rsidR="000D6197">
        <w:rPr>
          <w:color w:val="000000"/>
          <w:lang w:val="en-US"/>
        </w:rPr>
        <w:t xml:space="preserve"> </w:t>
      </w:r>
      <w:sdt>
        <w:sdtPr>
          <w:rPr>
            <w:color w:val="000000"/>
            <w:lang w:val="en-US"/>
          </w:rPr>
          <w:tag w:val="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
          <w:id w:val="-627395740"/>
          <w:placeholder>
            <w:docPart w:val="DefaultPlaceholder_-1854013440"/>
          </w:placeholder>
        </w:sdtPr>
        <w:sdtEndPr/>
        <w:sdtContent>
          <w:r w:rsidR="00762C37" w:rsidRPr="00762C37">
            <w:rPr>
              <w:color w:val="000000"/>
              <w:lang w:val="en-US"/>
            </w:rPr>
            <w:t>(El Said 2021b)</w:t>
          </w:r>
        </w:sdtContent>
      </w:sdt>
      <w:r>
        <w:rPr>
          <w:color w:val="000000"/>
        </w:rPr>
        <w:t xml:space="preserve"> menunjukkan COVID</w:t>
      </w:r>
      <w:r w:rsidR="007C1716">
        <w:rPr>
          <w:color w:val="000000"/>
        </w:rPr>
        <w:t xml:space="preserve"> </w:t>
      </w:r>
      <w:r>
        <w:rPr>
          <w:i/>
          <w:color w:val="000000"/>
        </w:rPr>
        <w:t xml:space="preserve">19 membentuk ulang cara penyampaian pendidikan secara struktural dan permanen sistem membentuk equilibrium baru </w:t>
      </w:r>
      <w:r w:rsidRPr="000D6197">
        <w:rPr>
          <w:color w:val="000000"/>
        </w:rPr>
        <w:t xml:space="preserve">di setiap fase, tidak kembali ke kondisi sebelumnya. </w:t>
      </w:r>
      <w:sdt>
        <w:sdtPr>
          <w:rPr>
            <w:color w:val="000000"/>
          </w:rPr>
          <w:tag w:val="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531340798"/>
          <w:placeholder>
            <w:docPart w:val="DefaultPlaceholder_-1854013440"/>
          </w:placeholder>
        </w:sdtPr>
        <w:sdtEndPr/>
        <w:sdtContent>
          <w:r w:rsidR="000D6197" w:rsidRPr="000D6197">
            <w:rPr>
              <w:color w:val="000000"/>
            </w:rPr>
            <w:t>(Aristovnik et al. 2021)</w:t>
          </w:r>
        </w:sdtContent>
      </w:sdt>
      <w:r w:rsidR="000D6197">
        <w:rPr>
          <w:color w:val="000000"/>
          <w:lang w:val="en-US"/>
        </w:rPr>
        <w:t xml:space="preserve"> </w:t>
      </w:r>
      <w:r w:rsidRPr="000D6197">
        <w:rPr>
          <w:color w:val="000000"/>
        </w:rPr>
        <w:t xml:space="preserve">mengkonfirmasi bahwa dampak struktural ini bersifat lintas wilayah. Implikasi operasional: ITSNU </w:t>
      </w:r>
      <w:r w:rsidRPr="000D6197">
        <w:rPr>
          <w:color w:val="000000"/>
        </w:rPr>
        <w:lastRenderedPageBreak/>
        <w:t xml:space="preserve">Pekalongan memerlukan pembaruan segmentasi tahunan (bukan 3–5 tahun), menjadikan </w:t>
      </w:r>
      <w:r w:rsidRPr="000D6197">
        <w:rPr>
          <w:i/>
          <w:color w:val="000000"/>
        </w:rPr>
        <w:t>pipeline</w:t>
      </w:r>
      <w:r w:rsidRPr="000D6197">
        <w:rPr>
          <w:color w:val="000000"/>
        </w:rPr>
        <w:t xml:space="preserve"> otomatis yang dikembangkan ini sangat relevan secara praktis.</w:t>
      </w:r>
    </w:p>
    <w:p w:rsidR="002316A4" w:rsidRDefault="00C02299">
      <w:pPr>
        <w:pStyle w:val="Judul3"/>
        <w:spacing w:line="480" w:lineRule="auto"/>
      </w:pPr>
      <w:r>
        <w:t>4.</w:t>
      </w:r>
      <w:r w:rsidR="00315A07">
        <w:rPr>
          <w:lang w:val="en-US"/>
        </w:rPr>
        <w:t>10</w:t>
      </w:r>
      <w:r>
        <w:t>.3 Kontribusi Sistem Otomasi LLM</w:t>
      </w:r>
    </w:p>
    <w:p w:rsidR="002316A4" w:rsidRPr="00762C37" w:rsidRDefault="00C02299">
      <w:pPr>
        <w:spacing w:after="160" w:line="480" w:lineRule="auto"/>
        <w:ind w:firstLine="720"/>
        <w:jc w:val="both"/>
        <w:rPr>
          <w:color w:val="000000"/>
        </w:rPr>
      </w:pPr>
      <w:r w:rsidRPr="00762C37">
        <w:rPr>
          <w:color w:val="000000"/>
        </w:rPr>
        <w:t xml:space="preserve">Penelitian ini mendemonstrasikan bahwa sistem otomasi </w:t>
      </w:r>
      <w:r w:rsidRPr="00762C37">
        <w:rPr>
          <w:i/>
          <w:color w:val="000000"/>
        </w:rPr>
        <w:t>LLM</w:t>
      </w:r>
      <w:r w:rsidRPr="00762C37">
        <w:rPr>
          <w:color w:val="000000"/>
        </w:rPr>
        <w:t xml:space="preserve"> empat</w:t>
      </w:r>
      <w:r w:rsidR="007C1716" w:rsidRPr="00762C37">
        <w:rPr>
          <w:color w:val="000000"/>
        </w:rPr>
        <w:t xml:space="preserve"> </w:t>
      </w:r>
      <w:r w:rsidRPr="00762C37">
        <w:rPr>
          <w:color w:val="000000"/>
        </w:rPr>
        <w:t xml:space="preserve">fungsi berbasis Llama 3.2 3B </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EndPr/>
        <w:sdtContent>
          <w:r w:rsidR="00762C37" w:rsidRPr="00762C37">
            <w:rPr>
              <w:color w:val="000000"/>
            </w:rPr>
            <w:t>(Grattafiori et al. 2024)</w:t>
          </w:r>
        </w:sdtContent>
      </w:sdt>
      <w:r w:rsidRPr="00762C37">
        <w:rPr>
          <w:color w:val="000000"/>
        </w:rPr>
        <w:t xml:space="preserve">dapat berfungsi sebagai komponen andal dalam </w:t>
      </w:r>
      <w:r w:rsidRPr="00762C37">
        <w:rPr>
          <w:i/>
          <w:color w:val="000000"/>
        </w:rPr>
        <w:t>pipeline</w:t>
      </w:r>
      <w:r w:rsidRPr="00762C37">
        <w:rPr>
          <w:color w:val="000000"/>
        </w:rPr>
        <w:t xml:space="preserve"> analitik EDM. Nilai strategisnya adalah demokratisasi akses insight data: tim rekrutmen non</w:t>
      </w:r>
      <w:r w:rsidR="007C1716" w:rsidRPr="00762C37">
        <w:rPr>
          <w:color w:val="000000"/>
        </w:rPr>
        <w:t xml:space="preserve"> </w:t>
      </w:r>
      <w:r w:rsidRPr="00762C37">
        <w:rPr>
          <w:color w:val="000000"/>
        </w:rPr>
        <w:t xml:space="preserve">teknis ITSNU Pekalongan dapat mengakses analisis segmentasi kompleks melalui laporan naratif otomatis setiap tahun, tanpa keahlian statistika atau machine learning </w:t>
      </w:r>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mYWxzZSwiY2l0ZXByb2NUZXh0IjoiKFBhcmtlciBldCBhbC4gMjAyNWIpIiwibWFudWFsT3ZlcnJpZGVUZXh0IjoiIn0sImNpdGF0aW9uSXRlbXMiOlt7ImlkIjoiNzg4MzZlODYtZTJjMy0zNDM2LWFiNDgtODI4OWZlYTdiZWI3IiwiaXRlbURhdGEiOnsidHlwZSI6ImFydGljbGUtam91cm5hbCIsImlkIjoiNzg4MzZlODYtZTJjMy0zNDM2LWFiNDgtODI4OWZlYTdiZWI3IiwidGl0bGUiOiJBIExhcmdlIExhbmd1YWdlIE1vZGVsIEFwcHJvYWNoIHRvIEVkdWNhdGlvbmFsIFN1cnZleSBGZWVkYmFjayBBbmFseXNpcyIsImF1dGhvciI6W3siZmFtaWx5IjoiUGFya2VyIiwiZ2l2ZW4iOiJNaWNoYWVsIEouIiwicGFyc2UtbmFtZXMiOmZhbHNlLCJkcm9wcGluZy1wYXJ0aWNsZSI6IiIsIm5vbi1kcm9wcGluZy1wYXJ0aWNsZSI6IiJ9LHsiZmFtaWx5IjoiQW5kZXJzb24iLCJnaXZlbiI6IkNhaXRsaW4iLCJwYXJzZS1uYW1lcyI6ZmFsc2UsImRyb3BwaW5nLXBhcnRpY2xlIjoiIiwibm9uLWRyb3BwaW5nLXBhcnRpY2xlIjoiIn0seyJmYW1pbHkiOiJTdG9uZSIsImdpdmVuIjoiQ2xhaXJlIiwicGFyc2UtbmFtZXMiOmZhbHNlLCJkcm9wcGluZy1wYXJ0aWNsZSI6IiIsIm5vbi1kcm9wcGluZy1wYXJ0aWNsZSI6IiJ9LHsiZmFtaWx5IjoiT2giLCJnaXZlbiI6IlllYSBSaW0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NC0wMDQxNC0wIiwiSVNTTiI6IjE1NjA0MzA2IiwiaXNzdWVkIjp7ImRhdGUtcGFydHMiOltbMjAyNSw2LDFdXX0sInBhZ2UiOiI0NDQtNDgxIiwiYWJzdHJhY3QiOiJUaGlzIHBhcGVyIGFzc2Vzc2VzIHRoZSBwb3RlbnRpYWwgZm9yIHRoZSBsYXJnZSBsYW5ndWFnZSBtb2RlbHMgKExMTXMpIEdQVC00IGFuZCBHUFQtMy41IHRvIGFpZCBpbiBkZXJpdmluZyBpbnNpZ2h0IGZyb20gZWR1Y2F0aW9uIGZlZWRiYWNrIHN1cnZleXMuIEV4cGxvcmF0aW9uIG9mIExMTSB1c2UgY2FzZXMgaW4gZWR1Y2F0aW9uIGhhcyBmb2N1c2VkIG9uIHRlYWNoaW5nIGFuZCBsZWFybmluZywgd2l0aCBsZXNzIGV4cGxvcmF0aW9uIG9mIGNhcGFiaWxpdGllcyBpbiBlZHVjYXRpb24gZmVlZGJhY2sgYW5hbHlzaXMuIFN1cnZleSBhbmFseXNpcyBpbiBlZHVjYXRpb24gaW52b2x2ZXMgZ29hbHMgc3VjaCBhcyBmaW5kaW5nIGdhcHMgaW4gY3VycmljdWxhIG9yIGV2YWx1YXRpbmcgdGVhY2hlcnMsIG9mdGVuIHJlcXVpcmluZyB0aW1lLWNvbnN1bWluZyBtYW51YWwgcHJvY2Vzc2luZyBvZiB0ZXh0dWFsIHJlc3BvbnNlcy4gTExNcyBoYXZlIHRoZSBwb3RlbnRpYWwgdG8gcHJvdmlkZSBhIGZsZXhpYmxlIG1lYW5zIG9mIGFjaGlldmluZyB0aGVzZSBnb2FscyB3aXRob3V0IHNwZWNpYWxpemVkIG1hY2hpbmUgbGVhcm5pbmcgbW9kZWxzIG9yIGZpbmUtdHVuaW5nLiBXZSBkZW1vbnN0cmF0ZSBhIHZlcnNhdGlsZSBhcHByb2FjaCB0byBzdWNoIGdvYWxzIGJ5IHRyZWF0aW5nIHRoZW0gYXMgc2VxdWVuY2VzIG9mIG5hdHVyYWwgbGFuZ3VhZ2UgcHJvY2Vzc2luZyAoTkxQKSB0YXNrcyBpbmNsdWRpbmcgY2xhc3NpZmljYXRpb24gKG11bHRpLWxhYmVsLCBtdWx0aS1jbGFzcywgYW5kIGJpbmFyeSksIGV4dHJhY3Rpb24sIHRoZW1hdGljIGFuYWx5c2lzLCBhbmQgc2VudGltZW50IGFuYWx5c2lzLCBlYWNoIHBlcmZvcm1lZCBieSBMTE0uIFdlIGFwcGx5IHRoZXNlIHdvcmtmbG93cyB0byBhIHJlYWwtd29ybGQgZGF0YXNldCBvZiAyNTAwIGVuZC1vZi1jb3Vyc2Ugc3VydmV5IGNvbW1lbnRzIGZyb20gYmlvbWVkaWNhbCBzY2llbmNlIGNvdXJzZXMsIGFuZCBldmFsdWF0ZSBhIHplcm8tc2hvdCBhcHByb2FjaCAoaS5lLiwgcmVxdWlyaW5nIG5vIGV4YW1wbGVzIG9yIGxhYmVsZWQgdHJhaW5pbmcgZGF0YSkgYWNyb3NzIGFsbCB0YXNrcywgcmVmbGVjdGluZyBlZHVjYXRpb24gc2V0dGluZ3MsIHdoZXJlIGxhYmVsZWQgZGF0YSBpcyBvZnRlbiBzY2FyY2UuIEJ5IGFwcGx5aW5nIGVmZmVjdGl2ZSBwcm9tcHRpbmcgcHJhY3RpY2VzLCB3ZSBhY2hpZXZlIGh1bWFuLWxldmVsIHBlcmZvcm1hbmNlIG9uIG11bHRpcGxlIHRhc2tzIHdpdGggR1BULTQsIGVuYWJsaW5nIHdvcmtmbG93cyBuZWNlc3NhcnkgdG8gYWNoaWV2ZSB0eXBpY2FsIGdvYWxzLiBXZSBhbHNvIHNob3cgdGhlIHBvdGVudGlhbCBvZiBpbnNwZWN0aW5nIExMTXPigJkgY2hhaW4tb2YtdGhvdWdodCAoQ29UKSByZWFzb25pbmcgZm9yIHByb3ZpZGluZyBpbnNpZ2h0IHRoYXQgbWF5IGZvc3RlciBjb25maWRlbmNlIGluIHByYWN0aWNlLiBNb3Jlb3ZlciwgdGhpcyBzdHVkeSBmZWF0dXJlcyBkZXZlbG9wbWVudCBvZiBhIHZlcnNhdGlsZSBzZXQgb2YgY2xhc3NpZmljYXRpb24gY2F0ZWdvcmllcywgc3VpdGFibGUgZm9yIHZhcmlvdXMgY291cnNlIHR5cGVzIChvbmxpbmUsIGh5YnJpZCwgb3IgaW4tcGVyc29uKSBhbmQgYW1lbmFibGUgdG8gY3VzdG9taXphdGlvbi4gT3VyIHJlc3VsdHMgc3VnZ2VzdCB0aGF0IExMTXMgY2FuIGJlIHVzZWQgdG8gZGVyaXZlIGEgcmFuZ2Ugb2YgaW5zaWdodHMgZnJvbSBzdXJ2ZXkgdGV4dC4iLCJwdWJsaXNoZXIiOiJTcHJpbmdlciIsImlzc3VlIjoiMiIsInZvbHVtZSI6IjM1In0sImlzVGVtcG9yYXJ5IjpmYWxzZX1dfQ=="/>
          <w:id w:val="1370649617"/>
          <w:placeholder>
            <w:docPart w:val="DefaultPlaceholder_-1854013440"/>
          </w:placeholder>
        </w:sdtPr>
        <w:sdtEndPr/>
        <w:sdtContent>
          <w:r w:rsidR="00762C37" w:rsidRPr="00762C37">
            <w:rPr>
              <w:color w:val="000000"/>
            </w:rPr>
            <w:t>(Parker et al. 2025)</w:t>
          </w:r>
        </w:sdtContent>
      </w:sdt>
      <w:r w:rsidRPr="00762C37">
        <w:rPr>
          <w:color w:val="000000"/>
        </w:rPr>
        <w:t>. Penggunaan model lokal via Ollama memastikan kerahasiaan data PMB terjaga sepenuhnya.</w:t>
      </w:r>
    </w:p>
    <w:p w:rsidR="002316A4" w:rsidRDefault="00C02299" w:rsidP="004A02B3">
      <w:pPr>
        <w:pStyle w:val="Judul1"/>
        <w:pageBreakBefore/>
        <w:spacing w:after="160" w:line="480" w:lineRule="auto"/>
      </w:pPr>
      <w:r>
        <w:lastRenderedPageBreak/>
        <w:t>DAFTAR PUSTAKA</w:t>
      </w:r>
    </w:p>
    <w:sdt>
      <w:sdtPr>
        <w:rPr>
          <w:b/>
          <w:bCs/>
          <w:color w:val="000000"/>
        </w:rPr>
        <w:tag w:val="MENDELEY_BIBLIOGRAPHY"/>
        <w:id w:val="912125941"/>
        <w:placeholder>
          <w:docPart w:val="DefaultPlaceholder_-1854013440"/>
        </w:placeholder>
      </w:sdtPr>
      <w:sdtEndPr/>
      <w:sdtContent>
        <w:p w:rsidR="00864E21" w:rsidRPr="00864E21" w:rsidRDefault="00864E21" w:rsidP="00864E21">
          <w:pPr>
            <w:autoSpaceDE w:val="0"/>
            <w:autoSpaceDN w:val="0"/>
            <w:ind w:hanging="480"/>
            <w:jc w:val="both"/>
            <w:divId w:val="743383335"/>
            <w:rPr>
              <w:color w:val="000000"/>
            </w:rPr>
          </w:pPr>
          <w:r w:rsidRPr="00864E21">
            <w:rPr>
              <w:color w:val="000000"/>
            </w:rPr>
            <w:t xml:space="preserve">Aristovnik, Aleksander, Damijana Keržič, Dejan Ravšelj, Nina Tomaževič, and Lan Umek. 2021. “Impacts of the Covid-19 Pandemic on Life of Higher Education Students: Global Survey Dataset from the First Wave.” </w:t>
          </w:r>
          <w:r w:rsidRPr="00864E21">
            <w:rPr>
              <w:i/>
              <w:iCs/>
              <w:color w:val="000000"/>
            </w:rPr>
            <w:t>Data in Brief</w:t>
          </w:r>
          <w:r w:rsidRPr="00864E21">
            <w:rPr>
              <w:color w:val="000000"/>
            </w:rPr>
            <w:t xml:space="preserve"> 39: 107659. doi:10.1016/j.dib.2021.107659.</w:t>
          </w:r>
        </w:p>
        <w:p w:rsidR="00864E21" w:rsidRPr="00864E21" w:rsidRDefault="00864E21" w:rsidP="00864E21">
          <w:pPr>
            <w:autoSpaceDE w:val="0"/>
            <w:autoSpaceDN w:val="0"/>
            <w:ind w:hanging="480"/>
            <w:jc w:val="both"/>
            <w:divId w:val="1424228932"/>
            <w:rPr>
              <w:color w:val="000000"/>
            </w:rPr>
          </w:pPr>
          <w:r w:rsidRPr="00864E21">
            <w:rPr>
              <w:color w:val="000000"/>
            </w:rPr>
            <w:t xml:space="preserve">Cahyadi, Ani, Hendryadi, Sri Widyastuti, and Suryani. 2022. “COVID-19, Emergency Remote Teaching Evaluation: The Case of Indonesia.” </w:t>
          </w:r>
          <w:r w:rsidRPr="00864E21">
            <w:rPr>
              <w:i/>
              <w:iCs/>
              <w:color w:val="000000"/>
            </w:rPr>
            <w:t>Education and Information Technologies</w:t>
          </w:r>
          <w:r w:rsidRPr="00864E21">
            <w:rPr>
              <w:color w:val="000000"/>
            </w:rPr>
            <w:t xml:space="preserve"> 27(2): 2165–79. doi:10.1007/s10639-021-10680-3.</w:t>
          </w:r>
        </w:p>
        <w:p w:rsidR="00864E21" w:rsidRPr="00864E21" w:rsidRDefault="00864E21" w:rsidP="00864E21">
          <w:pPr>
            <w:autoSpaceDE w:val="0"/>
            <w:autoSpaceDN w:val="0"/>
            <w:ind w:hanging="480"/>
            <w:jc w:val="both"/>
            <w:divId w:val="2092265015"/>
            <w:rPr>
              <w:color w:val="000000"/>
            </w:rPr>
          </w:pPr>
          <w:r w:rsidRPr="00864E21">
            <w:rPr>
              <w:color w:val="000000"/>
            </w:rPr>
            <w:t>Cristóbal Romero, Sebastián Ventura. 2000. “Educational Data Mining Review.”</w:t>
          </w:r>
        </w:p>
        <w:p w:rsidR="00864E21" w:rsidRPr="00864E21" w:rsidRDefault="00864E21" w:rsidP="00864E21">
          <w:pPr>
            <w:autoSpaceDE w:val="0"/>
            <w:autoSpaceDN w:val="0"/>
            <w:ind w:hanging="480"/>
            <w:jc w:val="both"/>
            <w:divId w:val="1724793848"/>
            <w:rPr>
              <w:color w:val="000000"/>
            </w:rPr>
          </w:pPr>
          <w:r w:rsidRPr="00864E21">
            <w:rPr>
              <w:color w:val="000000"/>
            </w:rPr>
            <w:t xml:space="preserve">Dempster, A P, ; N M Laird, and ; D B Rubin. 1977. 39 Journal of the Royal Statistical Society. Series B (Methodological) </w:t>
          </w:r>
          <w:r w:rsidRPr="00864E21">
            <w:rPr>
              <w:i/>
              <w:iCs/>
              <w:color w:val="000000"/>
            </w:rPr>
            <w:t>Maximum Likelihood from Incomplete Data via the EM Algorithm</w:t>
          </w:r>
          <w:r w:rsidRPr="00864E21">
            <w:rPr>
              <w:color w:val="000000"/>
            </w:rPr>
            <w:t>.</w:t>
          </w:r>
        </w:p>
        <w:p w:rsidR="00864E21" w:rsidRPr="00864E21" w:rsidRDefault="00864E21" w:rsidP="00864E21">
          <w:pPr>
            <w:autoSpaceDE w:val="0"/>
            <w:autoSpaceDN w:val="0"/>
            <w:ind w:hanging="480"/>
            <w:jc w:val="both"/>
            <w:divId w:val="634680148"/>
            <w:rPr>
              <w:color w:val="000000"/>
            </w:rPr>
          </w:pPr>
          <w:r w:rsidRPr="00864E21">
            <w:rPr>
              <w:color w:val="000000"/>
            </w:rPr>
            <w:t xml:space="preserve">Devlin, Jacob, Ming-Wei Chang, Kenton Lee, Kristina Toutanova Google, and A I Language. </w:t>
          </w:r>
          <w:r w:rsidRPr="00864E21">
            <w:rPr>
              <w:i/>
              <w:iCs/>
              <w:color w:val="000000"/>
            </w:rPr>
            <w:t>BERT: Pre-Training of Deep Bidirectional Transformers for Language Understanding</w:t>
          </w:r>
          <w:r w:rsidRPr="00864E21">
            <w:rPr>
              <w:color w:val="000000"/>
            </w:rPr>
            <w:t>. https://github.com/tensorflow/tensor2tensor.</w:t>
          </w:r>
        </w:p>
        <w:p w:rsidR="00864E21" w:rsidRPr="00864E21" w:rsidRDefault="00864E21" w:rsidP="00864E21">
          <w:pPr>
            <w:autoSpaceDE w:val="0"/>
            <w:autoSpaceDN w:val="0"/>
            <w:ind w:hanging="480"/>
            <w:jc w:val="both"/>
            <w:divId w:val="6565044"/>
            <w:rPr>
              <w:color w:val="000000"/>
            </w:rPr>
          </w:pPr>
          <w:r w:rsidRPr="00864E21">
            <w:rPr>
              <w:color w:val="000000"/>
            </w:rPr>
            <w:t xml:space="preserve">Fajardo-Ramos, Diana Carolina, Andrés Chiappe, and Javier Mella-Norambuena. 2025. “Human-in-the-Loop Assessment with AI: Implications for Teacher Education in Ibero-American Universities.” </w:t>
          </w:r>
          <w:r w:rsidRPr="00864E21">
            <w:rPr>
              <w:i/>
              <w:iCs/>
              <w:color w:val="000000"/>
            </w:rPr>
            <w:t>Frontiers in Education</w:t>
          </w:r>
          <w:r w:rsidRPr="00864E21">
            <w:rPr>
              <w:color w:val="000000"/>
            </w:rPr>
            <w:t xml:space="preserve"> 10. doi:10.3389/feduc.2025.1710992.</w:t>
          </w:r>
        </w:p>
        <w:p w:rsidR="00864E21" w:rsidRPr="00864E21" w:rsidRDefault="00864E21" w:rsidP="00864E21">
          <w:pPr>
            <w:autoSpaceDE w:val="0"/>
            <w:autoSpaceDN w:val="0"/>
            <w:ind w:hanging="480"/>
            <w:jc w:val="both"/>
            <w:divId w:val="346908488"/>
            <w:rPr>
              <w:color w:val="000000"/>
            </w:rPr>
          </w:pPr>
          <w:r w:rsidRPr="00864E21">
            <w:rPr>
              <w:color w:val="000000"/>
            </w:rPr>
            <w:t>George, Lijimol, and P Sumathy. 2022a. “An Integrated Clustering and BERT Framework for Improved Topic Modeling.” doi:10.21203/rs.3.rs-1986180/v1.</w:t>
          </w:r>
        </w:p>
        <w:p w:rsidR="00864E21" w:rsidRPr="00864E21" w:rsidRDefault="00864E21" w:rsidP="00864E21">
          <w:pPr>
            <w:autoSpaceDE w:val="0"/>
            <w:autoSpaceDN w:val="0"/>
            <w:ind w:hanging="480"/>
            <w:jc w:val="both"/>
            <w:divId w:val="1720862872"/>
            <w:rPr>
              <w:color w:val="000000"/>
            </w:rPr>
          </w:pPr>
          <w:r w:rsidRPr="00864E21">
            <w:rPr>
              <w:color w:val="000000"/>
            </w:rPr>
            <w:t>George, Lijimol, and P Sumathy. 2022b. “An Integrated Clustering and BERT Framework for Improved Topic Modeling.” doi:10.21203/rs.3.rs-1986180/v1.</w:t>
          </w:r>
        </w:p>
        <w:p w:rsidR="00864E21" w:rsidRPr="00864E21" w:rsidRDefault="00864E21" w:rsidP="00864E21">
          <w:pPr>
            <w:autoSpaceDE w:val="0"/>
            <w:autoSpaceDN w:val="0"/>
            <w:ind w:hanging="480"/>
            <w:jc w:val="both"/>
            <w:divId w:val="399208282"/>
            <w:rPr>
              <w:color w:val="000000"/>
            </w:rPr>
          </w:pPr>
          <w:r w:rsidRPr="00864E21">
            <w:rPr>
              <w:color w:val="000000"/>
            </w:rPr>
            <w:t>Grattafiori, Aaron, Abhimanyu Dubey, Abhinav Jauhri, Abhinav Pandey, Abhishek Kadian, Ahmad Al-Dahle, Aiesha Letman, et al. 2024. “The Llama 3 Herd of Models.” http://arxiv.org/abs/2407.21783.</w:t>
          </w:r>
        </w:p>
        <w:p w:rsidR="00864E21" w:rsidRPr="00864E21" w:rsidRDefault="00864E21" w:rsidP="00864E21">
          <w:pPr>
            <w:autoSpaceDE w:val="0"/>
            <w:autoSpaceDN w:val="0"/>
            <w:ind w:hanging="480"/>
            <w:jc w:val="both"/>
            <w:divId w:val="1940260304"/>
            <w:rPr>
              <w:color w:val="000000"/>
            </w:rPr>
          </w:pPr>
          <w:r w:rsidRPr="00864E21">
            <w:rPr>
              <w:color w:val="000000"/>
            </w:rPr>
            <w:t xml:space="preserve">Helske, Jouni, Satu Helske, Mohammed Saqr, Sonsoles López-Pernas, and Keefe Murphy. 2024. “A Modern Approach to Transition Analysis and Process Mining with Markov Models in Education.” In </w:t>
          </w:r>
          <w:r w:rsidRPr="00864E21">
            <w:rPr>
              <w:i/>
              <w:iCs/>
              <w:color w:val="000000"/>
            </w:rPr>
            <w:t>Learning Analytics Methods and Tutorials</w:t>
          </w:r>
          <w:r w:rsidRPr="00864E21">
            <w:rPr>
              <w:color w:val="000000"/>
            </w:rPr>
            <w:t>, Cham: Springer Nature Switzerland, 381–427. doi:10.1007/978-3-031-54464-4_12.</w:t>
          </w:r>
        </w:p>
        <w:p w:rsidR="00864E21" w:rsidRPr="00864E21" w:rsidRDefault="00864E21" w:rsidP="00864E21">
          <w:pPr>
            <w:autoSpaceDE w:val="0"/>
            <w:autoSpaceDN w:val="0"/>
            <w:ind w:hanging="480"/>
            <w:jc w:val="both"/>
            <w:divId w:val="16204296"/>
            <w:rPr>
              <w:color w:val="000000"/>
            </w:rPr>
          </w:pPr>
          <w:r w:rsidRPr="00864E21">
            <w:rPr>
              <w:color w:val="000000"/>
            </w:rPr>
            <w:t xml:space="preserve">Hossler, D., &amp; Bean, J. P. 1990. </w:t>
          </w:r>
          <w:r w:rsidRPr="00864E21">
            <w:rPr>
              <w:i/>
              <w:iCs/>
              <w:color w:val="000000"/>
            </w:rPr>
            <w:t xml:space="preserve">The Strategic Management of College Enrollments. </w:t>
          </w:r>
          <w:r w:rsidRPr="00864E21">
            <w:rPr>
              <w:color w:val="000000"/>
            </w:rPr>
            <w:t>. Jossey Bass. .</w:t>
          </w:r>
        </w:p>
        <w:p w:rsidR="00864E21" w:rsidRPr="00864E21" w:rsidRDefault="00864E21" w:rsidP="00864E21">
          <w:pPr>
            <w:autoSpaceDE w:val="0"/>
            <w:autoSpaceDN w:val="0"/>
            <w:ind w:hanging="480"/>
            <w:jc w:val="both"/>
            <w:divId w:val="1431005562"/>
            <w:rPr>
              <w:color w:val="000000"/>
            </w:rPr>
          </w:pPr>
          <w:r w:rsidRPr="00864E21">
            <w:rPr>
              <w:color w:val="000000"/>
            </w:rPr>
            <w:t xml:space="preserve">Hubert, Lawrence, and Phipps Arabic. 1985. 2 Journal of Classification </w:t>
          </w:r>
          <w:r w:rsidRPr="00864E21">
            <w:rPr>
              <w:i/>
              <w:iCs/>
              <w:color w:val="000000"/>
            </w:rPr>
            <w:t>Comparing Partitions</w:t>
          </w:r>
          <w:r w:rsidRPr="00864E21">
            <w:rPr>
              <w:color w:val="000000"/>
            </w:rPr>
            <w:t>.</w:t>
          </w:r>
        </w:p>
        <w:p w:rsidR="00864E21" w:rsidRPr="00864E21" w:rsidRDefault="00864E21" w:rsidP="00864E21">
          <w:pPr>
            <w:autoSpaceDE w:val="0"/>
            <w:autoSpaceDN w:val="0"/>
            <w:ind w:hanging="480"/>
            <w:jc w:val="both"/>
            <w:divId w:val="585699164"/>
            <w:rPr>
              <w:color w:val="000000"/>
            </w:rPr>
          </w:pPr>
          <w:r w:rsidRPr="00864E21">
            <w:rPr>
              <w:color w:val="000000"/>
            </w:rPr>
            <w:t xml:space="preserve">Kocaman, Veysel, Mustafa Aytuğ Kaya, Andrei Marian Feier, and David Talby. 2025. “Clinical Large Language Model Evaluation by Expert Review (CLEVER): Framework Development and Validation.” </w:t>
          </w:r>
          <w:r w:rsidRPr="00864E21">
            <w:rPr>
              <w:i/>
              <w:iCs/>
              <w:color w:val="000000"/>
            </w:rPr>
            <w:t>JMIR AI</w:t>
          </w:r>
          <w:r w:rsidRPr="00864E21">
            <w:rPr>
              <w:color w:val="000000"/>
            </w:rPr>
            <w:t xml:space="preserve"> 4: e72153–e72153. doi:10.2196/72153.</w:t>
          </w:r>
        </w:p>
        <w:p w:rsidR="00864E21" w:rsidRPr="00864E21" w:rsidRDefault="00864E21" w:rsidP="00864E21">
          <w:pPr>
            <w:autoSpaceDE w:val="0"/>
            <w:autoSpaceDN w:val="0"/>
            <w:ind w:hanging="480"/>
            <w:jc w:val="both"/>
            <w:divId w:val="1423259145"/>
            <w:rPr>
              <w:color w:val="000000"/>
            </w:rPr>
          </w:pPr>
          <w:r w:rsidRPr="00864E21">
            <w:rPr>
              <w:color w:val="000000"/>
            </w:rPr>
            <w:t xml:space="preserve">Kotler, and Armstrong. 2012. </w:t>
          </w:r>
          <w:r w:rsidRPr="00864E21">
            <w:rPr>
              <w:i/>
              <w:iCs/>
              <w:color w:val="000000"/>
            </w:rPr>
            <w:t>Principles of Marketing</w:t>
          </w:r>
          <w:r w:rsidRPr="00864E21">
            <w:rPr>
              <w:color w:val="000000"/>
            </w:rPr>
            <w:t>. New Jersey: Prentice Hall.</w:t>
          </w:r>
        </w:p>
        <w:p w:rsidR="00864E21" w:rsidRPr="00864E21" w:rsidRDefault="00864E21" w:rsidP="00864E21">
          <w:pPr>
            <w:autoSpaceDE w:val="0"/>
            <w:autoSpaceDN w:val="0"/>
            <w:ind w:hanging="480"/>
            <w:jc w:val="both"/>
            <w:divId w:val="338779376"/>
            <w:rPr>
              <w:color w:val="000000"/>
            </w:rPr>
          </w:pPr>
          <w:r w:rsidRPr="00864E21">
            <w:rPr>
              <w:color w:val="000000"/>
            </w:rPr>
            <w:t xml:space="preserve">Kotler, P., &amp; Keller, K. L. 2016. </w:t>
          </w:r>
          <w:r w:rsidRPr="00864E21">
            <w:rPr>
              <w:i/>
              <w:iCs/>
              <w:color w:val="000000"/>
            </w:rPr>
            <w:t xml:space="preserve">Marketing Management (15th Ed.). </w:t>
          </w:r>
          <w:r w:rsidRPr="00864E21">
            <w:rPr>
              <w:color w:val="000000"/>
            </w:rPr>
            <w:t>. Pearson Education.</w:t>
          </w:r>
        </w:p>
        <w:p w:rsidR="00864E21" w:rsidRPr="00864E21" w:rsidRDefault="00864E21" w:rsidP="00864E21">
          <w:pPr>
            <w:autoSpaceDE w:val="0"/>
            <w:autoSpaceDN w:val="0"/>
            <w:ind w:hanging="480"/>
            <w:jc w:val="both"/>
            <w:divId w:val="306711613"/>
            <w:rPr>
              <w:color w:val="000000"/>
            </w:rPr>
          </w:pPr>
          <w:r w:rsidRPr="00864E21">
            <w:rPr>
              <w:color w:val="000000"/>
            </w:rPr>
            <w:t xml:space="preserve">Koto, Fajri, Afshin Rahimi, Jey Han Lau, and Timothy Baldwin. 2020. “IndoLEM and IndoBERT: A Benchmark Dataset and Pre-Trained Language Model for </w:t>
          </w:r>
          <w:r w:rsidRPr="00864E21">
            <w:rPr>
              <w:color w:val="000000"/>
            </w:rPr>
            <w:lastRenderedPageBreak/>
            <w:t xml:space="preserve">Indonesian NLP.” In </w:t>
          </w:r>
          <w:r w:rsidRPr="00864E21">
            <w:rPr>
              <w:i/>
              <w:iCs/>
              <w:color w:val="000000"/>
            </w:rPr>
            <w:t>Proceedings of the 28th International Conference on Computational Linguistics</w:t>
          </w:r>
          <w:r w:rsidRPr="00864E21">
            <w:rPr>
              <w:color w:val="000000"/>
            </w:rPr>
            <w:t>, Stroudsburg, PA, USA: International Committee on Computational Linguistics, 757–70. doi:10.18653/v1/2020.coling-main.66.</w:t>
          </w:r>
        </w:p>
        <w:p w:rsidR="00864E21" w:rsidRPr="00864E21" w:rsidRDefault="00864E21" w:rsidP="00864E21">
          <w:pPr>
            <w:autoSpaceDE w:val="0"/>
            <w:autoSpaceDN w:val="0"/>
            <w:ind w:hanging="480"/>
            <w:jc w:val="both"/>
            <w:divId w:val="38091518"/>
            <w:rPr>
              <w:color w:val="000000"/>
            </w:rPr>
          </w:pPr>
          <w:r w:rsidRPr="00864E21">
            <w:rPr>
              <w:color w:val="000000"/>
            </w:rPr>
            <w:t xml:space="preserve">Lazaros, Konstantinos, Aristidis G. Vrahatis, and Sotiris Kotsiantis. 2026. “Human-in-the-Loop Artificial Intelligence: A Systematic Review of Concepts, Methods, and Applications.” </w:t>
          </w:r>
          <w:r w:rsidRPr="00864E21">
            <w:rPr>
              <w:i/>
              <w:iCs/>
              <w:color w:val="000000"/>
            </w:rPr>
            <w:t>Entropy</w:t>
          </w:r>
          <w:r w:rsidRPr="00864E21">
            <w:rPr>
              <w:color w:val="000000"/>
            </w:rPr>
            <w:t xml:space="preserve"> 28(4): 377. doi:10.3390/e28040377.</w:t>
          </w:r>
        </w:p>
        <w:p w:rsidR="00864E21" w:rsidRPr="00864E21" w:rsidRDefault="00864E21" w:rsidP="00864E21">
          <w:pPr>
            <w:autoSpaceDE w:val="0"/>
            <w:autoSpaceDN w:val="0"/>
            <w:ind w:hanging="480"/>
            <w:jc w:val="both"/>
            <w:divId w:val="1221021482"/>
            <w:rPr>
              <w:color w:val="000000"/>
            </w:rPr>
          </w:pPr>
          <w:r w:rsidRPr="00864E21">
            <w:rPr>
              <w:color w:val="000000"/>
            </w:rPr>
            <w:t xml:space="preserve">Lu, Yuan, Soonja Yeom, Jamal Maktoubian, Mohammad Mustaneer Rahman, and Soo Hyung Kim. 2025. “Improve Student Risk Prediction with Clustering Techniques: A Systematic Review in Education Data Mining.” </w:t>
          </w:r>
          <w:r w:rsidRPr="00864E21">
            <w:rPr>
              <w:i/>
              <w:iCs/>
              <w:color w:val="000000"/>
            </w:rPr>
            <w:t>Education Sciences</w:t>
          </w:r>
          <w:r w:rsidRPr="00864E21">
            <w:rPr>
              <w:color w:val="000000"/>
            </w:rPr>
            <w:t xml:space="preserve"> 15(12). doi:10.3390/educsci15121695.</w:t>
          </w:r>
        </w:p>
        <w:p w:rsidR="00864E21" w:rsidRPr="00864E21" w:rsidRDefault="00864E21" w:rsidP="00864E21">
          <w:pPr>
            <w:autoSpaceDE w:val="0"/>
            <w:autoSpaceDN w:val="0"/>
            <w:ind w:hanging="480"/>
            <w:jc w:val="both"/>
            <w:divId w:val="494149101"/>
            <w:rPr>
              <w:color w:val="000000"/>
            </w:rPr>
          </w:pPr>
          <w:r w:rsidRPr="00864E21">
            <w:rPr>
              <w:color w:val="000000"/>
            </w:rPr>
            <w:t xml:space="preserve">Mariscal, Gonzalo, Óscar Marbán, and Covadonga Fernández. 2010. “A Survey of Data Mining and Knowledge Discovery Process Models and Methodologies.” </w:t>
          </w:r>
          <w:r w:rsidRPr="00864E21">
            <w:rPr>
              <w:i/>
              <w:iCs/>
              <w:color w:val="000000"/>
            </w:rPr>
            <w:t>Knowledge Engineering Review</w:t>
          </w:r>
          <w:r w:rsidRPr="00864E21">
            <w:rPr>
              <w:color w:val="000000"/>
            </w:rPr>
            <w:t xml:space="preserve"> 25(2): 137–66. doi:10.1017/S0269888910000032.</w:t>
          </w:r>
        </w:p>
        <w:p w:rsidR="00864E21" w:rsidRPr="00864E21" w:rsidRDefault="00864E21" w:rsidP="00864E21">
          <w:pPr>
            <w:autoSpaceDE w:val="0"/>
            <w:autoSpaceDN w:val="0"/>
            <w:ind w:hanging="480"/>
            <w:jc w:val="both"/>
            <w:divId w:val="521673994"/>
            <w:rPr>
              <w:color w:val="000000"/>
            </w:rPr>
          </w:pPr>
          <w:r w:rsidRPr="00864E21">
            <w:rPr>
              <w:color w:val="000000"/>
            </w:rPr>
            <w:t xml:space="preserve">Parker, Michael J., Caitlin Anderson, Claire Stone, and Yea Rim Oh. 2025. “A Large Language Model Approach to Educational Survey Feedback Analysis.” </w:t>
          </w:r>
          <w:r w:rsidRPr="00864E21">
            <w:rPr>
              <w:i/>
              <w:iCs/>
              <w:color w:val="000000"/>
            </w:rPr>
            <w:t>International Journal of Artificial Intelligence in Education</w:t>
          </w:r>
          <w:r w:rsidRPr="00864E21">
            <w:rPr>
              <w:color w:val="000000"/>
            </w:rPr>
            <w:t xml:space="preserve"> 35(2): 444–81. doi:10.1007/s40593-024-00414-0.</w:t>
          </w:r>
        </w:p>
        <w:p w:rsidR="00864E21" w:rsidRPr="00864E21" w:rsidRDefault="00864E21" w:rsidP="00864E21">
          <w:pPr>
            <w:autoSpaceDE w:val="0"/>
            <w:autoSpaceDN w:val="0"/>
            <w:ind w:hanging="480"/>
            <w:jc w:val="both"/>
            <w:divId w:val="597523502"/>
            <w:rPr>
              <w:color w:val="000000"/>
            </w:rPr>
          </w:pPr>
          <w:r w:rsidRPr="00864E21">
            <w:rPr>
              <w:color w:val="000000"/>
            </w:rPr>
            <w:t xml:space="preserve">Purcell, Wendy M., and Julio Lumbreras. 2021. “Higher Education and the COVID-19 Pandemic: Navigating Disruption Using the Sustainable Development Goals.” </w:t>
          </w:r>
          <w:r w:rsidRPr="00864E21">
            <w:rPr>
              <w:i/>
              <w:iCs/>
              <w:color w:val="000000"/>
            </w:rPr>
            <w:t>Discover Sustainability</w:t>
          </w:r>
          <w:r w:rsidRPr="00864E21">
            <w:rPr>
              <w:color w:val="000000"/>
            </w:rPr>
            <w:t xml:space="preserve"> 2(1): 6. doi:10.1007/s43621-021-00013-2.</w:t>
          </w:r>
        </w:p>
        <w:p w:rsidR="00864E21" w:rsidRPr="00864E21" w:rsidRDefault="00864E21" w:rsidP="00864E21">
          <w:pPr>
            <w:autoSpaceDE w:val="0"/>
            <w:autoSpaceDN w:val="0"/>
            <w:ind w:hanging="480"/>
            <w:jc w:val="both"/>
            <w:divId w:val="262883788"/>
            <w:rPr>
              <w:color w:val="000000"/>
            </w:rPr>
          </w:pPr>
          <w:r w:rsidRPr="00864E21">
            <w:rPr>
              <w:color w:val="000000"/>
            </w:rPr>
            <w:t xml:space="preserve">Saarela, Mirka, Janne Pölönen, Anna-Kaarina Linna, Leena Wahlfors, António Correia, and Tommi Kärkkäinen. 2026. “Comparing LLM and Expert Assessments of Journal Quality.” </w:t>
          </w:r>
          <w:r w:rsidRPr="00864E21">
            <w:rPr>
              <w:i/>
              <w:iCs/>
              <w:color w:val="000000"/>
            </w:rPr>
            <w:t>Scientometrics</w:t>
          </w:r>
          <w:r w:rsidRPr="00864E21">
            <w:rPr>
              <w:color w:val="000000"/>
            </w:rPr>
            <w:t>. doi:10.1007/s11192-026-05644-8.</w:t>
          </w:r>
        </w:p>
        <w:p w:rsidR="00864E21" w:rsidRPr="00864E21" w:rsidRDefault="00864E21" w:rsidP="00864E21">
          <w:pPr>
            <w:autoSpaceDE w:val="0"/>
            <w:autoSpaceDN w:val="0"/>
            <w:ind w:hanging="480"/>
            <w:jc w:val="both"/>
            <w:divId w:val="921917787"/>
            <w:rPr>
              <w:color w:val="000000"/>
            </w:rPr>
          </w:pPr>
          <w:r w:rsidRPr="00864E21">
            <w:rPr>
              <w:color w:val="000000"/>
            </w:rPr>
            <w:t xml:space="preserve">El Said, Ghada Refaat. 2021a. “How Did the COVID-19 Pandemic Affect Higher Education Learning Experience? An Empirical Investigation of Learners’ Academic Performance at a University in a Developing Country.” </w:t>
          </w:r>
          <w:r w:rsidRPr="00864E21">
            <w:rPr>
              <w:i/>
              <w:iCs/>
              <w:color w:val="000000"/>
            </w:rPr>
            <w:t>Advances in Human-Computer Interaction</w:t>
          </w:r>
          <w:r w:rsidRPr="00864E21">
            <w:rPr>
              <w:color w:val="000000"/>
            </w:rPr>
            <w:t xml:space="preserve"> 2021: 1–10. doi:10.1155/2021/6649524.</w:t>
          </w:r>
        </w:p>
        <w:p w:rsidR="00864E21" w:rsidRPr="00864E21" w:rsidRDefault="00864E21" w:rsidP="00864E21">
          <w:pPr>
            <w:autoSpaceDE w:val="0"/>
            <w:autoSpaceDN w:val="0"/>
            <w:ind w:hanging="480"/>
            <w:jc w:val="both"/>
            <w:divId w:val="312176252"/>
            <w:rPr>
              <w:color w:val="000000"/>
            </w:rPr>
          </w:pPr>
          <w:r w:rsidRPr="00864E21">
            <w:rPr>
              <w:color w:val="000000"/>
            </w:rPr>
            <w:t xml:space="preserve">El Said, Ghada Refaat. 2021b. “How Did the COVID-19 Pandemic Affect Higher Education Learning Experience? An Empirical Investigation of Learners’ Academic Performance at a University in a Developing Country.” </w:t>
          </w:r>
          <w:r w:rsidRPr="00864E21">
            <w:rPr>
              <w:i/>
              <w:iCs/>
              <w:color w:val="000000"/>
            </w:rPr>
            <w:t>Advances in Human-Computer Interaction</w:t>
          </w:r>
          <w:r w:rsidRPr="00864E21">
            <w:rPr>
              <w:color w:val="000000"/>
            </w:rPr>
            <w:t xml:space="preserve"> 2021: 1–10. doi:10.1155/2021/6649524.</w:t>
          </w:r>
        </w:p>
        <w:p w:rsidR="00864E21" w:rsidRPr="00864E21" w:rsidRDefault="00864E21" w:rsidP="00864E21">
          <w:pPr>
            <w:autoSpaceDE w:val="0"/>
            <w:autoSpaceDN w:val="0"/>
            <w:ind w:hanging="480"/>
            <w:jc w:val="both"/>
            <w:divId w:val="774789638"/>
            <w:rPr>
              <w:color w:val="000000"/>
            </w:rPr>
          </w:pPr>
          <w:r w:rsidRPr="00864E21">
            <w:rPr>
              <w:color w:val="000000"/>
            </w:rPr>
            <w:t xml:space="preserve">Saqr, Mohammed, and Sonsoles López-Pernas. 2024. Learning Analytics Methods and Tutorials: A Practical Guide Using R </w:t>
          </w:r>
          <w:r w:rsidRPr="00864E21">
            <w:rPr>
              <w:i/>
              <w:iCs/>
              <w:color w:val="000000"/>
            </w:rPr>
            <w:t>Learning Analytics Methods and Tutorials: A Practical Guide Using R</w:t>
          </w:r>
          <w:r w:rsidRPr="00864E21">
            <w:rPr>
              <w:color w:val="000000"/>
            </w:rPr>
            <w:t>. Springer Nature. doi:10.1007/978-3-031-54464-4.</w:t>
          </w:r>
        </w:p>
        <w:p w:rsidR="00864E21" w:rsidRPr="00864E21" w:rsidRDefault="00864E21" w:rsidP="00864E21">
          <w:pPr>
            <w:autoSpaceDE w:val="0"/>
            <w:autoSpaceDN w:val="0"/>
            <w:ind w:hanging="480"/>
            <w:jc w:val="both"/>
            <w:divId w:val="1034579186"/>
            <w:rPr>
              <w:color w:val="000000"/>
            </w:rPr>
          </w:pPr>
          <w:r w:rsidRPr="00864E21">
            <w:rPr>
              <w:color w:val="000000"/>
            </w:rPr>
            <w:t xml:space="preserve">Shen, Jiancheng, David D. Selover, Chao Li, and Hamed Yousefi. 2022. “An Ocean Apart? The Effects of US Business Cycles on Chinese Business Cycles.” </w:t>
          </w:r>
          <w:r w:rsidRPr="00864E21">
            <w:rPr>
              <w:i/>
              <w:iCs/>
              <w:color w:val="000000"/>
            </w:rPr>
            <w:t>International Review of Economics &amp; Finance</w:t>
          </w:r>
          <w:r w:rsidRPr="00864E21">
            <w:rPr>
              <w:color w:val="000000"/>
            </w:rPr>
            <w:t xml:space="preserve"> 82: 677–98. doi:10.1016/j.iref.2022.07.014.</w:t>
          </w:r>
        </w:p>
        <w:p w:rsidR="00864E21" w:rsidRPr="00864E21" w:rsidRDefault="00864E21" w:rsidP="00864E21">
          <w:pPr>
            <w:autoSpaceDE w:val="0"/>
            <w:autoSpaceDN w:val="0"/>
            <w:ind w:hanging="480"/>
            <w:jc w:val="both"/>
            <w:divId w:val="763645181"/>
            <w:rPr>
              <w:color w:val="000000"/>
            </w:rPr>
          </w:pPr>
          <w:r w:rsidRPr="00864E21">
            <w:rPr>
              <w:color w:val="000000"/>
            </w:rPr>
            <w:t xml:space="preserve">Subakti, Alvin, Hendri Murfi, and Nora Hariadi. 2022. “The Performance of BERT as Data Representation of Text Clustering.” </w:t>
          </w:r>
          <w:r w:rsidRPr="00864E21">
            <w:rPr>
              <w:i/>
              <w:iCs/>
              <w:color w:val="000000"/>
            </w:rPr>
            <w:t>Journal of Big Data</w:t>
          </w:r>
          <w:r w:rsidRPr="00864E21">
            <w:rPr>
              <w:color w:val="000000"/>
            </w:rPr>
            <w:t xml:space="preserve"> 9(1): 15. doi:10.1186/s40537-022-00564-9.</w:t>
          </w:r>
        </w:p>
        <w:p w:rsidR="00864E21" w:rsidRPr="00864E21" w:rsidRDefault="00864E21" w:rsidP="00864E21">
          <w:pPr>
            <w:autoSpaceDE w:val="0"/>
            <w:autoSpaceDN w:val="0"/>
            <w:ind w:hanging="480"/>
            <w:jc w:val="both"/>
            <w:divId w:val="534930382"/>
            <w:rPr>
              <w:color w:val="000000"/>
            </w:rPr>
          </w:pPr>
          <w:r w:rsidRPr="00864E21">
            <w:rPr>
              <w:color w:val="000000"/>
            </w:rPr>
            <w:lastRenderedPageBreak/>
            <w:t xml:space="preserve">Tuyishimire, Emmanuel, Wadzanai Mabuto, Paul Gatabazi, and Sylvie Bayisingize. 2022. “Detecting Learning Patterns in Tertiary Education Using K-Means Clustering.” </w:t>
          </w:r>
          <w:r w:rsidRPr="00864E21">
            <w:rPr>
              <w:i/>
              <w:iCs/>
              <w:color w:val="000000"/>
            </w:rPr>
            <w:t>Information (Switzerland)</w:t>
          </w:r>
          <w:r w:rsidRPr="00864E21">
            <w:rPr>
              <w:color w:val="000000"/>
            </w:rPr>
            <w:t xml:space="preserve"> 13(2). doi:10.3390/info13020094.</w:t>
          </w:r>
        </w:p>
        <w:p w:rsidR="00864E21" w:rsidRPr="00864E21" w:rsidRDefault="00864E21" w:rsidP="00864E21">
          <w:pPr>
            <w:autoSpaceDE w:val="0"/>
            <w:autoSpaceDN w:val="0"/>
            <w:ind w:hanging="480"/>
            <w:jc w:val="both"/>
            <w:divId w:val="1783569713"/>
            <w:rPr>
              <w:color w:val="000000"/>
            </w:rPr>
          </w:pPr>
          <w:r w:rsidRPr="00864E21">
            <w:rPr>
              <w:color w:val="000000"/>
            </w:rPr>
            <w:t xml:space="preserve">Uddin, Md Ashraf, Md Alamin Talukder, Md Redwan Ahmed, Ansam Khraisat, Ammar Alazab, Md Manowarul Islam, Sunil Aryal, and Ferdaus Anam Jibon. 2024a. “Data-Driven Strategies for Digital Native Market Segmentation Using Clustering.” </w:t>
          </w:r>
          <w:r w:rsidRPr="00864E21">
            <w:rPr>
              <w:i/>
              <w:iCs/>
              <w:color w:val="000000"/>
            </w:rPr>
            <w:t>International Journal of Cognitive Computing in Engineering</w:t>
          </w:r>
          <w:r w:rsidRPr="00864E21">
            <w:rPr>
              <w:color w:val="000000"/>
            </w:rPr>
            <w:t xml:space="preserve"> 5: 178–91. doi:10.1016/j.ijcce.2024.04.002.</w:t>
          </w:r>
        </w:p>
        <w:p w:rsidR="00864E21" w:rsidRPr="00864E21" w:rsidRDefault="00864E21" w:rsidP="00864E21">
          <w:pPr>
            <w:autoSpaceDE w:val="0"/>
            <w:autoSpaceDN w:val="0"/>
            <w:ind w:hanging="480"/>
            <w:jc w:val="both"/>
            <w:divId w:val="1884442673"/>
            <w:rPr>
              <w:color w:val="000000"/>
            </w:rPr>
          </w:pPr>
          <w:r w:rsidRPr="00864E21">
            <w:rPr>
              <w:color w:val="000000"/>
            </w:rPr>
            <w:t xml:space="preserve">Uddin, Md Ashraf, Md Alamin Talukder, Md Redwan Ahmed, Ansam Khraisat, Ammar Alazab, Md Manowarul Islam, Sunil Aryal, and Ferdaus Anam Jibon. 2024b. “Data-Driven Strategies for Digital Native Market Segmentation Using Clustering.” </w:t>
          </w:r>
          <w:r w:rsidRPr="00864E21">
            <w:rPr>
              <w:i/>
              <w:iCs/>
              <w:color w:val="000000"/>
            </w:rPr>
            <w:t>International Journal of Cognitive Computing in Engineering</w:t>
          </w:r>
          <w:r w:rsidRPr="00864E21">
            <w:rPr>
              <w:color w:val="000000"/>
            </w:rPr>
            <w:t xml:space="preserve"> 5: 178–91. doi:10.1016/j.ijcce.2024.04.002.</w:t>
          </w:r>
        </w:p>
        <w:p w:rsidR="00864E21" w:rsidRPr="00864E21" w:rsidRDefault="00864E21" w:rsidP="00864E21">
          <w:pPr>
            <w:autoSpaceDE w:val="0"/>
            <w:autoSpaceDN w:val="0"/>
            <w:ind w:hanging="480"/>
            <w:jc w:val="both"/>
            <w:divId w:val="180245063"/>
            <w:rPr>
              <w:color w:val="000000"/>
            </w:rPr>
          </w:pPr>
          <w:r w:rsidRPr="00864E21">
            <w:rPr>
              <w:color w:val="000000"/>
            </w:rPr>
            <w:t xml:space="preserve">Vaswani, Ashish, Google Brain, Noam Shazeer, Niki Parmar, Jakob Uszkoreit, Llion Jones, Aidan N Gomez, Łukasz Kaiser, and Illia Polosukhin. </w:t>
          </w:r>
          <w:r w:rsidRPr="00864E21">
            <w:rPr>
              <w:i/>
              <w:iCs/>
              <w:color w:val="000000"/>
            </w:rPr>
            <w:t>Attention Is All You Need</w:t>
          </w:r>
          <w:r w:rsidRPr="00864E21">
            <w:rPr>
              <w:color w:val="000000"/>
            </w:rPr>
            <w:t>.</w:t>
          </w:r>
        </w:p>
        <w:p w:rsidR="00864E21" w:rsidRPr="00864E21" w:rsidRDefault="00864E21" w:rsidP="00864E21">
          <w:pPr>
            <w:autoSpaceDE w:val="0"/>
            <w:autoSpaceDN w:val="0"/>
            <w:ind w:hanging="480"/>
            <w:jc w:val="both"/>
            <w:divId w:val="523858961"/>
            <w:rPr>
              <w:color w:val="000000"/>
            </w:rPr>
          </w:pPr>
          <w:r w:rsidRPr="00864E21">
            <w:rPr>
              <w:color w:val="000000"/>
            </w:rPr>
            <w:t>Wei, Jason, Xuezhi Wang, Dale Schuurmans, Maarten Bosma, Brian Ichter, Fei Xia, Ed Chi, Quoc Le, and Denny Zhou. 2023. “Chain-of-Thought Prompting Elicits Reasoning in Large Language Models.” http://arxiv.org/abs/2201.11903.</w:t>
          </w:r>
        </w:p>
        <w:p w:rsidR="004A02B3" w:rsidRPr="00953938" w:rsidRDefault="00864E21" w:rsidP="004A02B3">
          <w:pPr>
            <w:pStyle w:val="Judul1"/>
            <w:spacing w:after="160" w:line="480" w:lineRule="auto"/>
            <w:jc w:val="left"/>
          </w:pPr>
          <w:r w:rsidRPr="00864E21">
            <w:t> </w:t>
          </w:r>
        </w:p>
      </w:sdtContent>
    </w:sdt>
    <w:p w:rsidR="00BC38AE" w:rsidRDefault="00BC38AE">
      <w:pPr>
        <w:ind w:left="720" w:hanging="720"/>
      </w:pPr>
      <w:bookmarkStart w:id="0" w:name="_GoBack"/>
      <w:bookmarkEnd w:id="0"/>
    </w:p>
    <w:sectPr w:rsidR="00BC38AE">
      <w:headerReference w:type="default" r:id="rId21"/>
      <w:footerReference w:type="default" r:id="rId22"/>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63D0" w:rsidRDefault="008863D0">
      <w:r>
        <w:separator/>
      </w:r>
    </w:p>
  </w:endnote>
  <w:endnote w:type="continuationSeparator" w:id="0">
    <w:p w:rsidR="008863D0" w:rsidRDefault="00886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12F" w:rsidRDefault="00C6412F">
    <w:pPr>
      <w:jc w:val="right"/>
    </w:pPr>
    <w:r>
      <w:fldChar w:fldCharType="begin"/>
    </w:r>
    <w:r>
      <w:instrText xml:space="preserve"> PAGE </w:instrText>
    </w:r>
    <w:r>
      <w:fldChar w:fldCharType="separate"/>
    </w:r>
    <w:r>
      <w:rPr>
        <w:noProof/>
      </w:rPr>
      <w:t>33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63D0" w:rsidRDefault="008863D0">
      <w:r>
        <w:separator/>
      </w:r>
    </w:p>
  </w:footnote>
  <w:footnote w:type="continuationSeparator" w:id="0">
    <w:p w:rsidR="008863D0" w:rsidRDefault="008863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12F" w:rsidRDefault="00C641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3"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4"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lvlOverride w:ilvl="0">
      <w:startOverride w:val="1"/>
    </w:lvlOverride>
  </w:num>
  <w:num w:numId="2">
    <w:abstractNumId w:val="3"/>
    <w:lvlOverride w:ilvl="0">
      <w:startOverride w:val="1"/>
    </w:lvlOverride>
  </w:num>
  <w:num w:numId="3">
    <w:abstractNumId w:val="3"/>
  </w:num>
  <w:num w:numId="4">
    <w:abstractNumId w:val="1"/>
  </w:num>
  <w:num w:numId="5">
    <w:abstractNumId w:val="0"/>
    <w:lvlOverride w:ilvl="0">
      <w:startOverride w:val="1"/>
    </w:lvlOverride>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B0F7E"/>
    <w:rsid w:val="000C4B15"/>
    <w:rsid w:val="000D6197"/>
    <w:rsid w:val="00121920"/>
    <w:rsid w:val="00192854"/>
    <w:rsid w:val="0019546D"/>
    <w:rsid w:val="00196C0B"/>
    <w:rsid w:val="001A4F6B"/>
    <w:rsid w:val="002316A4"/>
    <w:rsid w:val="00315A07"/>
    <w:rsid w:val="003D08B5"/>
    <w:rsid w:val="003F0C54"/>
    <w:rsid w:val="003F1F4A"/>
    <w:rsid w:val="00426B86"/>
    <w:rsid w:val="0044241A"/>
    <w:rsid w:val="00462B9A"/>
    <w:rsid w:val="004A02B3"/>
    <w:rsid w:val="004E0BC6"/>
    <w:rsid w:val="00552A36"/>
    <w:rsid w:val="00557DA6"/>
    <w:rsid w:val="005E222F"/>
    <w:rsid w:val="00602385"/>
    <w:rsid w:val="006B4AE2"/>
    <w:rsid w:val="006E7C70"/>
    <w:rsid w:val="00707891"/>
    <w:rsid w:val="007348B4"/>
    <w:rsid w:val="00762C37"/>
    <w:rsid w:val="007A5F01"/>
    <w:rsid w:val="007C1716"/>
    <w:rsid w:val="00864E21"/>
    <w:rsid w:val="008863D0"/>
    <w:rsid w:val="00894082"/>
    <w:rsid w:val="00953938"/>
    <w:rsid w:val="00971323"/>
    <w:rsid w:val="0098562B"/>
    <w:rsid w:val="009F1929"/>
    <w:rsid w:val="00A00A9C"/>
    <w:rsid w:val="00A01755"/>
    <w:rsid w:val="00A26624"/>
    <w:rsid w:val="00A54201"/>
    <w:rsid w:val="00A61404"/>
    <w:rsid w:val="00A8652C"/>
    <w:rsid w:val="00A9372B"/>
    <w:rsid w:val="00B17507"/>
    <w:rsid w:val="00B22584"/>
    <w:rsid w:val="00B30C86"/>
    <w:rsid w:val="00B826CA"/>
    <w:rsid w:val="00B8469E"/>
    <w:rsid w:val="00BA594A"/>
    <w:rsid w:val="00BC38AE"/>
    <w:rsid w:val="00C02299"/>
    <w:rsid w:val="00C048A1"/>
    <w:rsid w:val="00C25893"/>
    <w:rsid w:val="00C56195"/>
    <w:rsid w:val="00C6412F"/>
    <w:rsid w:val="00C80049"/>
    <w:rsid w:val="00CD6E2D"/>
    <w:rsid w:val="00D07E87"/>
    <w:rsid w:val="00D634D5"/>
    <w:rsid w:val="00DC6AE6"/>
    <w:rsid w:val="00E655B6"/>
    <w:rsid w:val="00E7398D"/>
    <w:rsid w:val="00EB55A7"/>
    <w:rsid w:val="00EE1873"/>
    <w:rsid w:val="00EE2722"/>
    <w:rsid w:val="00F24A86"/>
    <w:rsid w:val="00FB4563"/>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0531E0A"/>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29167E"/>
    <w:rsid w:val="0034215E"/>
    <w:rsid w:val="00455AD9"/>
    <w:rsid w:val="004E6847"/>
    <w:rsid w:val="00532588"/>
    <w:rsid w:val="00A67137"/>
    <w:rsid w:val="00C3540A"/>
    <w:rsid w:val="00D62A9F"/>
    <w:rsid w:val="00D80DA4"/>
    <w:rsid w:val="00EE33E2"/>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9195398393"/>
    <we:property name="MENDELEY_CITATIONS" value="[{&quot;citationID&quot;:&quot;MENDELEY_CITATION_03ed4be0-4547-41c7-abea-8791d7eb69fe&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9cc5498c-67a3-4d0d-b957-dae4be4731e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af9917a6-9b42-402f-9535-bf463cdc4c54&quot;,&quot;properties&quot;:{&quot;noteIndex&quot;:0},&quot;isEdited&quot;:false,&quot;manualOverride&quot;:{&quot;isManuallyOverridden&quot;:true,&quot;citeprocText&quot;:&quot;(El Said 2021a)&quot;,&quot;manualOverrideText&quot;:&quot;(El Said, 2021)&quot;},&quot;citationTag&quot;:&quot;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quot;,&quot;citationItems&quot;:[{&quot;id&quot;:&quot;93e62e0c-5260-390c-a680-45700afff26d&quot;,&quot;itemData&quot;:{&quot;type&quot;:&quot;article-journal&quot;,&quot;id&quot;:&quot;93e62e0c-5260-390c-a680-45700afff26d&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47a1d78e-680e-4eb8-8f95-dff38753a3bf&quot;,&quot;properties&quot;:{&quot;noteIndex&quot;:0},&quot;isEdited&quot;:false,&quot;manualOverride&quot;:{&quot;isManuallyOverridden&quot;:false,&quot;citeprocText&quot;:&quot;(Cahyadi et al. 2022)&quot;,&quot;manualOverrideText&quot;:&quot;&quot;},&quot;citationTag&quot;:&quot;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37ca7035-0435-44e2-802a-2569f77be291&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MzdjYTcwMzUtMDQzNS00NGUyLTgwMmEtMjU2OWY3N2JlMjkx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false,&quot;citeprocText&quot;:&quot;(Cristóbal Romero 2000)&quot;,&quot;manualOverrideText&quot;:&quot;&quot;},&quot;citationTag&quot;:&quot;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false,&quot;citeprocText&quot;:&quot;(Devlin et al. n.d.)&quot;,&quot;manualOverrideText&quot;:&quot;&quot;},&quot;citationTag&quot;:&quot;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3)&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0d3e6826-4141-4140-a639-afd9cd447657&quot;,&quot;properties&quot;:{&quot;noteIndex&quot;:0},&quot;isEdited&quot;:false,&quot;manualOverride&quot;:{&quot;isManuallyOverridden&quot;:true,&quot;citeprocText&quot;:&quot;(Aristovnik et al. 2021; Purcell and Lumbreras 2021)&quot;,&quot;manualOverrideText&quot;:&quot;(Aristovnik et al. 2021)&quot;},&quot;citationTag&quot;:&quot;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b64ee0a7-9d40-43ee-a5d6-e8d7b6e67c79&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2c5b27c6-db79-464c-bee2-8556beaa7cb9&quot;,&quot;properties&quot;:{&quot;noteIndex&quot;:0},&quot;isEdited&quot;:false,&quot;manualOverride&quot;:{&quot;isManuallyOverridden&quot;:true,&quot;citeprocText&quot;:&quot;(El Said 2021b)&quot;,&quot;manualOverrideText&quot;:&quot;El Said (2021)&quot;},&quot;citationTag&quot;:&quot;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84c3de7a-a560-4252-aa7a-faf905246c38&quot;,&quot;properties&quot;:{&quot;noteIndex&quot;:0},&quot;isEdited&quot;:false,&quot;manualOverride&quot;:{&quot;isManuallyOverridden&quot;:true,&quot;citeprocText&quot;:&quot;(Cahyadi et al. 2022)&quot;,&quot;manualOverrideText&quot;:&quot;Cahyadi et al. (2022)&quot;},&quot;citationTag&quot;:&quot;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c043b2e-1698-4ad4-a2ae-89b64377485c&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WMwNDNiMmUtMTY5OC00YWQ0LWEyYWUtODliNjQzNzc0ODVj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b22c4413-a5c4-42b6-8888-7bab99c8cba3&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jIyYzQ0MTMtYTVjNC00MmI2LTg4ODgtN2JhYjk5YzhjYmEz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9b26a4d0-51d8-4791-9f39-6cf2395e1b6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346f00c1-13a9-49ed-8cd3-3a0275ecc848&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1d5ef0eb-0875-49a2-b4c6-bdfa3456b42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08ee0089-914c-4663-855b-505f6bcb9a36&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0eccfa9b-24f0-4f60-9d5b-0d443eedece8&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b22637fa-ebce-4389-814f-5dbcf11eb0e7&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455ae859-7e19-4da4-8446-2811379d84dc&quot;,&quot;properties&quot;:{&quot;noteIndex&quot;:0},&quot;isEdited&quot;:false,&quot;manualOverride&quot;:{&quot;isManuallyOverridden&quot;:false,&quot;citeprocText&quot;:&quot;(El Said 2021b)&quot;,&quot;manualOverrideText&quot;:&quot;&quot;},&quot;citationTag&quot;:&quot;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0c3d9523-0c4b-454c-ac1b-f63a0feae434&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false,&quot;citeprocText&quot;:&quot;(Parker et al. 2025b)&quot;,&quot;manualOverrideText&quot;:&quot;&quot;},&quot;citationTag&quot;:&quot;MENDELEY_CITATION_v3_eyJjaXRhdGlvbklEIjoiTUVOREVMRVlfQ0lUQVRJT05fZDAyNzllZjktMTU3Zi00YzIxLWE5MjQtOTJjNGY3ZTRmOGU5IiwicHJvcGVydGllcyI6eyJub3RlSW5kZXgiOjB9LCJpc0VkaXRlZCI6ZmFsc2UsIm1hbnVhbE92ZXJyaWRlIjp7ImlzTWFudWFsbHlPdmVycmlkZGVuIjpmYWxzZSwiY2l0ZXByb2NUZXh0IjoiKFBhcmtlciBldCBhbC4gMjAyNWIpIiwibWFudWFsT3ZlcnJpZGVUZXh0IjoiIn0sImNpdGF0aW9uSXRlbXMiOlt7ImlkIjoiNzg4MzZlODYtZTJjMy0zNDM2LWFiNDgtODI4OWZlYTdiZWI3IiwiaXRlbURhdGEiOnsidHlwZSI6ImFydGljbGUtam91cm5hbCIsImlkIjoiNzg4MzZlODYtZTJjMy0zNDM2LWFiNDgtODI4OWZlYTdiZWI3IiwidGl0bGUiOiJBIExhcmdlIExhbmd1YWdlIE1vZGVsIEFwcHJvYWNoIHRvIEVkdWNhdGlvbmFsIFN1cnZleSBGZWVkYmFjayBBbmFseXNpcyIsImF1dGhvciI6W3siZmFtaWx5IjoiUGFya2VyIiwiZ2l2ZW4iOiJNaWNoYWVsIEouIiwicGFyc2UtbmFtZXMiOmZhbHNlLCJkcm9wcGluZy1wYXJ0aWNsZSI6IiIsIm5vbi1kcm9wcGluZy1wYXJ0aWNsZSI6IiJ9LHsiZmFtaWx5IjoiQW5kZXJzb24iLCJnaXZlbiI6IkNhaXRsaW4iLCJwYXJzZS1uYW1lcyI6ZmFsc2UsImRyb3BwaW5nLXBhcnRpY2xlIjoiIiwibm9uLWRyb3BwaW5nLXBhcnRpY2xlIjoiIn0seyJmYW1pbHkiOiJTdG9uZSIsImdpdmVuIjoiQ2xhaXJlIiwicGFyc2UtbmFtZXMiOmZhbHNlLCJkcm9wcGluZy1wYXJ0aWNsZSI6IiIsIm5vbi1kcm9wcGluZy1wYXJ0aWNsZSI6IiJ9LHsiZmFtaWx5IjoiT2giLCJnaXZlbiI6IlllYSBSaW0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NC0wMDQxNC0wIiwiSVNTTiI6IjE1NjA0MzA2IiwiaXNzdWVkIjp7ImRhdGUtcGFydHMiOltbMjAyNSw2LDFdXX0sInBhZ2UiOiI0NDQtNDgxIiwiYWJzdHJhY3QiOiJUaGlzIHBhcGVyIGFzc2Vzc2VzIHRoZSBwb3RlbnRpYWwgZm9yIHRoZSBsYXJnZSBsYW5ndWFnZSBtb2RlbHMgKExMTXMpIEdQVC00IGFuZCBHUFQtMy41IHRvIGFpZCBpbiBkZXJpdmluZyBpbnNpZ2h0IGZyb20gZWR1Y2F0aW9uIGZlZWRiYWNrIHN1cnZleXMuIEV4cGxvcmF0aW9uIG9mIExMTSB1c2UgY2FzZXMgaW4gZWR1Y2F0aW9uIGhhcyBmb2N1c2VkIG9uIHRlYWNoaW5nIGFuZCBsZWFybmluZywgd2l0aCBsZXNzIGV4cGxvcmF0aW9uIG9mIGNhcGFiaWxpdGllcyBpbiBlZHVjYXRpb24gZmVlZGJhY2sgYW5hbHlzaXMuIFN1cnZleSBhbmFseXNpcyBpbiBlZHVjYXRpb24gaW52b2x2ZXMgZ29hbHMgc3VjaCBhcyBmaW5kaW5nIGdhcHMgaW4gY3VycmljdWxhIG9yIGV2YWx1YXRpbmcgdGVhY2hlcnMsIG9mdGVuIHJlcXVpcmluZyB0aW1lLWNvbnN1bWluZyBtYW51YWwgcHJvY2Vzc2luZyBvZiB0ZXh0dWFsIHJlc3BvbnNlcy4gTExNcyBoYXZlIHRoZSBwb3RlbnRpYWwgdG8gcHJvdmlkZSBhIGZsZXhpYmxlIG1lYW5zIG9mIGFjaGlldmluZyB0aGVzZSBnb2FscyB3aXRob3V0IHNwZWNpYWxpemVkIG1hY2hpbmUgbGVhcm5pbmcgbW9kZWxzIG9yIGZpbmUtdHVuaW5nLiBXZSBkZW1vbnN0cmF0ZSBhIHZlcnNhdGlsZSBhcHByb2FjaCB0byBzdWNoIGdvYWxzIGJ5IHRyZWF0aW5nIHRoZW0gYXMgc2VxdWVuY2VzIG9mIG5hdHVyYWwgbGFuZ3VhZ2UgcHJvY2Vzc2luZyAoTkxQKSB0YXNrcyBpbmNsdWRpbmcgY2xhc3NpZmljYXRpb24gKG11bHRpLWxhYmVsLCBtdWx0aS1jbGFzcywgYW5kIGJpbmFyeSksIGV4dHJhY3Rpb24sIHRoZW1hdGljIGFuYWx5c2lzLCBhbmQgc2VudGltZW50IGFuYWx5c2lzLCBlYWNoIHBlcmZvcm1lZCBieSBMTE0uIFdlIGFwcGx5IHRoZXNlIHdvcmtmbG93cyB0byBhIHJlYWwtd29ybGQgZGF0YXNldCBvZiAyNTAwIGVuZC1vZi1jb3Vyc2Ugc3VydmV5IGNvbW1lbnRzIGZyb20gYmlvbWVkaWNhbCBzY2llbmNlIGNvdXJzZXMsIGFuZCBldmFsdWF0ZSBhIHplcm8tc2hvdCBhcHByb2FjaCAoaS5lLiwgcmVxdWlyaW5nIG5vIGV4YW1wbGVzIG9yIGxhYmVsZWQgdHJhaW5pbmcgZGF0YSkgYWNyb3NzIGFsbCB0YXNrcywgcmVmbGVjdGluZyBlZHVjYXRpb24gc2V0dGluZ3MsIHdoZXJlIGxhYmVsZWQgZGF0YSBpcyBvZnRlbiBzY2FyY2UuIEJ5IGFwcGx5aW5nIGVmZmVjdGl2ZSBwcm9tcHRpbmcgcHJhY3RpY2VzLCB3ZSBhY2hpZXZlIGh1bWFuLWxldmVsIHBlcmZvcm1hbmNlIG9uIG11bHRpcGxlIHRhc2tzIHdpdGggR1BULTQsIGVuYWJsaW5nIHdvcmtmbG93cyBuZWNlc3NhcnkgdG8gYWNoaWV2ZSB0eXBpY2FsIGdvYWxzLiBXZSBhbHNvIHNob3cgdGhlIHBvdGVudGlhbCBvZiBpbnNwZWN0aW5nIExMTXPigJkgY2hhaW4tb2YtdGhvdWdodCAoQ29UKSByZWFzb25pbmcgZm9yIHByb3ZpZGluZyBpbnNpZ2h0IHRoYXQgbWF5IGZvc3RlciBjb25maWRlbmNlIGluIHByYWN0aWNlLiBNb3Jlb3ZlciwgdGhpcyBzdHVkeSBmZWF0dXJlcyBkZXZlbG9wbWVudCBvZiBhIHZlcnNhdGlsZSBzZXQgb2YgY2xhc3NpZmljYXRpb24gY2F0ZWdvcmllcywgc3VpdGFibGUgZm9yIHZhcmlvdXMgY291cnNlIHR5cGVzIChvbmxpbmUsIGh5YnJpZCwgb3IgaW4tcGVyc29uKSBhbmQgYW1lbmFibGUgdG8gY3VzdG9taXphdGlvbi4gT3VyIHJlc3VsdHMgc3VnZ2VzdCB0aGF0IExMTXMgY2FuIGJlIHVzZWQgdG8gZGVyaXZlIGEgcmFuZ2Ugb2YgaW5zaWdodHMgZnJvbSBzdXJ2ZXkgdGV4dC4iLCJwdWJsaXNoZXIiOiJTcHJpbmdlciIsImlzc3VlIjoiMiIsInZvbHVtZSI6IjM1In0sImlzVGVtcG9yYXJ5IjpmYWxzZX1dfQ==&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2886D-C545-0949-874D-307D11C82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73</Pages>
  <Words>15171</Words>
  <Characters>86479</Characters>
  <Application>Microsoft Office Word</Application>
  <DocSecurity>0</DocSecurity>
  <Lines>720</Lines>
  <Paragraphs>202</Paragraphs>
  <ScaleCrop>false</ScaleCrop>
  <Company/>
  <LinksUpToDate>false</LinksUpToDate>
  <CharactersWithSpaces>101448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30</cp:revision>
  <dcterms:created xsi:type="dcterms:W3CDTF">2026-05-10T00:43:00Z</dcterms:created>
  <dcterms:modified xsi:type="dcterms:W3CDTF">2026-07-01T18:49:00Z</dcterms:modified>
</cp:coreProperties>
</file>