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BAB V</w:t>
      </w:r>
    </w:p>
    <w:p>
      <w:pPr>
        <w:jc w:val="center"/>
      </w:pPr>
      <w:r>
        <w:rPr>
          <w:rFonts w:ascii="Times New Roman" w:hAnsi="Times New Roman"/>
          <w:b/>
          <w:i w:val="0"/>
          <w:sz w:val="24"/>
        </w:rPr>
        <w:t>KESIMPULAN DAN SARAN</w:t>
      </w:r>
    </w:p>
    <w:p>
      <w:r>
        <w:rPr>
          <w:rFonts w:ascii="Times New Roman" w:hAnsi="Times New Roman"/>
          <w:b/>
          <w:i w:val="0"/>
          <w:sz w:val="24"/>
        </w:rPr>
        <w:t>5.1 Kesimpulan</w:t>
      </w:r>
    </w:p>
    <w:p>
      <w:pPr>
        <w:ind w:firstLine="720"/>
      </w:pPr>
      <w:r>
        <w:rPr>
          <w:rFonts w:ascii="Times New Roman" w:hAnsi="Times New Roman"/>
          <w:b w:val="0"/>
          <w:i w:val="0"/>
          <w:sz w:val="24"/>
        </w:rP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r>
        <w:rPr>
          <w:rFonts w:ascii="Times New Roman" w:hAnsi="Times New Roman"/>
          <w:b w:val="0"/>
          <w:i w:val="0"/>
          <w:sz w:val="24"/>
        </w:rPr>
        <w:t>1. Efektivitas Integrasi Segmentasi Probabilistik dan Ekstraksi Semantik</w:t>
        <w:br/>
        <w:t>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 optimal yang bervariasi antara 2 hingga 6 per periode (masing-masing 6, 6, 6, 5, 2, 3 untuk tahun 2019-2024), dengan konsolidasi segmen yang semakin homogen dari 6 klaster pada 2019 menjadi 2 klaster pada 2023. Nilai Silhouette Score yang dihasilkan (misalnya 0,0905 pada tahun 2023) berada dalam rentang yang bermakna untuk model Gaussian Mixture berdasarkan Saqr &amp; Lopez-Pernas (2024), yang mengonfirmasi bahwa tumpang tindih antar segmen dapat diukur secara eksak sebagai probabilitas posterior, bukan sekadar ketidakpastian. Hal ini membuktikan efektivitas metode GMM dalam memetakan probabilitas setiap pendaftar tanpa paksaan ke dalam satu kategori absolut, yang sebelumnya menjadi titik buta pada algoritma hard clustering seperti K-Means.</w:t>
      </w:r>
    </w:p>
    <w:p>
      <w:r>
        <w:rPr>
          <w:rFonts w:ascii="Times New Roman" w:hAnsi="Times New Roman"/>
          <w:b w:val="0"/>
          <w:i w:val="0"/>
          <w:sz w:val="24"/>
        </w:rPr>
        <w:t>2. Dinamika Perubahan Struktural Pendaftar (Structural Breaks)</w:t>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di mana dua transisi menunjukkan disrupsi paling ekstrem dengan ARI negatif. Pada transisi Baseline ke COVID Crisis (2019→2020), nilai ARI tercatat sebesar -0,0036, yang mengindikasikan terjadinya perombakan mendasar dalam preferensi pendaftar akibat pandemi. Selanjutnya, pada fase pemulihan akhir (2022→2023), kembali terjadi guncangan struktural dengan nilai ARI sebesar -0,0036, di mana dominasi program studi vokasional dan teknologi informasi mengubah konfigurasi demografi pendaftar secara fundamental. Temuan bahwa setiap tahun terjadi perubahan struktural menggarisbawahi urgensi otomasi segmentasi tahunan, karena pola historis tahun sebelumnya belum tentu relevan untuk digunakan pada tahun ajaran berikutnya.</w:t>
      </w:r>
    </w:p>
    <w:p>
      <w:r>
        <w:rPr>
          <w:rFonts w:ascii="Times New Roman" w:hAnsi="Times New Roman"/>
          <w:b w:val="0"/>
          <w:i w:val="0"/>
          <w:sz w:val="24"/>
        </w:rPr>
        <w:t>3. Implikasi Praktis Hybrid Cognitive Pipeline untuk Kebijakan Rekrutmen</w:t>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
        <w:rPr>
          <w:rFonts w:ascii="Times New Roman" w:hAnsi="Times New Roman"/>
          <w:b/>
          <w:i w:val="0"/>
          <w:sz w:val="24"/>
        </w:rPr>
        <w:t>5.2 Saran</w:t>
      </w:r>
    </w:p>
    <w:p>
      <w:pPr>
        <w:ind w:firstLine="720"/>
      </w:pPr>
      <w:r>
        <w:rPr>
          <w:rFonts w:ascii="Times New Roman" w:hAnsi="Times New Roman"/>
          <w:b w:val="0"/>
          <w:i w:val="0"/>
          <w:sz w:val="24"/>
        </w:rP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
        <w:rPr>
          <w:rFonts w:ascii="Times New Roman" w:hAnsi="Times New Roman"/>
          <w:b w:val="0"/>
          <w:i w:val="0"/>
          <w:sz w:val="24"/>
        </w:rPr>
        <w:t>1. Saran Praktis (Bagi Manajemen ITSNU Pekalongan)</w:t>
        <w:br/>
        <w:t>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
        <w:rPr>
          <w:rFonts w:ascii="Times New Roman" w:hAnsi="Times New Roman"/>
          <w:b w:val="0"/>
          <w:i w:val="0"/>
          <w:sz w:val="24"/>
        </w:rPr>
        <w:t>2. Saran Akademis (Bagi Penelitian Lanjutan)</w:t>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