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2EFF" w:rsidRDefault="00554303">
      <w:pPr>
        <w:spacing w:after="120"/>
        <w:jc w:val="both"/>
      </w:pPr>
      <w:r>
        <w:rPr>
          <w:b/>
          <w:sz w:val="24"/>
        </w:rPr>
        <w:t>SEGMENTASI PROBABILISTIK MAHASISWA MENGGUNAKAN GMM DAN OTOMASI LLM UNTUK OPTIMALISASI REKRUTMEN</w:t>
      </w:r>
    </w:p>
    <w:p w:rsidR="00B12EFF" w:rsidRDefault="00554303">
      <w:pPr>
        <w:spacing w:after="60" w:line="276" w:lineRule="auto"/>
        <w:jc w:val="both"/>
      </w:pPr>
      <w:r>
        <w:rPr>
          <w:b/>
          <w:sz w:val="22"/>
        </w:rPr>
        <w:t>1) Mujibul Hakim, 2) Dr. Eri Zuliarso, M.Kom., 3) Dr. Eka Ardhianto, S.Kom., M.Cs., MTA., MCF.</w:t>
      </w:r>
    </w:p>
    <w:p w:rsidR="00B12EFF" w:rsidRDefault="00554303">
      <w:pPr>
        <w:spacing w:after="60" w:line="276" w:lineRule="auto"/>
        <w:jc w:val="both"/>
      </w:pPr>
      <w:r>
        <w:t xml:space="preserve">1,2,3) Program Studi Magister Teknologi Informasi, Fakultas </w:t>
      </w:r>
      <w:r>
        <w:t>Teknologi Informasi dan Industri, Universitas Stikubank (UNISBANK) Semarang</w:t>
      </w:r>
    </w:p>
    <w:p w:rsidR="00B12EFF" w:rsidRDefault="00554303">
      <w:pPr>
        <w:spacing w:after="60" w:line="276" w:lineRule="auto"/>
        <w:jc w:val="both"/>
      </w:pPr>
      <w:r>
        <w:t>Jl. Tri Lomba Juang No. 1, Semarang – Jawa Tengah – Indonesia</w:t>
      </w:r>
    </w:p>
    <w:p w:rsidR="00B12EFF" w:rsidRDefault="00554303">
      <w:pPr>
        <w:spacing w:after="240" w:line="276" w:lineRule="auto"/>
        <w:jc w:val="center"/>
      </w:pPr>
      <w:r>
        <w:rPr>
          <w:i/>
        </w:rPr>
        <w:t>E-mail: mujibulhakim@gmail.com</w:t>
      </w:r>
    </w:p>
    <w:p w:rsidR="00B12EFF" w:rsidRDefault="00554303">
      <w:pPr>
        <w:spacing w:after="60"/>
        <w:jc w:val="left"/>
      </w:pPr>
      <w:r>
        <w:rPr>
          <w:b/>
        </w:rPr>
        <w:t>ABSTRAK</w:t>
      </w:r>
    </w:p>
    <w:p w:rsidR="00B12EFF" w:rsidRDefault="00554303">
      <w:pPr>
        <w:spacing w:after="60"/>
        <w:jc w:val="both"/>
      </w:pPr>
      <w:r>
        <w:t>Perguruan tinggi di Indonesia menghadapi tekanan kompetitif yang semakin intens</w:t>
      </w:r>
      <w:r>
        <w:t>if dalam menarik calon mahasiswa berkualitas. Institut Teknologi dan Sains Nahdlatul Ulama (ITSNU) Pekalongan mengalami tren pendaftar non-linear selama periode 2019-2024: dari 146 pendaftar pada 2019 (prapandemi), meningkat menjadi 274 (2020) dan 301 (202</w:t>
      </w:r>
      <w:r>
        <w:t xml:space="preserve">1) di masa pandemi, kemudian mencapai puncak 680 pendaftar pada 2023 dengan total 2.362 pendaftar. Penelitian ini bertujuan menganalisis karakteristik segmentasi probabilistik calon mahasiswa menggunakan Gaussian Mixture Model (GMM) dengan ekstraksi fitur </w:t>
      </w:r>
      <w:r>
        <w:t xml:space="preserve">semantik IndoBERT pada enam periode akademik 2019-2024. Pipeline penelitian mengintegrasikan empat komponen: (1) ekstraksi fitur semantik IndoBERT berdimensi 768; (2) reduksi dimensi PCA; (3) pemodelan GMM per periode; dan (4) otomasi analisis menggunakan </w:t>
      </w:r>
      <w:r>
        <w:t>Hybrid Cognitive Pipeline berbasis Llama 3.2. Hasil menunjukkan bahwa pipeline berhasil mengidentifikasi 2-6 klaster per periode (K optimal bervariasi) dengan structural break pada seluruh 5 transisi, terutama 2019-2020 (ARI = -0,0036) dan 2022-2023 (ARI =</w:t>
      </w:r>
      <w:r>
        <w:t xml:space="preserve"> -0,0036). Integrasi GMM-IndoBERT-LLM terbukti efektif mengubah data kuantitatif kompleks menjadi narasi strategis yang dapat ditindaklanjuti untuk optimalisasi rekrutmen.</w:t>
      </w:r>
    </w:p>
    <w:p w:rsidR="00B12EFF" w:rsidRDefault="00554303">
      <w:pPr>
        <w:spacing w:after="120"/>
        <w:jc w:val="both"/>
      </w:pPr>
      <w:r>
        <w:rPr>
          <w:b/>
        </w:rPr>
        <w:t xml:space="preserve">Kata Kunci: </w:t>
      </w:r>
      <w:r>
        <w:t>segmentasi; GMM; IndoBERT; LLM; rekrutmen</w:t>
      </w:r>
    </w:p>
    <w:p w:rsidR="00B12EFF" w:rsidRDefault="00554303">
      <w:pPr>
        <w:spacing w:after="60"/>
        <w:jc w:val="left"/>
      </w:pPr>
      <w:r>
        <w:rPr>
          <w:b/>
          <w:i/>
        </w:rPr>
        <w:t>ABSTRACT</w:t>
      </w:r>
    </w:p>
    <w:p w:rsidR="00B12EFF" w:rsidRDefault="00554303">
      <w:pPr>
        <w:spacing w:after="60"/>
        <w:jc w:val="both"/>
      </w:pPr>
      <w:r>
        <w:rPr>
          <w:i/>
        </w:rPr>
        <w:t>Indonesian private hi</w:t>
      </w:r>
      <w:r>
        <w:rPr>
          <w:i/>
        </w:rPr>
        <w:t>gher education institutions face intense competition for student recruitment, exemplified by the non-linear applicant trends at Institut Teknologi dan Sains Nahdlatul Ulama (ITSNU) Pekalongan from 2019-2024: from 146 applicants in 2019 (pre-pandemic) incre</w:t>
      </w:r>
      <w:r>
        <w:rPr>
          <w:i/>
        </w:rPr>
        <w:t>asing to 274 (2020) and 301 (2021) during the pandemic, reaching a peak of 680 applicants in 2023, with a total of 2,362 applicants. This study aims to analyze the probabilistic segmentation characteristics of prospective students using Gaussian Mixture Mo</w:t>
      </w:r>
      <w:r>
        <w:rPr>
          <w:i/>
        </w:rPr>
        <w:t>del (GMM) with IndoBERT semantic feature extraction across six academic periods from 2019 to 2024. The research pipeline integrates four components: (1) 768-dimensional IndoBERT semantic feature extraction; (2) PCA dimensionality reduction; (3) period-wise</w:t>
      </w:r>
      <w:r>
        <w:rPr>
          <w:i/>
        </w:rPr>
        <w:t xml:space="preserve"> GMM modeling; and (4) automation using a Hybrid Cognitive Pipeline based on Llama 3.2. Results demonstrate that the pipeline successfully identified 2-6 clusters per period (varying optimal K) with structural breaks across all 5 transitions, notably 2019-</w:t>
      </w:r>
      <w:r>
        <w:rPr>
          <w:i/>
        </w:rPr>
        <w:t>2020 (ARI = -0.0036) and 2022-2023 (ARI = -0.0036). The integration of GMM-IndoBERT-LLM proved effective in transforming complex quantitative data into actionable strategic narratives for recruitment optimization.</w:t>
      </w:r>
    </w:p>
    <w:p w:rsidR="00B12EFF" w:rsidRDefault="00554303">
      <w:pPr>
        <w:spacing w:after="240"/>
        <w:jc w:val="both"/>
      </w:pPr>
      <w:r>
        <w:rPr>
          <w:b/>
          <w:i/>
        </w:rPr>
        <w:t xml:space="preserve">Keyword: </w:t>
      </w:r>
      <w:r>
        <w:rPr>
          <w:i/>
        </w:rPr>
        <w:t>segmentation; GMM; IndoBERT; LLM;</w:t>
      </w:r>
      <w:r>
        <w:rPr>
          <w:i/>
        </w:rPr>
        <w:t xml:space="preserve"> recruitment</w:t>
      </w:r>
    </w:p>
    <w:p w:rsidR="00B12EFF" w:rsidRDefault="00B12EFF">
      <w:pPr>
        <w:sectPr w:rsidR="00B12EFF">
          <w:type w:val="continuous"/>
          <w:pgSz w:w="11906" w:h="16838"/>
          <w:pgMar w:top="1701" w:right="1130" w:bottom="1247" w:left="1418" w:header="0" w:footer="504" w:gutter="0"/>
          <w:cols w:space="720"/>
        </w:sectPr>
      </w:pPr>
    </w:p>
    <w:p w:rsidR="00B12EFF" w:rsidRDefault="00554303">
      <w:pPr>
        <w:pStyle w:val="Judul3"/>
        <w:spacing w:line="276" w:lineRule="auto"/>
      </w:pPr>
      <w:r>
        <w:rPr>
          <w:sz w:val="24"/>
          <w:rFonts w:ascii="Times New Roman" w:hAnsi="Times New Roman"/>
          <w:b/>
          <w:smallCaps/>
        </w:rPr>
        <w:lastRenderedPageBreak/>
        <w:t>PENDAHULUAN</w:t>
      </w:r>
    </w:p>
    <w:p w:rsidR="00B12EFF" w:rsidRDefault="00554303">
      <w:pPr>
        <w:spacing w:after="60" w:line="276" w:lineRule="auto"/>
        <w:jc w:val="both"/>
      </w:pPr>
      <w:r>
        <w:rPr>
          <w:sz w:val="24"/>
        </w:rPr>
        <w:t>Perguruan tinggi di Indonesia menghadapi tekanan kompetitif yang semakin intensif dalam menarik calon mahasiswa berkualitas, terutama institusi swasta yang mengandalkan penerimaan mahasiswa baru sebagai sumber u</w:t>
      </w:r>
      <w:r>
        <w:rPr>
          <w:sz w:val="24"/>
        </w:rPr>
        <w:t>tama pendanaan operasional. Institut Teknologi dan Sains Nahdlatul Ulama (ITSNU) Pekalongan, sebagai perguruan tinggi swasta berbasis nilai keislaman di kawasan Pantai Utara Jawa Tengah, mengalami dinamika ini secara langsung. Data Penerimaan Mahasiswa Bar</w:t>
      </w:r>
      <w:r>
        <w:rPr>
          <w:sz w:val="24"/>
        </w:rPr>
        <w:t>u (PMB) ITSNU Pekalongan mencatat tren yang menarik selama enam periode 2019 sampai 2024: dari 146 pendaftar pada 2019 (prapandemi), meningkat di masa pandemi menjadi 274 (2020) dan 301 (2021), kemudian melesat pada fase pemulihan hingga puncak 680 pendaft</w:t>
      </w:r>
      <w:r>
        <w:rPr>
          <w:sz w:val="24"/>
        </w:rPr>
        <w:t>ar pada 2023, dengan total keseluruhan 2.362 pendaftar. Pola yang tidak linear ini mengindikasikan adanya perubahan mendasar dalam komposisi segmen calon mahasiswa yang belum dipahami secara analitis [1].</w:t>
      </w:r>
    </w:p>
    <w:p w:rsidR="00B12EFF" w:rsidRDefault="00554303">
      <w:pPr>
        <w:spacing w:after="60" w:line="276" w:lineRule="auto"/>
        <w:jc w:val="both"/>
      </w:pPr>
      <w:r>
        <w:rPr>
          <w:sz w:val="24"/>
        </w:rPr>
        <w:t>Aristovnik et al. (2021) mendokumentasikan bahwa pa</w:t>
      </w:r>
      <w:r>
        <w:rPr>
          <w:sz w:val="24"/>
        </w:rPr>
        <w:t>ndemi COVID-19 secara fundamental mengubah kehidupan mahasiswa perguruan tinggi di seluruh dunia, sekaligus mengekspos fragilitas institusi pendidikan tinggi secara global. El Said et al. (2021) menemukan bahwa COVID-19 membentuk ulang cara penyampaian pen</w:t>
      </w:r>
      <w:r>
        <w:rPr>
          <w:sz w:val="24"/>
        </w:rPr>
        <w:t>didikan di negara berkembang secara struktural dan permanen. Di Indonesia, Cahyadi et al. (2021) mengevaluasi implementasi emergency remote teaching dan mengidentifikasi kesenjangan kesiapan digital perguruan tinggi yang turut mengubah lanskap preferensi c</w:t>
      </w:r>
      <w:r>
        <w:rPr>
          <w:sz w:val="24"/>
        </w:rPr>
        <w:t>alon mahasiswa secara struktural. Kondisi ini menggarisbawahi urgensi sistem analisis rekrutmen yang prediktif [2].</w:t>
      </w:r>
    </w:p>
    <w:p w:rsidR="00B12EFF" w:rsidRDefault="00554303">
      <w:pPr>
        <w:spacing w:after="60" w:line="276" w:lineRule="auto"/>
        <w:jc w:val="both"/>
      </w:pPr>
      <w:r>
        <w:rPr>
          <w:sz w:val="24"/>
        </w:rPr>
        <w:t>Tantangan metodologis utama adalah data PMB yang bersifat dominan kategorikal dan tekstual: nama, sekolah, alamat, program studi, dan jalur masuk. Scrucca et al. (2024) [5] mendemonstrasikan bahwa Gaussian Mixture Model (GMM) sebagai model-based clustering mampu mengungkap heterogenitas dalam data pendidikan jauh lebih baik dibandingkan metode berbasis jarak konvensional. Koto et al. (2020) [4] mengembangkan IndoBERT yang mampu mengekstraksi makna semantik dari teks Bahasa Indonesia, sementara Devlin et al. (2019) [6] memperkenalkan arsitektur BERT yang menjadi basis pengembangan model bahasa, dan Subakti et al. (2022) [3] membuktikan bahwa representasi BERT mengungguli TF-IDF dalam 28 dari 36 metrik klasterisasi teks.</w:t>
      </w:r>
      <w:r>
        <w:rPr>
          <w:sz w:val="24"/>
        </w:rPr>
      </w:r>
      <w:r>
        <w:rPr>
          <w:sz w:val="24"/>
        </w:rPr>
      </w:r>
    </w:p>
    <w:p w:rsidR="00B12EFF" w:rsidRDefault="00554303">
      <w:pPr>
        <w:spacing w:after="60" w:line="276" w:lineRule="auto"/>
        <w:jc w:val="both"/>
      </w:pPr>
      <w:r>
        <w:rPr>
          <w:sz w:val="24"/>
        </w:rPr>
        <w:t>Penelitian ini mengajukan tiga hipotesis yang diuji secara empiris. Hipotesis 1 (H1): ARI [12] &lt; 0,30 pada transisi 2019→2020 sebagai indikator structural break yang dikonfirmasi secara empiris. Hipotesis 2 (H2): Cosine similarity rata-rata antar entitas identik &gt; 0,70 pada semua transisi, membuktikan stabilitas representasi IndoBERT [4]. Hipotesis 3 (H3): GMM menghasilkan posterior probability yang mendukung otomasi LLM dan profil segmen yang lebih realistis dibandingkan K-Means untuk data pendaftar perguruan tinggi [5].</w:t>
      </w:r>
      <w:r>
        <w:rPr>
          <w:sz w:val="24"/>
        </w:rPr>
      </w:r>
      <w:r>
        <w:rPr>
          <w:sz w:val="24"/>
        </w:rPr>
      </w:r>
    </w:p>
    <w:p w:rsidR="00B12EFF" w:rsidRDefault="00554303">
      <w:pPr>
        <w:spacing w:after="60" w:line="276" w:lineRule="auto"/>
        <w:jc w:val="both"/>
      </w:pPr>
      <w:r>
        <w:rPr>
          <w:sz w:val="24"/>
        </w:rPr>
        <w:t>Tujuan penelitian ini adalah: (1) menganalisis karakteristik segmentasi probabilistik GMM berbasis IndoBERT pada enam periode 2019-2024; (2) mengukur stabilitas klaster dan mendeteksi structural break melalui ARI [12], Jaccard, centroid drift, dan reasoning kausal LLM; (3) membangun sistem otomasi LLM hybrid yang menghasilkan persona klaster, reasoning kausal, ringkasan naratif, dan personalisasi rekrutmen berbasis proyeksi 2025; dan (4) menguji validitas hasil otomasi analisis LLM melalui perbandingan dengan pakar praktisi data sains dan rekrutmen [7].</w:t>
      </w:r>
      <w:r>
        <w:rPr>
          <w:sz w:val="24"/>
        </w:rPr>
      </w:r>
      <w:r>
        <w:rPr>
          <w:sz w:val="24"/>
        </w:rPr>
      </w:r>
    </w:p>
    <w:p w:rsidR="00B12EFF" w:rsidRDefault="00554303">
      <w:pPr>
        <w:spacing w:after="60" w:line="276" w:lineRule="auto"/>
        <w:jc w:val="both"/>
      </w:pPr>
      <w:r>
        <w:rPr>
          <w:sz w:val="24"/>
        </w:rPr>
        <w:t>Manfaat teoretis meliputi kontribusi pada educational data mining dengan kerangka hybrid IndoBERT-GMM-LLM untuk segmentasi temporal data pendidikan dominan tekstual-kategorikal. Manfaat praktis bagi ITSNU Pekalongan meliputi sistem segmentasi otomatis tahunan, laporan naratif siap manajemen, peta prioritas segmen rekrutmen, dan panduan personalisasi komunikasi per segmen berbasis data aktual [7].</w:t>
      </w:r>
      <w:r>
        <w:rPr>
          <w:sz w:val="24"/>
        </w:rPr>
      </w:r>
      <w:r>
        <w:rPr>
          <w:sz w:val="24"/>
        </w:rPr>
      </w:r>
    </w:p>
    <w:p w:rsidR="00B12EFF" w:rsidRDefault="00554303">
      <w:pPr>
        <w:pStyle w:val="Judul3"/>
        <w:spacing w:before="360" w:line="276" w:lineRule="auto"/>
      </w:pPr>
      <w:r>
        <w:rPr>
          <w:sz w:val="24"/>
          <w:rFonts w:ascii="Times New Roman" w:hAnsi="Times New Roman"/>
          <w:b/>
          <w:smallCaps/>
        </w:rPr>
        <w:t>METODE</w:t>
      </w:r>
    </w:p>
    <w:p w:rsidR="00B12EFF" w:rsidRDefault="00554303">
      <w:pPr>
        <w:spacing w:after="60" w:line="276" w:lineRule="auto"/>
        <w:jc w:val="both"/>
      </w:pPr>
      <w:r>
        <w:rPr>
          <w:sz w:val="24"/>
        </w:rPr>
        <w:t>Penelitian ini menggunakan pendekatan Research and Development (R&amp;D) dengan metode kuantitatif berbasis data mining time series menggunakan kerangka CRISP-DM sepuluh tahapan pada enam periode 2019-2024. Data sekunder calon mahasiswa ITSNU Pekalongan diperoleh dari sistem informasi akademik institusi berdasarkan izin resmi. Anonimisasi data individu diterapkan: nama digunakan sebagai fitur semantik agregat IndoBERT, tidak dipublikasikan secara individual dalam laporan [8].</w:t>
      </w:r>
      <w:r>
        <w:rPr>
          <w:sz w:val="24"/>
        </w:rPr>
      </w:r>
      <w:r>
        <w:rPr>
          <w:sz w:val="24"/>
        </w:rPr>
      </w:r>
    </w:p>
    <w:p w:rsidR="00B12EFF" w:rsidRDefault="00554303">
      <w:pPr>
        <w:spacing w:after="60" w:line="276" w:lineRule="auto"/>
        <w:jc w:val="both"/>
      </w:pPr>
      <w:r>
        <w:rPr>
          <w:sz w:val="24"/>
        </w:rPr>
        <w:t>Lima subproses otomasi batch diterapkan identik pada keenam periode untuk menjamin konsistensi dan reprodusibilitas pipeline. Subproses A berupa text preprocessing otomatis: case folding, cleaning, dan normalisasi singkatan bahasa Indonesia. Subproses B berupa otomasi ekstraksi fitur semantik menggunakan model IndoBERT-base-p1 [4] via HuggingFace Transformers dengan mean pooling [10] pada last hidden states, menghasilkan vektor 768 dimensi per observasi. Subproses C berupa geocoding koordinat geospasial menggunakan GeoPy/Nominatim API. Subproses D berupa encoding variabel kategorikal menggunakan LabelEncoder. Subproses E berupa integrasi 773 dimensi dan standardisasi menggunakan StandardScaler (Z-score normalization) [9].</w:t>
      </w:r>
      <w:r>
        <w:rPr>
          <w:sz w:val="24"/>
        </w:rPr>
      </w:r>
      <w:r>
        <w:rPr>
          <w:sz w:val="24"/>
        </w:rPr>
      </w:r>
      <w:r>
        <w:rPr>
          <w:sz w:val="24"/>
        </w:rPr>
      </w:r>
    </w:p>
    <w:p w:rsidR="00B12EFF" w:rsidRDefault="00554303">
      <w:pPr>
        <w:spacing w:after="60" w:line="276" w:lineRule="auto"/>
        <w:jc w:val="both"/>
      </w:pPr>
      <w:r>
        <w:rPr>
          <w:sz w:val="24"/>
        </w:rPr>
        <w:t>PCA dilakukan dengan strategi fit pada data 2019 dan transformasi pada seluruh periode untuk memastikan semua periode berada dalam ruang fitur yang sama. Reduksi dimensi dari 773 menjadi jumlah komponen yang menjelaskan 95% variansi data, sehingga memungkinkan visualisasi klaster dalam ruang PCA 2D [11].</w:t>
      </w:r>
      <w:r>
        <w:rPr>
          <w:sz w:val="24"/>
        </w:rPr>
      </w:r>
    </w:p>
    <w:p w:rsidR="00B12EFF" w:rsidRDefault="00554303">
      <w:pPr>
        <w:spacing w:after="60" w:line="276" w:lineRule="auto"/>
        <w:jc w:val="both"/>
      </w:pPr>
      <w:r>
        <w:rPr>
          <w:sz w:val="24"/>
        </w:rPr>
        <w:t>Pemodelan GMM dilakukan per periode dengan parameter covariance_type='full', init_params='k-means', n_init=10, random_state=42. Penentuan jumlah komponen optimal K dilakukan melalui K-scan menggunakan BIC dan ARI [12]. Evaluasi multilevel mencakup Silhouette Score untuk validasi internal, Adjusted Rand Index (ARI) [12] lintas waktu untuk stabilitas temporal, dan perbandingan empiris GMM versus K-Means [5].</w:t>
      </w:r>
      <w:r>
        <w:rPr>
          <w:sz w:val="24"/>
        </w:rPr>
      </w:r>
      <w:r>
        <w:rPr>
          <w:sz w:val="24"/>
        </w:rPr>
      </w:r>
    </w:p>
    <w:p w:rsidR="00B12EFF" w:rsidRDefault="00554303">
      <w:pPr>
        <w:spacing w:after="60" w:line="276" w:lineRule="auto"/>
        <w:jc w:val="both"/>
      </w:pPr>
      <w:r>
        <w:rPr>
          <w:sz w:val="24"/>
        </w:rPr>
        <w:t>Sistem otomasi analisis menggunakan Hybrid Cognitive Pipeline: Llama 3.2 3B lokal via Ollama untuk persona dan sanitasi data, serta OpenRouter cloud untuk reasoning kausal dan ringkasan naratif. Arsitektur pipeline memastikan keamanan privasi data (PII) sebelum metadata yang diagregasi diproses oleh model kognitif tingkat lanjut di cloud (Gambar 1) [13].</w:t>
      </w:r>
      <w:r>
        <w:rPr>
          <w:sz w:val="24"/>
        </w:rPr>
      </w:r>
    </w:p>
    <w:p w:rsidR="00B12EFF" w:rsidRDefault="00554303">
      <w:pPr>
        <w:spacing w:before="120" w:after="60" w:line="276" w:lineRule="auto"/>
        <w:jc w:val="center"/>
      </w:pPr>
      <w:r>
        <w:rPr>
          <w:noProof/>
        </w:rPr>
        <w:drawing>
          <wp:inline distT="0" distB="0" distL="0" distR="0">
            <wp:extent cx="2656158" cy="1373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1_FINAL.png"/>
                    <pic:cNvPicPr/>
                  </pic:nvPicPr>
                  <pic:blipFill>
                    <a:blip r:embed="rId6"/>
                    <a:stretch>
                      <a:fillRect/>
                    </a:stretch>
                  </pic:blipFill>
                  <pic:spPr>
                    <a:xfrm>
                      <a:off x="0" y="0"/>
                      <a:ext cx="2683043" cy="1387291"/>
                    </a:xfrm>
                    <a:prstGeom prst="rect">
                      <a:avLst/>
                    </a:prstGeom>
                  </pic:spPr>
                </pic:pic>
              </a:graphicData>
            </a:graphic>
          </wp:inline>
        </w:drawing>
      </w:r>
    </w:p>
    <w:p w:rsidR="00B12EFF" w:rsidRDefault="00554303">
      <w:pPr>
        <w:spacing w:after="60"/>
        <w:jc w:val="center"/>
      </w:pPr>
      <w:r>
        <w:t>Gambar 1. Arsitektur Hybrid Pipeline IndoBERT–GMM–LLM untuk segmentasi probabilistik temporal</w:t>
      </w:r>
    </w:p>
    <w:p w:rsidR="00B12EFF" w:rsidRDefault="00554303">
      <w:pPr>
        <w:spacing w:after="120"/>
        <w:jc w:val="center"/>
      </w:pPr>
      <w:r>
        <w:rPr>
          <w:i/>
          <w:sz w:val="18"/>
        </w:rPr>
        <w:t>Sumber: Dokumentasi penelitian (2025)</w:t>
      </w:r>
    </w:p>
    <w:p w:rsidR="00B12EFF" w:rsidRDefault="00554303">
      <w:pPr>
        <w:pStyle w:val="Judul3"/>
        <w:spacing w:before="360" w:line="276" w:lineRule="auto"/>
      </w:pPr>
      <w:r>
        <w:rPr>
          <w:sz w:val="24"/>
          <w:rFonts w:ascii="Times New Roman" w:hAnsi="Times New Roman"/>
          <w:b/>
          <w:smallCaps/>
        </w:rPr>
        <w:t>HASIL</w:t>
      </w:r>
    </w:p>
    <w:p w:rsidR="00B12EFF" w:rsidRDefault="00554303">
      <w:pPr>
        <w:spacing w:after="60" w:line="276" w:lineRule="auto"/>
        <w:jc w:val="both"/>
      </w:pPr>
      <w:r>
        <w:rPr>
          <w:sz w:val="24"/>
        </w:rPr>
        <w:t>Dataset pen</w:t>
      </w:r>
      <w:r>
        <w:rPr>
          <w:sz w:val="24"/>
        </w:rPr>
        <w:t xml:space="preserve">elitian mencakup data sekunder calon mahasiswa ITSNU </w:t>
      </w:r>
      <w:r>
        <w:rPr>
          <w:sz w:val="24"/>
        </w:rPr>
        <w:lastRenderedPageBreak/>
        <w:t>Pekalongan pada enam periode akademik 2019-2024 dengan total 2.362 rekaman data yang tervalidasi. Fase Pre-COVID (2019) mencatat 146 pendaftar sebagai baseline. Fase COVID Crisis (2020-2021) justru menun</w:t>
      </w:r>
      <w:r>
        <w:rPr>
          <w:sz w:val="24"/>
        </w:rPr>
        <w:t>jukkan peningkatan signifikan: 274 pendaftar pada 2020 (+87,7% dari baseline) dan 301 pada 2021 (+9,9%). Fase Recovery (2022-2024) mencatat tren naik drastis hingga puncak 680 pendaftar pada 2023, dengan koreksi di 2024 sebagaimana ditampilkan pada Tabel 1</w:t>
      </w:r>
      <w:r>
        <w:rPr>
          <w:sz w:val="24"/>
        </w:rPr>
        <w:t>.</w:t>
      </w:r>
    </w:p>
    <w:p w:rsidR="00B12EFF" w:rsidRDefault="00554303">
      <w:pPr>
        <w:spacing w:after="60" w:line="276" w:lineRule="auto"/>
        <w:jc w:val="both"/>
      </w:pPr>
      <w:r>
        <w:rPr>
          <w:sz w:val="24"/>
        </w:rPr>
        <w:t>Distribusi program studi dominan menunjukkan bahwa Sarjana Informatika (30,9%) dan Sarjana Teknologi Informasi (28,2%) secara gabungan menyerap 59,1% dari seluruh 2.362 pendaftar. Sarjana Teknik Industri berada di posisi ketiga (16,3%), diikuti program D</w:t>
      </w:r>
      <w:r>
        <w:rPr>
          <w:sz w:val="24"/>
        </w:rPr>
        <w:t>iploma Tiga yang total berkontribusi 18,7%. Pola dominasi ini konsisten di seluruh periode dan mengindikasikan kebutuhan strategi rekrutmen terfokus untuk program-program minoritas.</w:t>
      </w:r>
    </w:p>
    <w:p w:rsidR="00B12EFF" w:rsidRDefault="00554303">
      <w:pPr>
        <w:spacing w:after="60" w:line="276" w:lineRule="auto"/>
        <w:jc w:val="both"/>
      </w:pPr>
      <w:r>
        <w:rPr>
          <w:sz w:val="24"/>
        </w:rPr>
        <w:t>Validasi stabilitas embedding IndoBERT [4][10] menghasilkan cosine similarity rata-rata 0,8031 pada seluruh 5 transisi, berada di atas threshold 0,70 yang ditetapkan (Tabel 5). Nilai terendah terjadi pada transisi 2019→2020 (0,7901) yaitu transisi yang secara struktural mengalami perubahan paling dramatis. Ini membuktikan bahwa perbedaan yang terdeteksi pada analisis GMM benar-benar mencerminkan perubahan substantif populasi pendaftar, bukan ketidakstabilan teknis representasi fitur [14].</w:t>
      </w:r>
      <w:r>
        <w:rPr>
          <w:sz w:val="24"/>
        </w:rPr>
      </w:r>
      <w:r>
        <w:rPr>
          <w:sz w:val="24"/>
        </w:rPr>
      </w:r>
    </w:p>
    <w:p w:rsidR="00B12EFF" w:rsidRDefault="00554303">
      <w:pPr>
        <w:spacing w:after="60" w:line="276" w:lineRule="auto"/>
        <w:jc w:val="both"/>
      </w:pPr>
      <w:r>
        <w:rPr>
          <w:sz w:val="24"/>
        </w:rPr>
        <w:t>Hasil segmentasi probabilistik GMM menunjukkan K optimal bervariasi 2-6 per periode (2019=6, 2020=6, 2021=6, 2022=5, 2023=2, 2024=3) dengan evaluasi multilevel menggunakan Silhouette Score, Calinski-Harabasz, dan Davies-Bouldin (Tabel 2). Meskipun nilai Silhouette Score tergolong rendah (0,0138-0,0905), Saqr &amp; Lopez-Pernas (2024) [15] menegaskan bahwa rentang 0,01-0,10 tetap bermakna untuk soft clustering probabilistik seperti GMM karena sifat inheren overlap antar segmen. Visualisasi sebaran Silhouette Score dapat dilihat pada Gambar 2. Analisis stabilitas lintas waktu menggunakan ARI [12] membuktikan bahwa seluruh 5 transisi merupakan structural break (ARI &lt; 0,30), mengonfirmasi bahwa asumsi segmentasi pasar yang statis di lingkungan pendidikan tinggi adalah keliru [16].</w:t>
      </w:r>
      <w:r>
        <w:rPr>
          <w:sz w:val="24"/>
        </w:rPr>
      </w:r>
      <w:r>
        <w:rPr>
          <w:sz w:val="24"/>
        </w:rPr>
      </w:r>
      <w:r>
        <w:rPr>
          <w:sz w:val="24"/>
        </w:rPr>
      </w:r>
      <w:r>
        <w:rPr>
          <w:sz w:val="24"/>
        </w:rPr>
      </w:r>
    </w:p>
    <w:p w:rsidR="00B12EFF" w:rsidRDefault="00B12EFF">
      <w:pPr>
        <w:spacing w:after="60" w:line="276" w:lineRule="auto"/>
      </w:pPr>
    </w:p>
    <w:p w:rsidR="00B12EFF" w:rsidRDefault="00554303">
      <w:pPr>
        <w:spacing w:after="60"/>
        <w:jc w:val="center"/>
      </w:pPr>
      <w:r>
        <w:rPr>
          <w:sz w:val="22"/>
        </w:rPr>
        <w:t>Tabel 1. Distribusi Jumlah Pendaftar per Tahun dan Fase Temporal (2019-2024)</w:t>
      </w:r>
    </w:p>
    <w:tbl>
      <w:tblPr>
        <w:tblW w:w="0" w:type="auto"/>
        <w:jc w:val="center"/>
        <w:tblBorders>
          <w:top w:val="single" w:sz="4" w:space="0" w:color="000000"/>
          <w:bottom w:val="single" w:sz="4" w:space="0" w:color="000000"/>
          <w:insideH w:val="single" w:sz="4" w:space="0" w:color="000000"/>
          <w:insideV w:val="nil"/>
        </w:tblBorders>
        <w:tblLook w:val="04A0" w:firstRow="1" w:lastRow="0" w:firstColumn="1" w:lastColumn="0" w:noHBand="0" w:noVBand="1"/>
      </w:tblPr>
      <w:tblGrid>
        <w:gridCol w:w="949"/>
        <w:gridCol w:w="1013"/>
        <w:gridCol w:w="1114"/>
        <w:gridCol w:w="1233"/>
      </w:tblGrid>
      <w:tr w:rsidR="00B12EFF">
        <w:trPr>
          <w:jc w:val="center"/>
        </w:trPr>
        <w:tc>
          <w:tcPr>
            <w:tcW w:w="2339" w:type="dxa"/>
            <w:tcBorders>
              <w:top w:val="single" w:sz="4" w:space="0" w:color="000000"/>
              <w:bottom w:val="single" w:sz="4" w:space="0" w:color="000000"/>
            </w:tcBorders>
          </w:tcPr>
          <w:p w:rsidR="00B12EFF" w:rsidRDefault="00554303">
            <w:pPr>
              <w:jc w:val="center"/>
            </w:pPr>
            <w:r>
              <w:rPr>
                <w:b/>
                <w:sz w:val="18"/>
              </w:rPr>
              <w:t>Tahun</w:t>
            </w:r>
          </w:p>
        </w:tc>
        <w:tc>
          <w:tcPr>
            <w:tcW w:w="2339" w:type="dxa"/>
            <w:tcBorders>
              <w:top w:val="single" w:sz="4" w:space="0" w:color="000000"/>
              <w:bottom w:val="single" w:sz="4" w:space="0" w:color="000000"/>
            </w:tcBorders>
          </w:tcPr>
          <w:p w:rsidR="00B12EFF" w:rsidRDefault="00554303">
            <w:pPr>
              <w:jc w:val="center"/>
            </w:pPr>
            <w:r>
              <w:rPr>
                <w:b/>
                <w:sz w:val="18"/>
              </w:rPr>
              <w:t>Jumlah Pen</w:t>
            </w:r>
            <w:r>
              <w:rPr>
                <w:b/>
                <w:sz w:val="18"/>
              </w:rPr>
              <w:t>daftar</w:t>
            </w:r>
          </w:p>
        </w:tc>
        <w:tc>
          <w:tcPr>
            <w:tcW w:w="2339" w:type="dxa"/>
            <w:tcBorders>
              <w:top w:val="single" w:sz="4" w:space="0" w:color="000000"/>
              <w:bottom w:val="single" w:sz="4" w:space="0" w:color="000000"/>
            </w:tcBorders>
          </w:tcPr>
          <w:p w:rsidR="00B12EFF" w:rsidRDefault="00554303">
            <w:pPr>
              <w:jc w:val="center"/>
            </w:pPr>
            <w:r>
              <w:rPr>
                <w:b/>
                <w:sz w:val="18"/>
              </w:rPr>
              <w:t>Fase Temporal</w:t>
            </w:r>
          </w:p>
        </w:tc>
        <w:tc>
          <w:tcPr>
            <w:tcW w:w="2339" w:type="dxa"/>
            <w:tcBorders>
              <w:top w:val="single" w:sz="4" w:space="0" w:color="000000"/>
              <w:bottom w:val="single" w:sz="4" w:space="0" w:color="000000"/>
            </w:tcBorders>
          </w:tcPr>
          <w:p w:rsidR="00B12EFF" w:rsidRDefault="00554303">
            <w:pPr>
              <w:jc w:val="center"/>
            </w:pPr>
            <w:r>
              <w:rPr>
                <w:b/>
                <w:sz w:val="18"/>
              </w:rPr>
              <w:t>Persentase</w:t>
            </w:r>
          </w:p>
        </w:tc>
      </w:tr>
      <w:tr w:rsidR="00B12EFF">
        <w:trPr>
          <w:jc w:val="center"/>
        </w:trPr>
        <w:tc>
          <w:tcPr>
            <w:tcW w:w="2339" w:type="dxa"/>
            <w:tcBorders>
              <w:top w:val="single" w:sz="4" w:space="0" w:color="000000"/>
              <w:bottom w:val="single" w:sz="4" w:space="0" w:color="000000"/>
            </w:tcBorders>
          </w:tcPr>
          <w:p w:rsidR="00B12EFF" w:rsidRDefault="00554303">
            <w:pPr>
              <w:jc w:val="center"/>
            </w:pPr>
            <w:r>
              <w:rPr>
                <w:sz w:val="18"/>
              </w:rPr>
              <w:t>2019</w:t>
            </w:r>
          </w:p>
        </w:tc>
        <w:tc>
          <w:tcPr>
            <w:tcW w:w="2339" w:type="dxa"/>
            <w:tcBorders>
              <w:top w:val="single" w:sz="4" w:space="0" w:color="000000"/>
              <w:bottom w:val="single" w:sz="4" w:space="0" w:color="000000"/>
            </w:tcBorders>
          </w:tcPr>
          <w:p w:rsidR="00B12EFF" w:rsidRDefault="00554303">
            <w:pPr>
              <w:jc w:val="center"/>
            </w:pPr>
            <w:r>
              <w:rPr>
                <w:sz w:val="18"/>
              </w:rPr>
              <w:t>146</w:t>
            </w:r>
          </w:p>
        </w:tc>
        <w:tc>
          <w:tcPr>
            <w:tcW w:w="2339" w:type="dxa"/>
            <w:tcBorders>
              <w:top w:val="single" w:sz="4" w:space="0" w:color="000000"/>
              <w:bottom w:val="single" w:sz="4" w:space="0" w:color="000000"/>
            </w:tcBorders>
          </w:tcPr>
          <w:p w:rsidR="00B12EFF" w:rsidRDefault="00554303">
            <w:pPr>
              <w:jc w:val="center"/>
            </w:pPr>
            <w:r>
              <w:rPr>
                <w:sz w:val="18"/>
              </w:rPr>
              <w:t>Pre-COVID</w:t>
            </w:r>
          </w:p>
        </w:tc>
        <w:tc>
          <w:tcPr>
            <w:tcW w:w="2339" w:type="dxa"/>
            <w:tcBorders>
              <w:top w:val="single" w:sz="4" w:space="0" w:color="000000"/>
              <w:bottom w:val="single" w:sz="4" w:space="0" w:color="000000"/>
            </w:tcBorders>
          </w:tcPr>
          <w:p w:rsidR="00B12EFF" w:rsidRDefault="00554303">
            <w:pPr>
              <w:jc w:val="center"/>
            </w:pPr>
            <w:r>
              <w:rPr>
                <w:sz w:val="18"/>
              </w:rPr>
              <w:t>6,2%</w:t>
            </w:r>
          </w:p>
        </w:tc>
      </w:tr>
      <w:tr w:rsidR="00B12EFF">
        <w:trPr>
          <w:jc w:val="center"/>
        </w:trPr>
        <w:tc>
          <w:tcPr>
            <w:tcW w:w="2339" w:type="dxa"/>
            <w:tcBorders>
              <w:top w:val="single" w:sz="4" w:space="0" w:color="000000"/>
              <w:bottom w:val="single" w:sz="4" w:space="0" w:color="000000"/>
            </w:tcBorders>
          </w:tcPr>
          <w:p w:rsidR="00B12EFF" w:rsidRDefault="00554303">
            <w:pPr>
              <w:jc w:val="center"/>
            </w:pPr>
            <w:r>
              <w:rPr>
                <w:sz w:val="18"/>
              </w:rPr>
              <w:t>2020</w:t>
            </w:r>
          </w:p>
        </w:tc>
        <w:tc>
          <w:tcPr>
            <w:tcW w:w="2339" w:type="dxa"/>
            <w:tcBorders>
              <w:top w:val="single" w:sz="4" w:space="0" w:color="000000"/>
              <w:bottom w:val="single" w:sz="4" w:space="0" w:color="000000"/>
            </w:tcBorders>
          </w:tcPr>
          <w:p w:rsidR="00B12EFF" w:rsidRDefault="00554303">
            <w:pPr>
              <w:jc w:val="center"/>
            </w:pPr>
            <w:r>
              <w:rPr>
                <w:sz w:val="18"/>
              </w:rPr>
              <w:t>274</w:t>
            </w:r>
          </w:p>
        </w:tc>
        <w:tc>
          <w:tcPr>
            <w:tcW w:w="2339" w:type="dxa"/>
            <w:tcBorders>
              <w:top w:val="single" w:sz="4" w:space="0" w:color="000000"/>
              <w:bottom w:val="single" w:sz="4" w:space="0" w:color="000000"/>
            </w:tcBorders>
          </w:tcPr>
          <w:p w:rsidR="00B12EFF" w:rsidRDefault="00554303">
            <w:pPr>
              <w:jc w:val="center"/>
            </w:pPr>
            <w:r>
              <w:rPr>
                <w:sz w:val="18"/>
              </w:rPr>
              <w:t>COVID Crisis</w:t>
            </w:r>
          </w:p>
        </w:tc>
        <w:tc>
          <w:tcPr>
            <w:tcW w:w="2339" w:type="dxa"/>
            <w:tcBorders>
              <w:top w:val="single" w:sz="4" w:space="0" w:color="000000"/>
              <w:bottom w:val="single" w:sz="4" w:space="0" w:color="000000"/>
            </w:tcBorders>
          </w:tcPr>
          <w:p w:rsidR="00B12EFF" w:rsidRDefault="00554303">
            <w:pPr>
              <w:jc w:val="center"/>
            </w:pPr>
            <w:r>
              <w:rPr>
                <w:sz w:val="18"/>
              </w:rPr>
              <w:t>11,6%</w:t>
            </w:r>
          </w:p>
        </w:tc>
      </w:tr>
      <w:tr w:rsidR="00B12EFF">
        <w:trPr>
          <w:jc w:val="center"/>
        </w:trPr>
        <w:tc>
          <w:tcPr>
            <w:tcW w:w="2339" w:type="dxa"/>
            <w:tcBorders>
              <w:top w:val="single" w:sz="4" w:space="0" w:color="000000"/>
              <w:bottom w:val="single" w:sz="4" w:space="0" w:color="000000"/>
            </w:tcBorders>
          </w:tcPr>
          <w:p w:rsidR="00B12EFF" w:rsidRDefault="00554303">
            <w:pPr>
              <w:jc w:val="center"/>
            </w:pPr>
            <w:r>
              <w:rPr>
                <w:sz w:val="18"/>
              </w:rPr>
              <w:t>2021</w:t>
            </w:r>
          </w:p>
        </w:tc>
        <w:tc>
          <w:tcPr>
            <w:tcW w:w="2339" w:type="dxa"/>
            <w:tcBorders>
              <w:top w:val="single" w:sz="4" w:space="0" w:color="000000"/>
              <w:bottom w:val="single" w:sz="4" w:space="0" w:color="000000"/>
            </w:tcBorders>
          </w:tcPr>
          <w:p w:rsidR="00B12EFF" w:rsidRDefault="00554303">
            <w:pPr>
              <w:jc w:val="center"/>
            </w:pPr>
            <w:r>
              <w:rPr>
                <w:sz w:val="18"/>
              </w:rPr>
              <w:t>301</w:t>
            </w:r>
          </w:p>
        </w:tc>
        <w:tc>
          <w:tcPr>
            <w:tcW w:w="2339" w:type="dxa"/>
            <w:tcBorders>
              <w:top w:val="single" w:sz="4" w:space="0" w:color="000000"/>
              <w:bottom w:val="single" w:sz="4" w:space="0" w:color="000000"/>
            </w:tcBorders>
          </w:tcPr>
          <w:p w:rsidR="00B12EFF" w:rsidRDefault="00554303">
            <w:pPr>
              <w:jc w:val="center"/>
            </w:pPr>
            <w:r>
              <w:rPr>
                <w:sz w:val="18"/>
              </w:rPr>
              <w:t>COVID Crisis</w:t>
            </w:r>
          </w:p>
        </w:tc>
        <w:tc>
          <w:tcPr>
            <w:tcW w:w="2339" w:type="dxa"/>
            <w:tcBorders>
              <w:top w:val="single" w:sz="4" w:space="0" w:color="000000"/>
              <w:bottom w:val="single" w:sz="4" w:space="0" w:color="000000"/>
            </w:tcBorders>
          </w:tcPr>
          <w:p w:rsidR="00B12EFF" w:rsidRDefault="00554303">
            <w:pPr>
              <w:jc w:val="center"/>
            </w:pPr>
            <w:r>
              <w:rPr>
                <w:sz w:val="18"/>
              </w:rPr>
              <w:t>12,7%</w:t>
            </w:r>
          </w:p>
        </w:tc>
      </w:tr>
      <w:tr w:rsidR="00B12EFF">
        <w:trPr>
          <w:jc w:val="center"/>
        </w:trPr>
        <w:tc>
          <w:tcPr>
            <w:tcW w:w="2339" w:type="dxa"/>
            <w:tcBorders>
              <w:top w:val="single" w:sz="4" w:space="0" w:color="000000"/>
              <w:bottom w:val="single" w:sz="4" w:space="0" w:color="000000"/>
            </w:tcBorders>
          </w:tcPr>
          <w:p w:rsidR="00B12EFF" w:rsidRDefault="00554303">
            <w:pPr>
              <w:jc w:val="center"/>
            </w:pPr>
            <w:r>
              <w:rPr>
                <w:sz w:val="18"/>
              </w:rPr>
              <w:t>2022</w:t>
            </w:r>
          </w:p>
        </w:tc>
        <w:tc>
          <w:tcPr>
            <w:tcW w:w="2339" w:type="dxa"/>
            <w:tcBorders>
              <w:top w:val="single" w:sz="4" w:space="0" w:color="000000"/>
              <w:bottom w:val="single" w:sz="4" w:space="0" w:color="000000"/>
            </w:tcBorders>
          </w:tcPr>
          <w:p w:rsidR="00B12EFF" w:rsidRDefault="00554303">
            <w:pPr>
              <w:jc w:val="center"/>
            </w:pPr>
            <w:r>
              <w:rPr>
                <w:sz w:val="18"/>
              </w:rPr>
              <w:t>458</w:t>
            </w:r>
          </w:p>
        </w:tc>
        <w:tc>
          <w:tcPr>
            <w:tcW w:w="2339" w:type="dxa"/>
            <w:tcBorders>
              <w:top w:val="single" w:sz="4" w:space="0" w:color="000000"/>
              <w:bottom w:val="single" w:sz="4" w:space="0" w:color="000000"/>
            </w:tcBorders>
          </w:tcPr>
          <w:p w:rsidR="00B12EFF" w:rsidRDefault="00554303">
            <w:pPr>
              <w:jc w:val="center"/>
            </w:pPr>
            <w:r>
              <w:rPr>
                <w:sz w:val="18"/>
              </w:rPr>
              <w:t>Recovery</w:t>
            </w:r>
          </w:p>
        </w:tc>
        <w:tc>
          <w:tcPr>
            <w:tcW w:w="2339" w:type="dxa"/>
            <w:tcBorders>
              <w:top w:val="single" w:sz="4" w:space="0" w:color="000000"/>
              <w:bottom w:val="single" w:sz="4" w:space="0" w:color="000000"/>
            </w:tcBorders>
          </w:tcPr>
          <w:p w:rsidR="00B12EFF" w:rsidRDefault="00554303">
            <w:pPr>
              <w:jc w:val="center"/>
            </w:pPr>
            <w:r>
              <w:rPr>
                <w:sz w:val="18"/>
              </w:rPr>
              <w:t>19,4%</w:t>
            </w:r>
          </w:p>
        </w:tc>
      </w:tr>
      <w:tr w:rsidR="00B12EFF">
        <w:trPr>
          <w:jc w:val="center"/>
        </w:trPr>
        <w:tc>
          <w:tcPr>
            <w:tcW w:w="2339" w:type="dxa"/>
            <w:tcBorders>
              <w:top w:val="single" w:sz="4" w:space="0" w:color="000000"/>
              <w:bottom w:val="single" w:sz="4" w:space="0" w:color="000000"/>
            </w:tcBorders>
          </w:tcPr>
          <w:p w:rsidR="00B12EFF" w:rsidRDefault="00554303">
            <w:pPr>
              <w:jc w:val="center"/>
            </w:pPr>
            <w:r>
              <w:rPr>
                <w:sz w:val="18"/>
              </w:rPr>
              <w:t>2023</w:t>
            </w:r>
          </w:p>
        </w:tc>
        <w:tc>
          <w:tcPr>
            <w:tcW w:w="2339" w:type="dxa"/>
            <w:tcBorders>
              <w:top w:val="single" w:sz="4" w:space="0" w:color="000000"/>
              <w:bottom w:val="single" w:sz="4" w:space="0" w:color="000000"/>
            </w:tcBorders>
          </w:tcPr>
          <w:p w:rsidR="00B12EFF" w:rsidRDefault="00554303">
            <w:pPr>
              <w:jc w:val="center"/>
            </w:pPr>
            <w:r>
              <w:rPr>
                <w:sz w:val="18"/>
              </w:rPr>
              <w:t>680</w:t>
            </w:r>
          </w:p>
        </w:tc>
        <w:tc>
          <w:tcPr>
            <w:tcW w:w="2339" w:type="dxa"/>
            <w:tcBorders>
              <w:top w:val="single" w:sz="4" w:space="0" w:color="000000"/>
              <w:bottom w:val="single" w:sz="4" w:space="0" w:color="000000"/>
            </w:tcBorders>
          </w:tcPr>
          <w:p w:rsidR="00B12EFF" w:rsidRDefault="00554303">
            <w:pPr>
              <w:jc w:val="center"/>
            </w:pPr>
            <w:r>
              <w:rPr>
                <w:sz w:val="18"/>
              </w:rPr>
              <w:t>Recovery</w:t>
            </w:r>
          </w:p>
        </w:tc>
        <w:tc>
          <w:tcPr>
            <w:tcW w:w="2339" w:type="dxa"/>
            <w:tcBorders>
              <w:top w:val="single" w:sz="4" w:space="0" w:color="000000"/>
              <w:bottom w:val="single" w:sz="4" w:space="0" w:color="000000"/>
            </w:tcBorders>
          </w:tcPr>
          <w:p w:rsidR="00B12EFF" w:rsidRDefault="00554303">
            <w:pPr>
              <w:jc w:val="center"/>
            </w:pPr>
            <w:r>
              <w:rPr>
                <w:sz w:val="18"/>
              </w:rPr>
              <w:t>28,8%</w:t>
            </w:r>
          </w:p>
        </w:tc>
      </w:tr>
      <w:tr w:rsidR="00B12EFF">
        <w:trPr>
          <w:jc w:val="center"/>
        </w:trPr>
        <w:tc>
          <w:tcPr>
            <w:tcW w:w="2339" w:type="dxa"/>
            <w:tcBorders>
              <w:top w:val="single" w:sz="4" w:space="0" w:color="000000"/>
              <w:bottom w:val="single" w:sz="4" w:space="0" w:color="000000"/>
            </w:tcBorders>
          </w:tcPr>
          <w:p w:rsidR="00B12EFF" w:rsidRDefault="00554303">
            <w:pPr>
              <w:jc w:val="center"/>
            </w:pPr>
            <w:r>
              <w:rPr>
                <w:sz w:val="18"/>
              </w:rPr>
              <w:t>2024</w:t>
            </w:r>
          </w:p>
        </w:tc>
        <w:tc>
          <w:tcPr>
            <w:tcW w:w="2339" w:type="dxa"/>
            <w:tcBorders>
              <w:top w:val="single" w:sz="4" w:space="0" w:color="000000"/>
              <w:bottom w:val="single" w:sz="4" w:space="0" w:color="000000"/>
            </w:tcBorders>
          </w:tcPr>
          <w:p w:rsidR="00B12EFF" w:rsidRDefault="00554303">
            <w:pPr>
              <w:jc w:val="center"/>
            </w:pPr>
            <w:r>
              <w:rPr>
                <w:sz w:val="18"/>
              </w:rPr>
              <w:t>503</w:t>
            </w:r>
          </w:p>
        </w:tc>
        <w:tc>
          <w:tcPr>
            <w:tcW w:w="2339" w:type="dxa"/>
            <w:tcBorders>
              <w:top w:val="single" w:sz="4" w:space="0" w:color="000000"/>
              <w:bottom w:val="single" w:sz="4" w:space="0" w:color="000000"/>
            </w:tcBorders>
          </w:tcPr>
          <w:p w:rsidR="00B12EFF" w:rsidRDefault="00554303">
            <w:pPr>
              <w:jc w:val="center"/>
            </w:pPr>
            <w:r>
              <w:rPr>
                <w:sz w:val="18"/>
              </w:rPr>
              <w:t>Recovery</w:t>
            </w:r>
          </w:p>
        </w:tc>
        <w:tc>
          <w:tcPr>
            <w:tcW w:w="2339" w:type="dxa"/>
            <w:tcBorders>
              <w:top w:val="single" w:sz="4" w:space="0" w:color="000000"/>
              <w:bottom w:val="single" w:sz="4" w:space="0" w:color="000000"/>
            </w:tcBorders>
          </w:tcPr>
          <w:p w:rsidR="00B12EFF" w:rsidRDefault="00554303">
            <w:pPr>
              <w:jc w:val="center"/>
            </w:pPr>
            <w:r>
              <w:rPr>
                <w:sz w:val="18"/>
              </w:rPr>
              <w:t>21,3%</w:t>
            </w:r>
          </w:p>
        </w:tc>
      </w:tr>
    </w:tbl>
    <w:p w:rsidR="00B12EFF" w:rsidRDefault="00554303">
      <w:pPr>
        <w:spacing w:after="60"/>
        <w:jc w:val="both"/>
      </w:pPr>
      <w:r>
        <w:rPr>
          <w:i/>
          <w:sz w:val="18"/>
        </w:rPr>
        <w:t>Sumber: Data Primer PMB ITSNU Pekalongan, diolah (2025)</w:t>
      </w:r>
    </w:p>
    <w:p w:rsidR="00B12EFF" w:rsidRDefault="00B12EFF">
      <w:pPr>
        <w:spacing w:after="60" w:line="276" w:lineRule="auto"/>
      </w:pPr>
    </w:p>
    <w:p w:rsidR="00B12EFF" w:rsidRDefault="00554303">
      <w:pPr>
        <w:spacing w:after="60"/>
        <w:jc w:val="center"/>
      </w:pPr>
      <w:r>
        <w:rPr>
          <w:sz w:val="22"/>
        </w:rPr>
        <w:t>Tabel 2.</w:t>
      </w:r>
      <w:r>
        <w:rPr>
          <w:sz w:val="22"/>
        </w:rPr>
        <w:t xml:space="preserve"> Pemilihan K Optimal GMM per Periode (BIC)</w:t>
      </w:r>
    </w:p>
    <w:tbl>
      <w:tblPr>
        <w:tblW w:w="0" w:type="auto"/>
        <w:jc w:val="center"/>
        <w:tblBorders>
          <w:top w:val="single" w:sz="4" w:space="0" w:color="000000"/>
          <w:bottom w:val="single" w:sz="4" w:space="0" w:color="000000"/>
          <w:insideH w:val="single" w:sz="4" w:space="0" w:color="000000"/>
          <w:insideV w:val="nil"/>
        </w:tblBorders>
        <w:tblLook w:val="04A0" w:firstRow="1" w:lastRow="0" w:firstColumn="1" w:lastColumn="0" w:noHBand="0" w:noVBand="1"/>
      </w:tblPr>
      <w:tblGrid>
        <w:gridCol w:w="665"/>
        <w:gridCol w:w="765"/>
        <w:gridCol w:w="455"/>
        <w:gridCol w:w="832"/>
        <w:gridCol w:w="810"/>
        <w:gridCol w:w="782"/>
      </w:tblGrid>
      <w:tr w:rsidR="00B12EFF">
        <w:trPr>
          <w:jc w:val="center"/>
        </w:trPr>
        <w:tc>
          <w:tcPr>
            <w:tcW w:w="1560" w:type="dxa"/>
            <w:tcBorders>
              <w:top w:val="single" w:sz="4" w:space="0" w:color="000000"/>
              <w:bottom w:val="single" w:sz="4" w:space="0" w:color="000000"/>
            </w:tcBorders>
          </w:tcPr>
          <w:p w:rsidR="00B12EFF" w:rsidRDefault="00554303">
            <w:pPr>
              <w:jc w:val="center"/>
            </w:pPr>
            <w:r>
              <w:rPr>
                <w:b/>
                <w:sz w:val="18"/>
              </w:rPr>
              <w:t>Tahun</w:t>
            </w:r>
          </w:p>
        </w:tc>
        <w:tc>
          <w:tcPr>
            <w:tcW w:w="1560" w:type="dxa"/>
            <w:tcBorders>
              <w:top w:val="single" w:sz="4" w:space="0" w:color="000000"/>
              <w:bottom w:val="single" w:sz="4" w:space="0" w:color="000000"/>
            </w:tcBorders>
          </w:tcPr>
          <w:p w:rsidR="00B12EFF" w:rsidRDefault="00554303">
            <w:pPr>
              <w:jc w:val="center"/>
            </w:pPr>
            <w:r>
              <w:rPr>
                <w:b/>
                <w:sz w:val="18"/>
              </w:rPr>
              <w:t>Fase</w:t>
            </w:r>
          </w:p>
        </w:tc>
        <w:tc>
          <w:tcPr>
            <w:tcW w:w="1560" w:type="dxa"/>
            <w:tcBorders>
              <w:top w:val="single" w:sz="4" w:space="0" w:color="000000"/>
              <w:bottom w:val="single" w:sz="4" w:space="0" w:color="000000"/>
            </w:tcBorders>
          </w:tcPr>
          <w:p w:rsidR="00B12EFF" w:rsidRDefault="00554303">
            <w:pPr>
              <w:jc w:val="center"/>
            </w:pPr>
            <w:r>
              <w:rPr>
                <w:b/>
                <w:sz w:val="18"/>
              </w:rPr>
              <w:t>K Opt</w:t>
            </w:r>
          </w:p>
        </w:tc>
        <w:tc>
          <w:tcPr>
            <w:tcW w:w="1560" w:type="dxa"/>
            <w:tcBorders>
              <w:top w:val="single" w:sz="4" w:space="0" w:color="000000"/>
              <w:bottom w:val="single" w:sz="4" w:space="0" w:color="000000"/>
            </w:tcBorders>
          </w:tcPr>
          <w:p w:rsidR="00B12EFF" w:rsidRDefault="00554303">
            <w:pPr>
              <w:jc w:val="center"/>
            </w:pPr>
            <w:r>
              <w:rPr>
                <w:b/>
                <w:sz w:val="18"/>
              </w:rPr>
              <w:t>BIC</w:t>
            </w:r>
          </w:p>
        </w:tc>
        <w:tc>
          <w:tcPr>
            <w:tcW w:w="1560" w:type="dxa"/>
            <w:tcBorders>
              <w:top w:val="single" w:sz="4" w:space="0" w:color="000000"/>
              <w:bottom w:val="single" w:sz="4" w:space="0" w:color="000000"/>
            </w:tcBorders>
          </w:tcPr>
          <w:p w:rsidR="00B12EFF" w:rsidRDefault="00554303">
            <w:pPr>
              <w:jc w:val="center"/>
            </w:pPr>
            <w:r>
              <w:rPr>
                <w:b/>
                <w:sz w:val="18"/>
              </w:rPr>
              <w:t>Silhouette</w:t>
            </w:r>
          </w:p>
        </w:tc>
        <w:tc>
          <w:tcPr>
            <w:tcW w:w="1560" w:type="dxa"/>
            <w:tcBorders>
              <w:top w:val="single" w:sz="4" w:space="0" w:color="000000"/>
              <w:bottom w:val="single" w:sz="4" w:space="0" w:color="000000"/>
            </w:tcBorders>
          </w:tcPr>
          <w:p w:rsidR="00B12EFF" w:rsidRDefault="00554303">
            <w:pPr>
              <w:jc w:val="center"/>
            </w:pPr>
            <w:r>
              <w:rPr>
                <w:b/>
                <w:sz w:val="18"/>
              </w:rPr>
              <w:t>Log Likelihood</w:t>
            </w:r>
          </w:p>
        </w:tc>
      </w:tr>
      <w:tr w:rsidR="00B12EFF">
        <w:trPr>
          <w:jc w:val="center"/>
        </w:trPr>
        <w:tc>
          <w:tcPr>
            <w:tcW w:w="1560" w:type="dxa"/>
            <w:tcBorders>
              <w:top w:val="single" w:sz="4" w:space="0" w:color="000000"/>
              <w:bottom w:val="single" w:sz="4" w:space="0" w:color="000000"/>
            </w:tcBorders>
          </w:tcPr>
          <w:p w:rsidR="00B12EFF" w:rsidRDefault="00554303">
            <w:pPr>
              <w:jc w:val="center"/>
            </w:pPr>
            <w:r>
              <w:rPr>
                <w:sz w:val="18"/>
              </w:rPr>
              <w:t>2019</w:t>
            </w:r>
          </w:p>
        </w:tc>
        <w:tc>
          <w:tcPr>
            <w:tcW w:w="1560" w:type="dxa"/>
            <w:tcBorders>
              <w:top w:val="single" w:sz="4" w:space="0" w:color="000000"/>
              <w:bottom w:val="single" w:sz="4" w:space="0" w:color="000000"/>
            </w:tcBorders>
          </w:tcPr>
          <w:p w:rsidR="00B12EFF" w:rsidRDefault="00554303">
            <w:pPr>
              <w:jc w:val="center"/>
            </w:pPr>
            <w:r>
              <w:rPr>
                <w:sz w:val="18"/>
              </w:rPr>
              <w:t>Pre-COVID</w:t>
            </w:r>
          </w:p>
        </w:tc>
        <w:tc>
          <w:tcPr>
            <w:tcW w:w="1560" w:type="dxa"/>
            <w:tcBorders>
              <w:top w:val="single" w:sz="4" w:space="0" w:color="000000"/>
              <w:bottom w:val="single" w:sz="4" w:space="0" w:color="000000"/>
            </w:tcBorders>
          </w:tcPr>
          <w:p w:rsidR="00B12EFF" w:rsidRDefault="00554303">
            <w:pPr>
              <w:jc w:val="center"/>
            </w:pPr>
            <w:r>
              <w:rPr>
                <w:sz w:val="18"/>
              </w:rPr>
              <w:t>6</w:t>
            </w:r>
          </w:p>
        </w:tc>
        <w:tc>
          <w:tcPr>
            <w:tcW w:w="1560" w:type="dxa"/>
            <w:tcBorders>
              <w:top w:val="single" w:sz="4" w:space="0" w:color="000000"/>
              <w:bottom w:val="single" w:sz="4" w:space="0" w:color="000000"/>
            </w:tcBorders>
          </w:tcPr>
          <w:p w:rsidR="00B12EFF" w:rsidRDefault="00554303">
            <w:pPr>
              <w:jc w:val="center"/>
            </w:pPr>
            <w:r>
              <w:rPr>
                <w:sz w:val="18"/>
              </w:rPr>
              <w:t>20.594,43</w:t>
            </w:r>
          </w:p>
        </w:tc>
        <w:tc>
          <w:tcPr>
            <w:tcW w:w="1560" w:type="dxa"/>
            <w:tcBorders>
              <w:top w:val="single" w:sz="4" w:space="0" w:color="000000"/>
              <w:bottom w:val="single" w:sz="4" w:space="0" w:color="000000"/>
            </w:tcBorders>
          </w:tcPr>
          <w:p w:rsidR="00B12EFF" w:rsidRDefault="00554303">
            <w:pPr>
              <w:jc w:val="center"/>
            </w:pPr>
            <w:r>
              <w:rPr>
                <w:sz w:val="18"/>
              </w:rPr>
              <w:t>0,0683</w:t>
            </w:r>
          </w:p>
        </w:tc>
        <w:tc>
          <w:tcPr>
            <w:tcW w:w="1560" w:type="dxa"/>
            <w:tcBorders>
              <w:top w:val="single" w:sz="4" w:space="0" w:color="000000"/>
              <w:bottom w:val="single" w:sz="4" w:space="0" w:color="000000"/>
            </w:tcBorders>
          </w:tcPr>
          <w:p w:rsidR="00B12EFF" w:rsidRDefault="00554303">
            <w:pPr>
              <w:jc w:val="center"/>
            </w:pPr>
            <w:r>
              <w:rPr>
                <w:sz w:val="18"/>
              </w:rPr>
              <w:t>28.991,05</w:t>
            </w:r>
          </w:p>
        </w:tc>
      </w:tr>
      <w:tr w:rsidR="00B12EFF">
        <w:trPr>
          <w:jc w:val="center"/>
        </w:trPr>
        <w:tc>
          <w:tcPr>
            <w:tcW w:w="1560" w:type="dxa"/>
            <w:tcBorders>
              <w:top w:val="single" w:sz="4" w:space="0" w:color="000000"/>
              <w:bottom w:val="single" w:sz="4" w:space="0" w:color="000000"/>
            </w:tcBorders>
          </w:tcPr>
          <w:p w:rsidR="00B12EFF" w:rsidRDefault="00554303">
            <w:pPr>
              <w:jc w:val="center"/>
            </w:pPr>
            <w:r>
              <w:rPr>
                <w:sz w:val="18"/>
              </w:rPr>
              <w:t>2020</w:t>
            </w:r>
          </w:p>
        </w:tc>
        <w:tc>
          <w:tcPr>
            <w:tcW w:w="1560" w:type="dxa"/>
            <w:tcBorders>
              <w:top w:val="single" w:sz="4" w:space="0" w:color="000000"/>
              <w:bottom w:val="single" w:sz="4" w:space="0" w:color="000000"/>
            </w:tcBorders>
          </w:tcPr>
          <w:p w:rsidR="00B12EFF" w:rsidRDefault="00554303">
            <w:pPr>
              <w:jc w:val="center"/>
            </w:pPr>
            <w:r>
              <w:rPr>
                <w:sz w:val="18"/>
              </w:rPr>
              <w:t>COVID Crisis</w:t>
            </w:r>
          </w:p>
        </w:tc>
        <w:tc>
          <w:tcPr>
            <w:tcW w:w="1560" w:type="dxa"/>
            <w:tcBorders>
              <w:top w:val="single" w:sz="4" w:space="0" w:color="000000"/>
              <w:bottom w:val="single" w:sz="4" w:space="0" w:color="000000"/>
            </w:tcBorders>
          </w:tcPr>
          <w:p w:rsidR="00B12EFF" w:rsidRDefault="00554303">
            <w:pPr>
              <w:jc w:val="center"/>
            </w:pPr>
            <w:r>
              <w:rPr>
                <w:sz w:val="18"/>
              </w:rPr>
              <w:t>6</w:t>
            </w:r>
          </w:p>
        </w:tc>
        <w:tc>
          <w:tcPr>
            <w:tcW w:w="1560" w:type="dxa"/>
            <w:tcBorders>
              <w:top w:val="single" w:sz="4" w:space="0" w:color="000000"/>
              <w:bottom w:val="single" w:sz="4" w:space="0" w:color="000000"/>
            </w:tcBorders>
          </w:tcPr>
          <w:p w:rsidR="00B12EFF" w:rsidRDefault="00554303">
            <w:pPr>
              <w:jc w:val="center"/>
            </w:pPr>
            <w:r>
              <w:rPr>
                <w:sz w:val="18"/>
              </w:rPr>
              <w:t>66.631,38</w:t>
            </w:r>
          </w:p>
        </w:tc>
        <w:tc>
          <w:tcPr>
            <w:tcW w:w="1560" w:type="dxa"/>
            <w:tcBorders>
              <w:top w:val="single" w:sz="4" w:space="0" w:color="000000"/>
              <w:bottom w:val="single" w:sz="4" w:space="0" w:color="000000"/>
            </w:tcBorders>
          </w:tcPr>
          <w:p w:rsidR="00B12EFF" w:rsidRDefault="00554303">
            <w:pPr>
              <w:jc w:val="center"/>
            </w:pPr>
            <w:r>
              <w:rPr>
                <w:sz w:val="18"/>
              </w:rPr>
              <w:t>0,0496</w:t>
            </w:r>
          </w:p>
        </w:tc>
        <w:tc>
          <w:tcPr>
            <w:tcW w:w="1560" w:type="dxa"/>
            <w:tcBorders>
              <w:top w:val="single" w:sz="4" w:space="0" w:color="000000"/>
              <w:bottom w:val="single" w:sz="4" w:space="0" w:color="000000"/>
            </w:tcBorders>
          </w:tcPr>
          <w:p w:rsidR="00B12EFF" w:rsidRDefault="00554303">
            <w:pPr>
              <w:jc w:val="center"/>
            </w:pPr>
            <w:r>
              <w:rPr>
                <w:sz w:val="18"/>
              </w:rPr>
              <w:t>10.935,41</w:t>
            </w:r>
          </w:p>
        </w:tc>
      </w:tr>
      <w:tr w:rsidR="00B12EFF">
        <w:trPr>
          <w:jc w:val="center"/>
        </w:trPr>
        <w:tc>
          <w:tcPr>
            <w:tcW w:w="1560" w:type="dxa"/>
            <w:tcBorders>
              <w:top w:val="single" w:sz="4" w:space="0" w:color="000000"/>
              <w:bottom w:val="single" w:sz="4" w:space="0" w:color="000000"/>
            </w:tcBorders>
          </w:tcPr>
          <w:p w:rsidR="00B12EFF" w:rsidRDefault="00554303">
            <w:pPr>
              <w:jc w:val="center"/>
            </w:pPr>
            <w:r>
              <w:rPr>
                <w:sz w:val="18"/>
              </w:rPr>
              <w:t>2021</w:t>
            </w:r>
          </w:p>
        </w:tc>
        <w:tc>
          <w:tcPr>
            <w:tcW w:w="1560" w:type="dxa"/>
            <w:tcBorders>
              <w:top w:val="single" w:sz="4" w:space="0" w:color="000000"/>
              <w:bottom w:val="single" w:sz="4" w:space="0" w:color="000000"/>
            </w:tcBorders>
          </w:tcPr>
          <w:p w:rsidR="00B12EFF" w:rsidRDefault="00554303">
            <w:pPr>
              <w:jc w:val="center"/>
            </w:pPr>
            <w:r>
              <w:rPr>
                <w:sz w:val="18"/>
              </w:rPr>
              <w:t>COVID Crisis</w:t>
            </w:r>
          </w:p>
        </w:tc>
        <w:tc>
          <w:tcPr>
            <w:tcW w:w="1560" w:type="dxa"/>
            <w:tcBorders>
              <w:top w:val="single" w:sz="4" w:space="0" w:color="000000"/>
              <w:bottom w:val="single" w:sz="4" w:space="0" w:color="000000"/>
            </w:tcBorders>
          </w:tcPr>
          <w:p w:rsidR="00B12EFF" w:rsidRDefault="00554303">
            <w:pPr>
              <w:jc w:val="center"/>
            </w:pPr>
            <w:r>
              <w:rPr>
                <w:sz w:val="18"/>
              </w:rPr>
              <w:t>6</w:t>
            </w:r>
          </w:p>
        </w:tc>
        <w:tc>
          <w:tcPr>
            <w:tcW w:w="1560" w:type="dxa"/>
            <w:tcBorders>
              <w:top w:val="single" w:sz="4" w:space="0" w:color="000000"/>
              <w:bottom w:val="single" w:sz="4" w:space="0" w:color="000000"/>
            </w:tcBorders>
          </w:tcPr>
          <w:p w:rsidR="00B12EFF" w:rsidRDefault="00554303">
            <w:pPr>
              <w:jc w:val="center"/>
            </w:pPr>
            <w:r>
              <w:rPr>
                <w:sz w:val="18"/>
              </w:rPr>
              <w:t>80.792,73</w:t>
            </w:r>
          </w:p>
        </w:tc>
        <w:tc>
          <w:tcPr>
            <w:tcW w:w="1560" w:type="dxa"/>
            <w:tcBorders>
              <w:top w:val="single" w:sz="4" w:space="0" w:color="000000"/>
              <w:bottom w:val="single" w:sz="4" w:space="0" w:color="000000"/>
            </w:tcBorders>
          </w:tcPr>
          <w:p w:rsidR="00B12EFF" w:rsidRDefault="00554303">
            <w:pPr>
              <w:jc w:val="center"/>
            </w:pPr>
            <w:r>
              <w:rPr>
                <w:sz w:val="18"/>
              </w:rPr>
              <w:t>0,0585</w:t>
            </w:r>
          </w:p>
        </w:tc>
        <w:tc>
          <w:tcPr>
            <w:tcW w:w="1560" w:type="dxa"/>
            <w:tcBorders>
              <w:top w:val="single" w:sz="4" w:space="0" w:color="000000"/>
              <w:bottom w:val="single" w:sz="4" w:space="0" w:color="000000"/>
            </w:tcBorders>
          </w:tcPr>
          <w:p w:rsidR="00B12EFF" w:rsidRDefault="00554303">
            <w:pPr>
              <w:jc w:val="center"/>
            </w:pPr>
            <w:r>
              <w:rPr>
                <w:sz w:val="18"/>
              </w:rPr>
              <w:t>4.595,64</w:t>
            </w:r>
          </w:p>
        </w:tc>
      </w:tr>
      <w:tr w:rsidR="00B12EFF">
        <w:trPr>
          <w:jc w:val="center"/>
        </w:trPr>
        <w:tc>
          <w:tcPr>
            <w:tcW w:w="1560" w:type="dxa"/>
            <w:tcBorders>
              <w:top w:val="single" w:sz="4" w:space="0" w:color="000000"/>
              <w:bottom w:val="single" w:sz="4" w:space="0" w:color="000000"/>
            </w:tcBorders>
          </w:tcPr>
          <w:p w:rsidR="00B12EFF" w:rsidRDefault="00554303">
            <w:pPr>
              <w:jc w:val="center"/>
            </w:pPr>
            <w:r>
              <w:rPr>
                <w:sz w:val="18"/>
              </w:rPr>
              <w:t>2022</w:t>
            </w:r>
          </w:p>
        </w:tc>
        <w:tc>
          <w:tcPr>
            <w:tcW w:w="1560" w:type="dxa"/>
            <w:tcBorders>
              <w:top w:val="single" w:sz="4" w:space="0" w:color="000000"/>
              <w:bottom w:val="single" w:sz="4" w:space="0" w:color="000000"/>
            </w:tcBorders>
          </w:tcPr>
          <w:p w:rsidR="00B12EFF" w:rsidRDefault="00554303">
            <w:pPr>
              <w:jc w:val="center"/>
            </w:pPr>
            <w:r>
              <w:rPr>
                <w:sz w:val="18"/>
              </w:rPr>
              <w:t>Recovery</w:t>
            </w:r>
          </w:p>
        </w:tc>
        <w:tc>
          <w:tcPr>
            <w:tcW w:w="1560" w:type="dxa"/>
            <w:tcBorders>
              <w:top w:val="single" w:sz="4" w:space="0" w:color="000000"/>
              <w:bottom w:val="single" w:sz="4" w:space="0" w:color="000000"/>
            </w:tcBorders>
          </w:tcPr>
          <w:p w:rsidR="00B12EFF" w:rsidRDefault="00554303">
            <w:pPr>
              <w:jc w:val="center"/>
            </w:pPr>
            <w:r>
              <w:rPr>
                <w:sz w:val="18"/>
              </w:rPr>
              <w:t>5</w:t>
            </w:r>
          </w:p>
        </w:tc>
        <w:tc>
          <w:tcPr>
            <w:tcW w:w="1560" w:type="dxa"/>
            <w:tcBorders>
              <w:top w:val="single" w:sz="4" w:space="0" w:color="000000"/>
              <w:bottom w:val="single" w:sz="4" w:space="0" w:color="000000"/>
            </w:tcBorders>
          </w:tcPr>
          <w:p w:rsidR="00B12EFF" w:rsidRDefault="00554303">
            <w:pPr>
              <w:jc w:val="center"/>
            </w:pPr>
            <w:r>
              <w:rPr>
                <w:sz w:val="18"/>
              </w:rPr>
              <w:t>138.331,39</w:t>
            </w:r>
          </w:p>
        </w:tc>
        <w:tc>
          <w:tcPr>
            <w:tcW w:w="1560" w:type="dxa"/>
            <w:tcBorders>
              <w:top w:val="single" w:sz="4" w:space="0" w:color="000000"/>
              <w:bottom w:val="single" w:sz="4" w:space="0" w:color="000000"/>
            </w:tcBorders>
          </w:tcPr>
          <w:p w:rsidR="00B12EFF" w:rsidRDefault="00554303">
            <w:pPr>
              <w:jc w:val="center"/>
            </w:pPr>
            <w:r>
              <w:rPr>
                <w:sz w:val="18"/>
              </w:rPr>
              <w:t>0,0138</w:t>
            </w:r>
          </w:p>
        </w:tc>
        <w:tc>
          <w:tcPr>
            <w:tcW w:w="1560" w:type="dxa"/>
            <w:tcBorders>
              <w:top w:val="single" w:sz="4" w:space="0" w:color="000000"/>
              <w:bottom w:val="single" w:sz="4" w:space="0" w:color="000000"/>
            </w:tcBorders>
          </w:tcPr>
          <w:p w:rsidR="00B12EFF" w:rsidRDefault="00554303">
            <w:pPr>
              <w:jc w:val="center"/>
            </w:pPr>
            <w:r>
              <w:rPr>
                <w:sz w:val="18"/>
              </w:rPr>
              <w:t>-28.915,23</w:t>
            </w:r>
          </w:p>
        </w:tc>
      </w:tr>
      <w:tr w:rsidR="00B12EFF">
        <w:trPr>
          <w:jc w:val="center"/>
        </w:trPr>
        <w:tc>
          <w:tcPr>
            <w:tcW w:w="1560" w:type="dxa"/>
            <w:tcBorders>
              <w:top w:val="single" w:sz="4" w:space="0" w:color="000000"/>
              <w:bottom w:val="single" w:sz="4" w:space="0" w:color="000000"/>
            </w:tcBorders>
          </w:tcPr>
          <w:p w:rsidR="00B12EFF" w:rsidRDefault="00554303">
            <w:pPr>
              <w:jc w:val="center"/>
            </w:pPr>
            <w:r>
              <w:rPr>
                <w:sz w:val="18"/>
              </w:rPr>
              <w:t>2023</w:t>
            </w:r>
          </w:p>
        </w:tc>
        <w:tc>
          <w:tcPr>
            <w:tcW w:w="1560" w:type="dxa"/>
            <w:tcBorders>
              <w:top w:val="single" w:sz="4" w:space="0" w:color="000000"/>
              <w:bottom w:val="single" w:sz="4" w:space="0" w:color="000000"/>
            </w:tcBorders>
          </w:tcPr>
          <w:p w:rsidR="00B12EFF" w:rsidRDefault="00554303">
            <w:pPr>
              <w:jc w:val="center"/>
            </w:pPr>
            <w:r>
              <w:rPr>
                <w:sz w:val="18"/>
              </w:rPr>
              <w:t>Recovery</w:t>
            </w:r>
          </w:p>
        </w:tc>
        <w:tc>
          <w:tcPr>
            <w:tcW w:w="1560" w:type="dxa"/>
            <w:tcBorders>
              <w:top w:val="single" w:sz="4" w:space="0" w:color="000000"/>
              <w:bottom w:val="single" w:sz="4" w:space="0" w:color="000000"/>
            </w:tcBorders>
          </w:tcPr>
          <w:p w:rsidR="00B12EFF" w:rsidRDefault="00554303">
            <w:pPr>
              <w:jc w:val="center"/>
            </w:pPr>
            <w:r>
              <w:rPr>
                <w:sz w:val="18"/>
              </w:rPr>
              <w:t>2</w:t>
            </w:r>
          </w:p>
        </w:tc>
        <w:tc>
          <w:tcPr>
            <w:tcW w:w="1560" w:type="dxa"/>
            <w:tcBorders>
              <w:top w:val="single" w:sz="4" w:space="0" w:color="000000"/>
              <w:bottom w:val="single" w:sz="4" w:space="0" w:color="000000"/>
            </w:tcBorders>
          </w:tcPr>
          <w:p w:rsidR="00B12EFF" w:rsidRDefault="00554303">
            <w:pPr>
              <w:jc w:val="center"/>
            </w:pPr>
            <w:r>
              <w:rPr>
                <w:sz w:val="18"/>
              </w:rPr>
              <w:t>212.737,22</w:t>
            </w:r>
          </w:p>
        </w:tc>
        <w:tc>
          <w:tcPr>
            <w:tcW w:w="1560" w:type="dxa"/>
            <w:tcBorders>
              <w:top w:val="single" w:sz="4" w:space="0" w:color="000000"/>
              <w:bottom w:val="single" w:sz="4" w:space="0" w:color="000000"/>
            </w:tcBorders>
          </w:tcPr>
          <w:p w:rsidR="00B12EFF" w:rsidRDefault="00554303">
            <w:pPr>
              <w:jc w:val="center"/>
            </w:pPr>
            <w:r>
              <w:rPr>
                <w:sz w:val="18"/>
              </w:rPr>
              <w:t>0,0905</w:t>
            </w:r>
          </w:p>
        </w:tc>
        <w:tc>
          <w:tcPr>
            <w:tcW w:w="1560" w:type="dxa"/>
            <w:tcBorders>
              <w:top w:val="single" w:sz="4" w:space="0" w:color="000000"/>
              <w:bottom w:val="single" w:sz="4" w:space="0" w:color="000000"/>
            </w:tcBorders>
          </w:tcPr>
          <w:p w:rsidR="00B12EFF" w:rsidRDefault="00554303">
            <w:pPr>
              <w:jc w:val="center"/>
            </w:pPr>
            <w:r>
              <w:rPr>
                <w:sz w:val="18"/>
              </w:rPr>
              <w:t>-89.231,81</w:t>
            </w:r>
          </w:p>
        </w:tc>
      </w:tr>
      <w:tr w:rsidR="00B12EFF">
        <w:trPr>
          <w:jc w:val="center"/>
        </w:trPr>
        <w:tc>
          <w:tcPr>
            <w:tcW w:w="1560" w:type="dxa"/>
            <w:tcBorders>
              <w:top w:val="single" w:sz="4" w:space="0" w:color="000000"/>
              <w:bottom w:val="single" w:sz="4" w:space="0" w:color="000000"/>
            </w:tcBorders>
          </w:tcPr>
          <w:p w:rsidR="00B12EFF" w:rsidRDefault="00554303">
            <w:pPr>
              <w:jc w:val="center"/>
            </w:pPr>
            <w:r>
              <w:rPr>
                <w:sz w:val="18"/>
              </w:rPr>
              <w:lastRenderedPageBreak/>
              <w:t>2024</w:t>
            </w:r>
          </w:p>
        </w:tc>
        <w:tc>
          <w:tcPr>
            <w:tcW w:w="1560" w:type="dxa"/>
            <w:tcBorders>
              <w:top w:val="single" w:sz="4" w:space="0" w:color="000000"/>
              <w:bottom w:val="single" w:sz="4" w:space="0" w:color="000000"/>
            </w:tcBorders>
          </w:tcPr>
          <w:p w:rsidR="00B12EFF" w:rsidRDefault="00554303">
            <w:pPr>
              <w:jc w:val="center"/>
            </w:pPr>
            <w:r>
              <w:rPr>
                <w:sz w:val="18"/>
              </w:rPr>
              <w:t>Recovery</w:t>
            </w:r>
          </w:p>
        </w:tc>
        <w:tc>
          <w:tcPr>
            <w:tcW w:w="1560" w:type="dxa"/>
            <w:tcBorders>
              <w:top w:val="single" w:sz="4" w:space="0" w:color="000000"/>
              <w:bottom w:val="single" w:sz="4" w:space="0" w:color="000000"/>
            </w:tcBorders>
          </w:tcPr>
          <w:p w:rsidR="00B12EFF" w:rsidRDefault="00554303">
            <w:pPr>
              <w:jc w:val="center"/>
            </w:pPr>
            <w:r>
              <w:rPr>
                <w:sz w:val="18"/>
              </w:rPr>
              <w:t>3</w:t>
            </w:r>
          </w:p>
        </w:tc>
        <w:tc>
          <w:tcPr>
            <w:tcW w:w="1560" w:type="dxa"/>
            <w:tcBorders>
              <w:top w:val="single" w:sz="4" w:space="0" w:color="000000"/>
              <w:bottom w:val="single" w:sz="4" w:space="0" w:color="000000"/>
            </w:tcBorders>
          </w:tcPr>
          <w:p w:rsidR="00B12EFF" w:rsidRDefault="00554303">
            <w:pPr>
              <w:jc w:val="center"/>
            </w:pPr>
            <w:r>
              <w:rPr>
                <w:sz w:val="18"/>
              </w:rPr>
              <w:t>163.307,13</w:t>
            </w:r>
          </w:p>
        </w:tc>
        <w:tc>
          <w:tcPr>
            <w:tcW w:w="1560" w:type="dxa"/>
            <w:tcBorders>
              <w:top w:val="single" w:sz="4" w:space="0" w:color="000000"/>
              <w:bottom w:val="single" w:sz="4" w:space="0" w:color="000000"/>
            </w:tcBorders>
          </w:tcPr>
          <w:p w:rsidR="00B12EFF" w:rsidRDefault="00554303">
            <w:pPr>
              <w:jc w:val="center"/>
            </w:pPr>
            <w:r>
              <w:rPr>
                <w:sz w:val="18"/>
              </w:rPr>
              <w:t>0,0279</w:t>
            </w:r>
          </w:p>
        </w:tc>
        <w:tc>
          <w:tcPr>
            <w:tcW w:w="1560" w:type="dxa"/>
            <w:tcBorders>
              <w:top w:val="single" w:sz="4" w:space="0" w:color="000000"/>
              <w:bottom w:val="single" w:sz="4" w:space="0" w:color="000000"/>
            </w:tcBorders>
          </w:tcPr>
          <w:p w:rsidR="00B12EFF" w:rsidRDefault="00554303">
            <w:pPr>
              <w:jc w:val="center"/>
            </w:pPr>
            <w:r>
              <w:rPr>
                <w:sz w:val="18"/>
              </w:rPr>
              <w:t>-57.135,11</w:t>
            </w:r>
          </w:p>
        </w:tc>
      </w:tr>
    </w:tbl>
    <w:p w:rsidR="00B12EFF" w:rsidRDefault="00554303">
      <w:pPr>
        <w:spacing w:after="60"/>
        <w:jc w:val="center"/>
      </w:pPr>
      <w:r>
        <w:rPr>
          <w:i/>
          <w:sz w:val="18"/>
        </w:rPr>
        <w:t>Sumber: Hasil olah data pipeline GMM (2025)</w:t>
      </w:r>
    </w:p>
    <w:p w:rsidR="00B12EFF" w:rsidRDefault="00554303">
      <w:pPr>
        <w:spacing w:after="120"/>
        <w:jc w:val="both"/>
      </w:pPr>
      <w:r>
        <w:rPr>
          <w:i/>
          <w:sz w:val="16"/>
        </w:rPr>
        <w:t>K optimal dipilih berdasarkan BIC minimum per periode. Silhouette Score dan Log Likelihood</w:t>
      </w:r>
      <w:r>
        <w:rPr>
          <w:i/>
          <w:sz w:val="16"/>
        </w:rPr>
        <w:t xml:space="preserve"> disertakan sebagai metrik pendukung.</w:t>
      </w:r>
    </w:p>
    <w:p w:rsidR="00B12EFF" w:rsidRDefault="00554303">
      <w:pPr>
        <w:spacing w:before="120" w:after="60" w:line="276" w:lineRule="auto"/>
        <w:jc w:val="center"/>
      </w:pPr>
      <w:r>
        <w:rPr>
          <w:noProof/>
        </w:rPr>
        <w:drawing>
          <wp:inline distT="0" distB="0" distL="0" distR="0">
            <wp:extent cx="2658140" cy="1594884"/>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3a_silhouette.png"/>
                    <pic:cNvPicPr/>
                  </pic:nvPicPr>
                  <pic:blipFill>
                    <a:blip r:embed="rId7"/>
                    <a:stretch>
                      <a:fillRect/>
                    </a:stretch>
                  </pic:blipFill>
                  <pic:spPr>
                    <a:xfrm>
                      <a:off x="0" y="0"/>
                      <a:ext cx="2673821" cy="1604292"/>
                    </a:xfrm>
                    <a:prstGeom prst="rect">
                      <a:avLst/>
                    </a:prstGeom>
                  </pic:spPr>
                </pic:pic>
              </a:graphicData>
            </a:graphic>
          </wp:inline>
        </w:drawing>
      </w:r>
    </w:p>
    <w:p w:rsidR="00B12EFF" w:rsidRDefault="00554303">
      <w:pPr>
        <w:spacing w:after="60"/>
        <w:jc w:val="center"/>
      </w:pPr>
      <w:r>
        <w:t>Gambar 2. Silhouette Score per jumlah klaster (K=2-6) pada enam periode 2019-2024</w:t>
      </w:r>
    </w:p>
    <w:p w:rsidR="00B12EFF" w:rsidRDefault="00554303">
      <w:pPr>
        <w:spacing w:after="120"/>
        <w:jc w:val="center"/>
      </w:pPr>
      <w:r>
        <w:rPr>
          <w:i/>
          <w:sz w:val="18"/>
        </w:rPr>
        <w:t>Sumber: Hasil olah data pipeline GMM (2025)</w:t>
      </w:r>
    </w:p>
    <w:p w:rsidR="00B12EFF" w:rsidRDefault="00554303">
      <w:pPr>
        <w:spacing w:after="60" w:line="276" w:lineRule="auto"/>
        <w:jc w:val="both"/>
      </w:pPr>
      <w:r>
        <w:rPr>
          <w:sz w:val="24"/>
        </w:rPr>
        <w:t>Seluruh 5 transisi antar periode (2019→2024) terkonfirmasi sebagai structural break dengan ARI [12] &lt; 0,30 (kisaran -0,0036 hingga 0,0160), di mana dua transisi menunjukkan disrupsi paling ekstrem dengan ARI negatif. Pada transisi Baseline ke COVID Crisis (2019→2020), nilai ARI tercatat sebesar -0,0036, yang mengindikasikan perombakan mendasar dalam preferensi pendaftar akibat pandemi. Pada fase pemulihan akhir (2022→2023), kembali terjadi guncangan struktural dengan ARI = -0,0036, di mana dominasi program studi IT mengalami konsolidasi ekstrem ke satu segmen (92,6%). Transisi 2020→2021 (ARI = 0,0160), 2021→2022 (ARI = 0,0055), dan 2023→2024 (ARI = 0,0021) turut mengonfirmasi pola perubahan struktural yang persisten (Tabel 3). Visualisasi ARI pada seluruh transisi disajikan pada Gambar 3 [16].</w:t>
      </w:r>
      <w:r>
        <w:rPr>
          <w:sz w:val="24"/>
        </w:rPr>
      </w:r>
      <w:r>
        <w:rPr>
          <w:sz w:val="24"/>
        </w:rPr>
      </w:r>
      <w:r>
        <w:rPr>
          <w:sz w:val="24"/>
        </w:rPr>
      </w:r>
    </w:p>
    <w:p w:rsidR="00B12EFF" w:rsidRDefault="00B12EFF">
      <w:pPr>
        <w:spacing w:after="60" w:line="276" w:lineRule="auto"/>
      </w:pPr>
    </w:p>
    <w:p w:rsidR="00B12EFF" w:rsidRDefault="00554303">
      <w:pPr>
        <w:spacing w:after="60"/>
        <w:jc w:val="center"/>
      </w:pPr>
      <w:r>
        <w:rPr>
          <w:sz w:val="22"/>
        </w:rPr>
        <w:t xml:space="preserve">Tabel 3. Stabilitas Temporal dan Lifecycle Klaster (ARI, </w:t>
      </w:r>
      <w:r>
        <w:rPr>
          <w:sz w:val="22"/>
        </w:rPr>
        <w:t>Jaccard, Centroid Drift)</w:t>
      </w:r>
    </w:p>
    <w:tbl>
      <w:tblPr>
        <w:tblW w:w="0" w:type="auto"/>
        <w:jc w:val="center"/>
        <w:tblBorders>
          <w:top w:val="single" w:sz="4" w:space="0" w:color="000000"/>
          <w:bottom w:val="single" w:sz="4" w:space="0" w:color="000000"/>
          <w:insideH w:val="single" w:sz="4" w:space="0" w:color="000000"/>
          <w:insideV w:val="nil"/>
        </w:tblBorders>
        <w:tblLook w:val="04A0" w:firstRow="1" w:lastRow="0" w:firstColumn="1" w:lastColumn="0" w:noHBand="0" w:noVBand="1"/>
      </w:tblPr>
      <w:tblGrid>
        <w:gridCol w:w="832"/>
        <w:gridCol w:w="621"/>
        <w:gridCol w:w="680"/>
        <w:gridCol w:w="722"/>
        <w:gridCol w:w="732"/>
        <w:gridCol w:w="722"/>
      </w:tblGrid>
      <w:tr w:rsidR="00B12EFF">
        <w:trPr>
          <w:jc w:val="center"/>
        </w:trPr>
        <w:tc>
          <w:tcPr>
            <w:tcW w:w="1560" w:type="dxa"/>
            <w:tcBorders>
              <w:top w:val="single" w:sz="4" w:space="0" w:color="000000"/>
              <w:bottom w:val="single" w:sz="4" w:space="0" w:color="000000"/>
            </w:tcBorders>
          </w:tcPr>
          <w:p w:rsidR="00B12EFF" w:rsidRDefault="00554303">
            <w:pPr>
              <w:jc w:val="center"/>
            </w:pPr>
            <w:r>
              <w:rPr>
                <w:b/>
                <w:sz w:val="18"/>
              </w:rPr>
              <w:t>Transisi</w:t>
            </w:r>
          </w:p>
        </w:tc>
        <w:tc>
          <w:tcPr>
            <w:tcW w:w="1560" w:type="dxa"/>
            <w:tcBorders>
              <w:top w:val="single" w:sz="4" w:space="0" w:color="000000"/>
              <w:bottom w:val="single" w:sz="4" w:space="0" w:color="000000"/>
            </w:tcBorders>
          </w:tcPr>
          <w:p w:rsidR="00B12EFF" w:rsidRDefault="00554303">
            <w:pPr>
              <w:jc w:val="center"/>
            </w:pPr>
            <w:r>
              <w:rPr>
                <w:b/>
                <w:sz w:val="18"/>
              </w:rPr>
              <w:t>ARI</w:t>
            </w:r>
          </w:p>
        </w:tc>
        <w:tc>
          <w:tcPr>
            <w:tcW w:w="1560" w:type="dxa"/>
            <w:tcBorders>
              <w:top w:val="single" w:sz="4" w:space="0" w:color="000000"/>
              <w:bottom w:val="single" w:sz="4" w:space="0" w:color="000000"/>
            </w:tcBorders>
          </w:tcPr>
          <w:p w:rsidR="00B12EFF" w:rsidRDefault="00554303">
            <w:pPr>
              <w:jc w:val="center"/>
            </w:pPr>
            <w:r>
              <w:rPr>
                <w:b/>
                <w:sz w:val="18"/>
              </w:rPr>
              <w:t>Jaccard</w:t>
            </w:r>
          </w:p>
        </w:tc>
        <w:tc>
          <w:tcPr>
            <w:tcW w:w="1560" w:type="dxa"/>
            <w:tcBorders>
              <w:top w:val="single" w:sz="4" w:space="0" w:color="000000"/>
              <w:bottom w:val="single" w:sz="4" w:space="0" w:color="000000"/>
            </w:tcBorders>
          </w:tcPr>
          <w:p w:rsidR="00B12EFF" w:rsidRDefault="00554303">
            <w:pPr>
              <w:jc w:val="center"/>
            </w:pPr>
            <w:r>
              <w:rPr>
                <w:b/>
                <w:sz w:val="18"/>
              </w:rPr>
              <w:t>Centroid Drift</w:t>
            </w:r>
          </w:p>
        </w:tc>
        <w:tc>
          <w:tcPr>
            <w:tcW w:w="1560" w:type="dxa"/>
            <w:tcBorders>
              <w:top w:val="single" w:sz="4" w:space="0" w:color="000000"/>
              <w:bottom w:val="single" w:sz="4" w:space="0" w:color="000000"/>
            </w:tcBorders>
          </w:tcPr>
          <w:p w:rsidR="00B12EFF" w:rsidRDefault="00554303">
            <w:pPr>
              <w:jc w:val="center"/>
            </w:pPr>
            <w:r>
              <w:rPr>
                <w:b/>
                <w:sz w:val="18"/>
              </w:rPr>
              <w:t>Kategori</w:t>
            </w:r>
          </w:p>
        </w:tc>
        <w:tc>
          <w:tcPr>
            <w:tcW w:w="1560" w:type="dxa"/>
            <w:tcBorders>
              <w:top w:val="single" w:sz="4" w:space="0" w:color="000000"/>
              <w:bottom w:val="single" w:sz="4" w:space="0" w:color="000000"/>
            </w:tcBorders>
          </w:tcPr>
          <w:p w:rsidR="00B12EFF" w:rsidRDefault="00554303">
            <w:pPr>
              <w:jc w:val="center"/>
            </w:pPr>
            <w:r>
              <w:rPr>
                <w:b/>
                <w:sz w:val="18"/>
              </w:rPr>
              <w:t>Lifecycle</w:t>
            </w:r>
          </w:p>
        </w:tc>
      </w:tr>
      <w:tr w:rsidR="00B12EFF">
        <w:trPr>
          <w:jc w:val="center"/>
        </w:trPr>
        <w:tc>
          <w:tcPr>
            <w:tcW w:w="1560" w:type="dxa"/>
            <w:tcBorders>
              <w:top w:val="single" w:sz="4" w:space="0" w:color="000000"/>
              <w:bottom w:val="single" w:sz="4" w:space="0" w:color="000000"/>
            </w:tcBorders>
          </w:tcPr>
          <w:p w:rsidR="00B12EFF" w:rsidRDefault="00554303">
            <w:pPr>
              <w:jc w:val="center"/>
            </w:pPr>
            <w:r>
              <w:rPr>
                <w:sz w:val="18"/>
              </w:rPr>
              <w:t>2019→202</w:t>
            </w:r>
            <w:r>
              <w:rPr>
                <w:sz w:val="18"/>
              </w:rPr>
              <w:t>0</w:t>
            </w:r>
          </w:p>
        </w:tc>
        <w:tc>
          <w:tcPr>
            <w:tcW w:w="1560" w:type="dxa"/>
            <w:tcBorders>
              <w:top w:val="single" w:sz="4" w:space="0" w:color="000000"/>
              <w:bottom w:val="single" w:sz="4" w:space="0" w:color="000000"/>
            </w:tcBorders>
          </w:tcPr>
          <w:p w:rsidR="00B12EFF" w:rsidRDefault="00554303">
            <w:pPr>
              <w:jc w:val="center"/>
            </w:pPr>
            <w:r>
              <w:rPr>
                <w:sz w:val="18"/>
              </w:rPr>
              <w:t>-0,0036</w:t>
            </w:r>
          </w:p>
        </w:tc>
        <w:tc>
          <w:tcPr>
            <w:tcW w:w="1560" w:type="dxa"/>
            <w:tcBorders>
              <w:top w:val="single" w:sz="4" w:space="0" w:color="000000"/>
              <w:bottom w:val="single" w:sz="4" w:space="0" w:color="000000"/>
            </w:tcBorders>
          </w:tcPr>
          <w:p w:rsidR="00B12EFF" w:rsidRDefault="00554303">
            <w:pPr>
              <w:jc w:val="center"/>
            </w:pPr>
            <w:r>
              <w:rPr>
                <w:sz w:val="18"/>
              </w:rPr>
              <w:t>1,0000</w:t>
            </w:r>
          </w:p>
        </w:tc>
        <w:tc>
          <w:tcPr>
            <w:tcW w:w="1560" w:type="dxa"/>
            <w:tcBorders>
              <w:top w:val="single" w:sz="4" w:space="0" w:color="000000"/>
              <w:bottom w:val="single" w:sz="4" w:space="0" w:color="000000"/>
            </w:tcBorders>
          </w:tcPr>
          <w:p w:rsidR="00B12EFF" w:rsidRDefault="00554303">
            <w:pPr>
              <w:jc w:val="center"/>
            </w:pPr>
            <w:r>
              <w:rPr>
                <w:sz w:val="18"/>
              </w:rPr>
              <w:t>20,36</w:t>
            </w:r>
          </w:p>
        </w:tc>
        <w:tc>
          <w:tcPr>
            <w:tcW w:w="1560" w:type="dxa"/>
            <w:tcBorders>
              <w:top w:val="single" w:sz="4" w:space="0" w:color="000000"/>
              <w:bottom w:val="single" w:sz="4" w:space="0" w:color="000000"/>
            </w:tcBorders>
          </w:tcPr>
          <w:p w:rsidR="00B12EFF" w:rsidRDefault="00554303">
            <w:pPr>
              <w:jc w:val="center"/>
            </w:pPr>
            <w:r>
              <w:rPr>
                <w:sz w:val="18"/>
              </w:rPr>
              <w:t>Structural Break</w:t>
            </w:r>
          </w:p>
        </w:tc>
        <w:tc>
          <w:tcPr>
            <w:tcW w:w="1560" w:type="dxa"/>
            <w:tcBorders>
              <w:top w:val="single" w:sz="4" w:space="0" w:color="000000"/>
              <w:bottom w:val="single" w:sz="4" w:space="0" w:color="000000"/>
            </w:tcBorders>
          </w:tcPr>
          <w:p w:rsidR="00B12EFF" w:rsidRDefault="00554303">
            <w:pPr>
              <w:jc w:val="center"/>
            </w:pPr>
            <w:r>
              <w:rPr>
                <w:sz w:val="18"/>
              </w:rPr>
              <w:t>Growth</w:t>
            </w:r>
          </w:p>
        </w:tc>
      </w:tr>
      <w:tr w:rsidR="00B12EFF">
        <w:trPr>
          <w:jc w:val="center"/>
        </w:trPr>
        <w:tc>
          <w:tcPr>
            <w:tcW w:w="1560" w:type="dxa"/>
            <w:tcBorders>
              <w:top w:val="single" w:sz="4" w:space="0" w:color="000000"/>
              <w:bottom w:val="single" w:sz="4" w:space="0" w:color="000000"/>
            </w:tcBorders>
          </w:tcPr>
          <w:p w:rsidR="00B12EFF" w:rsidRDefault="00554303">
            <w:pPr>
              <w:jc w:val="center"/>
            </w:pPr>
            <w:r>
              <w:rPr>
                <w:sz w:val="18"/>
              </w:rPr>
              <w:t>2020→2021</w:t>
            </w:r>
          </w:p>
        </w:tc>
        <w:tc>
          <w:tcPr>
            <w:tcW w:w="1560" w:type="dxa"/>
            <w:tcBorders>
              <w:top w:val="single" w:sz="4" w:space="0" w:color="000000"/>
              <w:bottom w:val="single" w:sz="4" w:space="0" w:color="000000"/>
            </w:tcBorders>
          </w:tcPr>
          <w:p w:rsidR="00B12EFF" w:rsidRDefault="00554303">
            <w:pPr>
              <w:jc w:val="center"/>
            </w:pPr>
            <w:r>
              <w:rPr>
                <w:sz w:val="18"/>
              </w:rPr>
              <w:t>0,0160</w:t>
            </w:r>
          </w:p>
        </w:tc>
        <w:tc>
          <w:tcPr>
            <w:tcW w:w="1560" w:type="dxa"/>
            <w:tcBorders>
              <w:top w:val="single" w:sz="4" w:space="0" w:color="000000"/>
              <w:bottom w:val="single" w:sz="4" w:space="0" w:color="000000"/>
            </w:tcBorders>
          </w:tcPr>
          <w:p w:rsidR="00B12EFF" w:rsidRDefault="00554303">
            <w:pPr>
              <w:jc w:val="center"/>
            </w:pPr>
            <w:r>
              <w:rPr>
                <w:sz w:val="18"/>
              </w:rPr>
              <w:t>1,0000</w:t>
            </w:r>
          </w:p>
        </w:tc>
        <w:tc>
          <w:tcPr>
            <w:tcW w:w="1560" w:type="dxa"/>
            <w:tcBorders>
              <w:top w:val="single" w:sz="4" w:space="0" w:color="000000"/>
              <w:bottom w:val="single" w:sz="4" w:space="0" w:color="000000"/>
            </w:tcBorders>
          </w:tcPr>
          <w:p w:rsidR="00B12EFF" w:rsidRDefault="00554303">
            <w:pPr>
              <w:jc w:val="center"/>
            </w:pPr>
            <w:r>
              <w:rPr>
                <w:sz w:val="18"/>
              </w:rPr>
              <w:t>17,25</w:t>
            </w:r>
          </w:p>
        </w:tc>
        <w:tc>
          <w:tcPr>
            <w:tcW w:w="1560" w:type="dxa"/>
            <w:tcBorders>
              <w:top w:val="single" w:sz="4" w:space="0" w:color="000000"/>
              <w:bottom w:val="single" w:sz="4" w:space="0" w:color="000000"/>
            </w:tcBorders>
          </w:tcPr>
          <w:p w:rsidR="00B12EFF" w:rsidRDefault="00554303">
            <w:pPr>
              <w:jc w:val="center"/>
            </w:pPr>
            <w:r>
              <w:rPr>
                <w:sz w:val="18"/>
              </w:rPr>
              <w:t>Structural Break</w:t>
            </w:r>
          </w:p>
        </w:tc>
        <w:tc>
          <w:tcPr>
            <w:tcW w:w="1560" w:type="dxa"/>
            <w:tcBorders>
              <w:top w:val="single" w:sz="4" w:space="0" w:color="000000"/>
              <w:bottom w:val="single" w:sz="4" w:space="0" w:color="000000"/>
            </w:tcBorders>
          </w:tcPr>
          <w:p w:rsidR="00B12EFF" w:rsidRDefault="00554303">
            <w:pPr>
              <w:jc w:val="center"/>
            </w:pPr>
            <w:r>
              <w:rPr>
                <w:sz w:val="18"/>
              </w:rPr>
              <w:t>Growth</w:t>
            </w:r>
          </w:p>
        </w:tc>
      </w:tr>
      <w:tr w:rsidR="00B12EFF">
        <w:trPr>
          <w:jc w:val="center"/>
        </w:trPr>
        <w:tc>
          <w:tcPr>
            <w:tcW w:w="1560" w:type="dxa"/>
            <w:tcBorders>
              <w:top w:val="single" w:sz="4" w:space="0" w:color="000000"/>
              <w:bottom w:val="single" w:sz="4" w:space="0" w:color="000000"/>
            </w:tcBorders>
          </w:tcPr>
          <w:p w:rsidR="00B12EFF" w:rsidRDefault="00554303">
            <w:pPr>
              <w:jc w:val="center"/>
            </w:pPr>
            <w:r>
              <w:rPr>
                <w:sz w:val="18"/>
              </w:rPr>
              <w:t>2021→2022</w:t>
            </w:r>
          </w:p>
        </w:tc>
        <w:tc>
          <w:tcPr>
            <w:tcW w:w="1560" w:type="dxa"/>
            <w:tcBorders>
              <w:top w:val="single" w:sz="4" w:space="0" w:color="000000"/>
              <w:bottom w:val="single" w:sz="4" w:space="0" w:color="000000"/>
            </w:tcBorders>
          </w:tcPr>
          <w:p w:rsidR="00B12EFF" w:rsidRDefault="00554303">
            <w:pPr>
              <w:jc w:val="center"/>
            </w:pPr>
            <w:r>
              <w:rPr>
                <w:sz w:val="18"/>
              </w:rPr>
              <w:t>0,0055</w:t>
            </w:r>
          </w:p>
        </w:tc>
        <w:tc>
          <w:tcPr>
            <w:tcW w:w="1560" w:type="dxa"/>
            <w:tcBorders>
              <w:top w:val="single" w:sz="4" w:space="0" w:color="000000"/>
              <w:bottom w:val="single" w:sz="4" w:space="0" w:color="000000"/>
            </w:tcBorders>
          </w:tcPr>
          <w:p w:rsidR="00B12EFF" w:rsidRDefault="00554303">
            <w:pPr>
              <w:jc w:val="center"/>
            </w:pPr>
            <w:r>
              <w:rPr>
                <w:sz w:val="18"/>
              </w:rPr>
              <w:t>0,8333</w:t>
            </w:r>
          </w:p>
        </w:tc>
        <w:tc>
          <w:tcPr>
            <w:tcW w:w="1560" w:type="dxa"/>
            <w:tcBorders>
              <w:top w:val="single" w:sz="4" w:space="0" w:color="000000"/>
              <w:bottom w:val="single" w:sz="4" w:space="0" w:color="000000"/>
            </w:tcBorders>
          </w:tcPr>
          <w:p w:rsidR="00B12EFF" w:rsidRDefault="00554303">
            <w:pPr>
              <w:jc w:val="center"/>
            </w:pPr>
            <w:r>
              <w:rPr>
                <w:sz w:val="18"/>
              </w:rPr>
              <w:t>∞</w:t>
            </w:r>
          </w:p>
        </w:tc>
        <w:tc>
          <w:tcPr>
            <w:tcW w:w="1560" w:type="dxa"/>
            <w:tcBorders>
              <w:top w:val="single" w:sz="4" w:space="0" w:color="000000"/>
              <w:bottom w:val="single" w:sz="4" w:space="0" w:color="000000"/>
            </w:tcBorders>
          </w:tcPr>
          <w:p w:rsidR="00B12EFF" w:rsidRDefault="00554303">
            <w:pPr>
              <w:jc w:val="center"/>
            </w:pPr>
            <w:r>
              <w:rPr>
                <w:sz w:val="18"/>
              </w:rPr>
              <w:t>Structural Break</w:t>
            </w:r>
          </w:p>
        </w:tc>
        <w:tc>
          <w:tcPr>
            <w:tcW w:w="1560" w:type="dxa"/>
            <w:tcBorders>
              <w:top w:val="single" w:sz="4" w:space="0" w:color="000000"/>
              <w:bottom w:val="single" w:sz="4" w:space="0" w:color="000000"/>
            </w:tcBorders>
          </w:tcPr>
          <w:p w:rsidR="00B12EFF" w:rsidRDefault="00554303">
            <w:pPr>
              <w:jc w:val="center"/>
            </w:pPr>
            <w:r>
              <w:rPr>
                <w:sz w:val="18"/>
              </w:rPr>
              <w:t>Growth</w:t>
            </w:r>
          </w:p>
        </w:tc>
      </w:tr>
      <w:tr w:rsidR="00B12EFF">
        <w:trPr>
          <w:jc w:val="center"/>
        </w:trPr>
        <w:tc>
          <w:tcPr>
            <w:tcW w:w="1560" w:type="dxa"/>
            <w:tcBorders>
              <w:top w:val="single" w:sz="4" w:space="0" w:color="000000"/>
              <w:bottom w:val="single" w:sz="4" w:space="0" w:color="000000"/>
            </w:tcBorders>
          </w:tcPr>
          <w:p w:rsidR="00B12EFF" w:rsidRDefault="00554303">
            <w:pPr>
              <w:jc w:val="center"/>
            </w:pPr>
            <w:r>
              <w:rPr>
                <w:sz w:val="18"/>
              </w:rPr>
              <w:t>2022→2023</w:t>
            </w:r>
          </w:p>
        </w:tc>
        <w:tc>
          <w:tcPr>
            <w:tcW w:w="1560" w:type="dxa"/>
            <w:tcBorders>
              <w:top w:val="single" w:sz="4" w:space="0" w:color="000000"/>
              <w:bottom w:val="single" w:sz="4" w:space="0" w:color="000000"/>
            </w:tcBorders>
          </w:tcPr>
          <w:p w:rsidR="00B12EFF" w:rsidRDefault="00554303">
            <w:pPr>
              <w:jc w:val="center"/>
            </w:pPr>
            <w:r>
              <w:rPr>
                <w:sz w:val="18"/>
              </w:rPr>
              <w:t>-0,0036</w:t>
            </w:r>
          </w:p>
        </w:tc>
        <w:tc>
          <w:tcPr>
            <w:tcW w:w="1560" w:type="dxa"/>
            <w:tcBorders>
              <w:top w:val="single" w:sz="4" w:space="0" w:color="000000"/>
              <w:bottom w:val="single" w:sz="4" w:space="0" w:color="000000"/>
            </w:tcBorders>
          </w:tcPr>
          <w:p w:rsidR="00B12EFF" w:rsidRDefault="00554303">
            <w:pPr>
              <w:jc w:val="center"/>
            </w:pPr>
            <w:r>
              <w:rPr>
                <w:sz w:val="18"/>
              </w:rPr>
              <w:t>0,4000</w:t>
            </w:r>
          </w:p>
        </w:tc>
        <w:tc>
          <w:tcPr>
            <w:tcW w:w="1560" w:type="dxa"/>
            <w:tcBorders>
              <w:top w:val="single" w:sz="4" w:space="0" w:color="000000"/>
              <w:bottom w:val="single" w:sz="4" w:space="0" w:color="000000"/>
            </w:tcBorders>
          </w:tcPr>
          <w:p w:rsidR="00B12EFF" w:rsidRDefault="00554303">
            <w:pPr>
              <w:jc w:val="center"/>
            </w:pPr>
            <w:r>
              <w:rPr>
                <w:sz w:val="18"/>
              </w:rPr>
              <w:t>∞</w:t>
            </w:r>
          </w:p>
        </w:tc>
        <w:tc>
          <w:tcPr>
            <w:tcW w:w="1560" w:type="dxa"/>
            <w:tcBorders>
              <w:top w:val="single" w:sz="4" w:space="0" w:color="000000"/>
              <w:bottom w:val="single" w:sz="4" w:space="0" w:color="000000"/>
            </w:tcBorders>
          </w:tcPr>
          <w:p w:rsidR="00B12EFF" w:rsidRDefault="00554303">
            <w:pPr>
              <w:jc w:val="center"/>
            </w:pPr>
            <w:r>
              <w:rPr>
                <w:sz w:val="18"/>
              </w:rPr>
              <w:t>Structural Break</w:t>
            </w:r>
          </w:p>
        </w:tc>
        <w:tc>
          <w:tcPr>
            <w:tcW w:w="1560" w:type="dxa"/>
            <w:tcBorders>
              <w:top w:val="single" w:sz="4" w:space="0" w:color="000000"/>
              <w:bottom w:val="single" w:sz="4" w:space="0" w:color="000000"/>
            </w:tcBorders>
          </w:tcPr>
          <w:p w:rsidR="00B12EFF" w:rsidRDefault="00554303">
            <w:pPr>
              <w:jc w:val="center"/>
            </w:pPr>
            <w:r>
              <w:rPr>
                <w:sz w:val="18"/>
              </w:rPr>
              <w:t>Decline</w:t>
            </w:r>
          </w:p>
        </w:tc>
      </w:tr>
      <w:tr w:rsidR="00B12EFF">
        <w:trPr>
          <w:jc w:val="center"/>
        </w:trPr>
        <w:tc>
          <w:tcPr>
            <w:tcW w:w="1560" w:type="dxa"/>
            <w:tcBorders>
              <w:top w:val="single" w:sz="4" w:space="0" w:color="000000"/>
              <w:bottom w:val="single" w:sz="4" w:space="0" w:color="000000"/>
            </w:tcBorders>
          </w:tcPr>
          <w:p w:rsidR="00B12EFF" w:rsidRDefault="00554303">
            <w:pPr>
              <w:jc w:val="center"/>
            </w:pPr>
            <w:r>
              <w:rPr>
                <w:sz w:val="18"/>
              </w:rPr>
              <w:t>2023→2024</w:t>
            </w:r>
          </w:p>
        </w:tc>
        <w:tc>
          <w:tcPr>
            <w:tcW w:w="1560" w:type="dxa"/>
            <w:tcBorders>
              <w:top w:val="single" w:sz="4" w:space="0" w:color="000000"/>
              <w:bottom w:val="single" w:sz="4" w:space="0" w:color="000000"/>
            </w:tcBorders>
          </w:tcPr>
          <w:p w:rsidR="00B12EFF" w:rsidRDefault="00554303">
            <w:pPr>
              <w:jc w:val="center"/>
            </w:pPr>
            <w:r>
              <w:rPr>
                <w:sz w:val="18"/>
              </w:rPr>
              <w:t>0,0021</w:t>
            </w:r>
          </w:p>
        </w:tc>
        <w:tc>
          <w:tcPr>
            <w:tcW w:w="1560" w:type="dxa"/>
            <w:tcBorders>
              <w:top w:val="single" w:sz="4" w:space="0" w:color="000000"/>
              <w:bottom w:val="single" w:sz="4" w:space="0" w:color="000000"/>
            </w:tcBorders>
          </w:tcPr>
          <w:p w:rsidR="00B12EFF" w:rsidRDefault="00554303">
            <w:pPr>
              <w:jc w:val="center"/>
            </w:pPr>
            <w:r>
              <w:rPr>
                <w:sz w:val="18"/>
              </w:rPr>
              <w:t>0,6667</w:t>
            </w:r>
          </w:p>
        </w:tc>
        <w:tc>
          <w:tcPr>
            <w:tcW w:w="1560" w:type="dxa"/>
            <w:tcBorders>
              <w:top w:val="single" w:sz="4" w:space="0" w:color="000000"/>
              <w:bottom w:val="single" w:sz="4" w:space="0" w:color="000000"/>
            </w:tcBorders>
          </w:tcPr>
          <w:p w:rsidR="00B12EFF" w:rsidRDefault="00554303">
            <w:pPr>
              <w:jc w:val="center"/>
            </w:pPr>
            <w:r>
              <w:rPr>
                <w:sz w:val="18"/>
              </w:rPr>
              <w:t>∞</w:t>
            </w:r>
          </w:p>
        </w:tc>
        <w:tc>
          <w:tcPr>
            <w:tcW w:w="1560" w:type="dxa"/>
            <w:tcBorders>
              <w:top w:val="single" w:sz="4" w:space="0" w:color="000000"/>
              <w:bottom w:val="single" w:sz="4" w:space="0" w:color="000000"/>
            </w:tcBorders>
          </w:tcPr>
          <w:p w:rsidR="00B12EFF" w:rsidRDefault="00554303">
            <w:pPr>
              <w:jc w:val="center"/>
            </w:pPr>
            <w:r>
              <w:rPr>
                <w:sz w:val="18"/>
              </w:rPr>
              <w:t>Structural Break</w:t>
            </w:r>
          </w:p>
        </w:tc>
        <w:tc>
          <w:tcPr>
            <w:tcW w:w="1560" w:type="dxa"/>
            <w:tcBorders>
              <w:top w:val="single" w:sz="4" w:space="0" w:color="000000"/>
              <w:bottom w:val="single" w:sz="4" w:space="0" w:color="000000"/>
            </w:tcBorders>
          </w:tcPr>
          <w:p w:rsidR="00B12EFF" w:rsidRDefault="00554303">
            <w:pPr>
              <w:jc w:val="center"/>
            </w:pPr>
            <w:r>
              <w:rPr>
                <w:sz w:val="18"/>
              </w:rPr>
              <w:t>Decline</w:t>
            </w:r>
          </w:p>
        </w:tc>
      </w:tr>
    </w:tbl>
    <w:p w:rsidR="00B12EFF" w:rsidRDefault="00554303">
      <w:pPr>
        <w:spacing w:after="60"/>
        <w:jc w:val="center"/>
      </w:pPr>
      <w:r>
        <w:rPr>
          <w:i/>
          <w:sz w:val="18"/>
        </w:rPr>
        <w:t>Sumber: Hasil olah data pipeline GMM (2025)</w:t>
      </w:r>
    </w:p>
    <w:p w:rsidR="00B12EFF" w:rsidRDefault="00554303">
      <w:pPr>
        <w:spacing w:after="120"/>
        <w:jc w:val="both"/>
      </w:pPr>
      <w:r>
        <w:rPr>
          <w:i/>
          <w:sz w:val="16"/>
        </w:rPr>
        <w:t>ARI &lt; 0,30 = Structural Break. Lifecycle pola agregat dari Lifecycle Matrix klaster.</w:t>
      </w:r>
    </w:p>
    <w:p w:rsidR="00B12EFF" w:rsidRDefault="00554303">
      <w:pPr>
        <w:spacing w:before="120" w:after="60" w:line="276" w:lineRule="auto"/>
        <w:jc w:val="center"/>
      </w:pPr>
      <w:r>
        <w:rPr>
          <w:noProof/>
        </w:rPr>
        <w:drawing>
          <wp:inline distT="0" distB="0" distL="0" distR="0">
            <wp:extent cx="2647507" cy="15885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3c_ari.png"/>
                    <pic:cNvPicPr/>
                  </pic:nvPicPr>
                  <pic:blipFill>
                    <a:blip r:embed="rId8"/>
                    <a:stretch>
                      <a:fillRect/>
                    </a:stretch>
                  </pic:blipFill>
                  <pic:spPr>
                    <a:xfrm>
                      <a:off x="0" y="0"/>
                      <a:ext cx="2659371" cy="1595623"/>
                    </a:xfrm>
                    <a:prstGeom prst="rect">
                      <a:avLst/>
                    </a:prstGeom>
                  </pic:spPr>
                </pic:pic>
              </a:graphicData>
            </a:graphic>
          </wp:inline>
        </w:drawing>
      </w:r>
    </w:p>
    <w:p w:rsidR="00B12EFF" w:rsidRDefault="00554303">
      <w:pPr>
        <w:spacing w:after="60"/>
        <w:jc w:val="center"/>
      </w:pPr>
      <w:r>
        <w:t xml:space="preserve">Gambar 3. Adjusted Rand Index </w:t>
      </w:r>
      <w:r>
        <w:t>(ARI) pada seluruh 5 transisi antar periode 2019-2024</w:t>
      </w:r>
    </w:p>
    <w:p w:rsidR="00B12EFF" w:rsidRDefault="00554303">
      <w:pPr>
        <w:spacing w:after="120"/>
        <w:jc w:val="center"/>
      </w:pPr>
      <w:r>
        <w:rPr>
          <w:i/>
          <w:sz w:val="18"/>
        </w:rPr>
        <w:t>Sumber: Hasil olah data pipeline GMM (2025)</w:t>
      </w:r>
    </w:p>
    <w:p w:rsidR="00B12EFF" w:rsidRDefault="00554303">
      <w:pPr>
        <w:spacing w:after="60" w:line="276" w:lineRule="auto"/>
        <w:jc w:val="both"/>
      </w:pPr>
      <w:r>
        <w:rPr>
          <w:sz w:val="24"/>
        </w:rPr>
        <w:t>Perbandingan GMM dengan K-Means (Tabel 4) menunjukkan bahwa secara metrik numerik K-Means unggul (Silhouette 0,0722 vs 0,0279, CH Index 40,75 vs 18,01, DB Index 2,97 vs 4,19 untuk data 2024), namun GMM unggul secara fundamental pada aspek yang tidak dapat dipenuhi K-Means: posterior probability per observasi yang menjadi basis reasoning kausal LLM, proyeksi segmen 2025 (592 pendaftar), dan deteksi kemunculan segmen baru seperti D3 Akuntansi yang tidak terdeteksi oleh clustering keras [5]. Hybrid Cognitive Pipeline berhasil mengubah data kuantitatif yang kompleks menjadi narasi manajerial yang dapat ditindaklanjuti. Model Ollama lokal memastikan keamanan privasi data (PII) sebelum metadata yang diagregasi diproses oleh model kognitif tingkat lanjut di cloud. Validasi pakar menghasilkan skor rata-rata 4,0/5,0 (kategori valid/layak), mengonfirmasi bahwa rekomendasi diferensiasi channel pemasaran dan strategi rekrutmen telah selaras secara akurat dengan pola data aktual [17].</w:t>
      </w:r>
      <w:r>
        <w:rPr>
          <w:sz w:val="24"/>
        </w:rPr>
      </w:r>
      <w:r>
        <w:rPr>
          <w:sz w:val="24"/>
        </w:rPr>
      </w:r>
      <w:r>
        <w:rPr>
          <w:sz w:val="24"/>
        </w:rPr>
      </w:r>
      <w:r>
        <w:rPr>
          <w:sz w:val="24"/>
        </w:rPr>
      </w:r>
      <w:r>
        <w:rPr>
          <w:sz w:val="24"/>
        </w:rPr>
      </w:r>
    </w:p>
    <w:p w:rsidR="00B12EFF" w:rsidRDefault="00B12EFF">
      <w:pPr>
        <w:spacing w:after="60" w:line="276" w:lineRule="auto"/>
      </w:pPr>
    </w:p>
    <w:p w:rsidR="00B12EFF" w:rsidRDefault="00554303">
      <w:pPr>
        <w:spacing w:after="60"/>
        <w:jc w:val="center"/>
      </w:pPr>
      <w:r>
        <w:rPr>
          <w:sz w:val="22"/>
        </w:rPr>
        <w:t>Tabel 4. Perbandingan Evaluasi GMM versus K-Means</w:t>
      </w:r>
    </w:p>
    <w:tbl>
      <w:tblPr>
        <w:tblW w:w="0" w:type="auto"/>
        <w:jc w:val="center"/>
        <w:tblBorders>
          <w:top w:val="single" w:sz="4" w:space="0" w:color="000000"/>
          <w:bottom w:val="single" w:sz="4" w:space="0" w:color="000000"/>
          <w:insideH w:val="single" w:sz="4" w:space="0" w:color="000000"/>
          <w:insideV w:val="nil"/>
        </w:tblBorders>
        <w:tblLook w:val="04A0" w:firstRow="1" w:lastRow="0" w:firstColumn="1" w:lastColumn="0" w:noHBand="0" w:noVBand="1"/>
      </w:tblPr>
      <w:tblGrid>
        <w:gridCol w:w="1499"/>
        <w:gridCol w:w="1513"/>
        <w:gridCol w:w="1297"/>
      </w:tblGrid>
      <w:tr w:rsidR="00B12EFF">
        <w:trPr>
          <w:jc w:val="center"/>
        </w:trPr>
        <w:tc>
          <w:tcPr>
            <w:tcW w:w="3119" w:type="dxa"/>
            <w:tcBorders>
              <w:top w:val="single" w:sz="4" w:space="0" w:color="000000"/>
              <w:bottom w:val="single" w:sz="4" w:space="0" w:color="000000"/>
            </w:tcBorders>
          </w:tcPr>
          <w:p w:rsidR="00B12EFF" w:rsidRDefault="00554303">
            <w:pPr>
              <w:jc w:val="center"/>
            </w:pPr>
            <w:r>
              <w:rPr>
                <w:b/>
                <w:sz w:val="18"/>
              </w:rPr>
              <w:t>Metrik</w:t>
            </w:r>
          </w:p>
        </w:tc>
        <w:tc>
          <w:tcPr>
            <w:tcW w:w="3119" w:type="dxa"/>
            <w:tcBorders>
              <w:top w:val="single" w:sz="4" w:space="0" w:color="000000"/>
              <w:bottom w:val="single" w:sz="4" w:space="0" w:color="000000"/>
            </w:tcBorders>
          </w:tcPr>
          <w:p w:rsidR="00B12EFF" w:rsidRDefault="00554303">
            <w:pPr>
              <w:jc w:val="center"/>
            </w:pPr>
            <w:r>
              <w:rPr>
                <w:b/>
                <w:sz w:val="18"/>
              </w:rPr>
              <w:t>GMM</w:t>
            </w:r>
          </w:p>
        </w:tc>
        <w:tc>
          <w:tcPr>
            <w:tcW w:w="3119" w:type="dxa"/>
            <w:tcBorders>
              <w:top w:val="single" w:sz="4" w:space="0" w:color="000000"/>
              <w:bottom w:val="single" w:sz="4" w:space="0" w:color="000000"/>
            </w:tcBorders>
          </w:tcPr>
          <w:p w:rsidR="00B12EFF" w:rsidRDefault="00554303">
            <w:pPr>
              <w:jc w:val="center"/>
            </w:pPr>
            <w:r>
              <w:rPr>
                <w:b/>
                <w:sz w:val="18"/>
              </w:rPr>
              <w:t>K-Means</w:t>
            </w:r>
          </w:p>
        </w:tc>
      </w:tr>
      <w:tr w:rsidR="00B12EFF">
        <w:trPr>
          <w:jc w:val="center"/>
        </w:trPr>
        <w:tc>
          <w:tcPr>
            <w:tcW w:w="3119" w:type="dxa"/>
            <w:tcBorders>
              <w:top w:val="single" w:sz="4" w:space="0" w:color="000000"/>
              <w:bottom w:val="single" w:sz="4" w:space="0" w:color="000000"/>
            </w:tcBorders>
          </w:tcPr>
          <w:p w:rsidR="00B12EFF" w:rsidRDefault="00554303">
            <w:pPr>
              <w:jc w:val="center"/>
            </w:pPr>
            <w:r>
              <w:rPr>
                <w:sz w:val="18"/>
              </w:rPr>
              <w:t>Silhouette Score (2023)</w:t>
            </w:r>
          </w:p>
        </w:tc>
        <w:tc>
          <w:tcPr>
            <w:tcW w:w="3119" w:type="dxa"/>
            <w:tcBorders>
              <w:top w:val="single" w:sz="4" w:space="0" w:color="000000"/>
              <w:bottom w:val="single" w:sz="4" w:space="0" w:color="000000"/>
            </w:tcBorders>
          </w:tcPr>
          <w:p w:rsidR="00B12EFF" w:rsidRDefault="00554303">
            <w:pPr>
              <w:jc w:val="center"/>
            </w:pPr>
            <w:r>
              <w:rPr>
                <w:sz w:val="18"/>
              </w:rPr>
              <w:t>0,0905</w:t>
            </w:r>
          </w:p>
        </w:tc>
        <w:tc>
          <w:tcPr>
            <w:tcW w:w="3119" w:type="dxa"/>
            <w:tcBorders>
              <w:top w:val="single" w:sz="4" w:space="0" w:color="000000"/>
              <w:bottom w:val="single" w:sz="4" w:space="0" w:color="000000"/>
            </w:tcBorders>
          </w:tcPr>
          <w:p w:rsidR="00B12EFF" w:rsidRDefault="00554303">
            <w:pPr>
              <w:jc w:val="center"/>
            </w:pPr>
            <w:r>
              <w:rPr>
                <w:sz w:val="18"/>
              </w:rPr>
              <w:t>0,0847</w:t>
            </w:r>
          </w:p>
        </w:tc>
      </w:tr>
      <w:tr w:rsidR="00B12EFF">
        <w:trPr>
          <w:jc w:val="center"/>
        </w:trPr>
        <w:tc>
          <w:tcPr>
            <w:tcW w:w="3119" w:type="dxa"/>
            <w:tcBorders>
              <w:top w:val="single" w:sz="4" w:space="0" w:color="000000"/>
              <w:bottom w:val="single" w:sz="4" w:space="0" w:color="000000"/>
            </w:tcBorders>
          </w:tcPr>
          <w:p w:rsidR="00B12EFF" w:rsidRDefault="00554303">
            <w:pPr>
              <w:jc w:val="center"/>
            </w:pPr>
            <w:r>
              <w:rPr>
                <w:sz w:val="18"/>
              </w:rPr>
              <w:t>Silhouette Score (2024)</w:t>
            </w:r>
          </w:p>
        </w:tc>
        <w:tc>
          <w:tcPr>
            <w:tcW w:w="3119" w:type="dxa"/>
            <w:tcBorders>
              <w:top w:val="single" w:sz="4" w:space="0" w:color="000000"/>
              <w:bottom w:val="single" w:sz="4" w:space="0" w:color="000000"/>
            </w:tcBorders>
          </w:tcPr>
          <w:p w:rsidR="00B12EFF" w:rsidRDefault="00554303">
            <w:pPr>
              <w:jc w:val="center"/>
            </w:pPr>
            <w:r>
              <w:rPr>
                <w:sz w:val="18"/>
              </w:rPr>
              <w:t>0,0279</w:t>
            </w:r>
          </w:p>
        </w:tc>
        <w:tc>
          <w:tcPr>
            <w:tcW w:w="3119" w:type="dxa"/>
            <w:tcBorders>
              <w:top w:val="single" w:sz="4" w:space="0" w:color="000000"/>
              <w:bottom w:val="single" w:sz="4" w:space="0" w:color="000000"/>
            </w:tcBorders>
          </w:tcPr>
          <w:p w:rsidR="00B12EFF" w:rsidRDefault="00554303">
            <w:pPr>
              <w:jc w:val="center"/>
            </w:pPr>
            <w:r>
              <w:rPr>
                <w:sz w:val="18"/>
              </w:rPr>
              <w:t>0,0722</w:t>
            </w:r>
          </w:p>
        </w:tc>
      </w:tr>
      <w:tr w:rsidR="00B12EFF">
        <w:trPr>
          <w:jc w:val="center"/>
        </w:trPr>
        <w:tc>
          <w:tcPr>
            <w:tcW w:w="3119" w:type="dxa"/>
            <w:tcBorders>
              <w:top w:val="single" w:sz="4" w:space="0" w:color="000000"/>
              <w:bottom w:val="single" w:sz="4" w:space="0" w:color="000000"/>
            </w:tcBorders>
          </w:tcPr>
          <w:p w:rsidR="00B12EFF" w:rsidRDefault="00554303">
            <w:pPr>
              <w:jc w:val="center"/>
            </w:pPr>
            <w:r>
              <w:rPr>
                <w:sz w:val="18"/>
              </w:rPr>
              <w:t>Calinski-Harabasz (2024)</w:t>
            </w:r>
          </w:p>
        </w:tc>
        <w:tc>
          <w:tcPr>
            <w:tcW w:w="3119" w:type="dxa"/>
            <w:tcBorders>
              <w:top w:val="single" w:sz="4" w:space="0" w:color="000000"/>
              <w:bottom w:val="single" w:sz="4" w:space="0" w:color="000000"/>
            </w:tcBorders>
          </w:tcPr>
          <w:p w:rsidR="00B12EFF" w:rsidRDefault="00554303">
            <w:pPr>
              <w:jc w:val="center"/>
            </w:pPr>
            <w:r>
              <w:rPr>
                <w:sz w:val="18"/>
              </w:rPr>
              <w:t>18,01</w:t>
            </w:r>
          </w:p>
        </w:tc>
        <w:tc>
          <w:tcPr>
            <w:tcW w:w="3119" w:type="dxa"/>
            <w:tcBorders>
              <w:top w:val="single" w:sz="4" w:space="0" w:color="000000"/>
              <w:bottom w:val="single" w:sz="4" w:space="0" w:color="000000"/>
            </w:tcBorders>
          </w:tcPr>
          <w:p w:rsidR="00B12EFF" w:rsidRDefault="00554303">
            <w:pPr>
              <w:jc w:val="center"/>
            </w:pPr>
            <w:r>
              <w:rPr>
                <w:sz w:val="18"/>
              </w:rPr>
              <w:t>40,75</w:t>
            </w:r>
          </w:p>
        </w:tc>
      </w:tr>
      <w:tr w:rsidR="00B12EFF">
        <w:trPr>
          <w:jc w:val="center"/>
        </w:trPr>
        <w:tc>
          <w:tcPr>
            <w:tcW w:w="3119" w:type="dxa"/>
            <w:tcBorders>
              <w:top w:val="single" w:sz="4" w:space="0" w:color="000000"/>
              <w:bottom w:val="single" w:sz="4" w:space="0" w:color="000000"/>
            </w:tcBorders>
          </w:tcPr>
          <w:p w:rsidR="00B12EFF" w:rsidRDefault="00554303">
            <w:pPr>
              <w:jc w:val="center"/>
            </w:pPr>
            <w:r>
              <w:rPr>
                <w:sz w:val="18"/>
              </w:rPr>
              <w:t>Davies-Bouldin (2024)</w:t>
            </w:r>
          </w:p>
        </w:tc>
        <w:tc>
          <w:tcPr>
            <w:tcW w:w="3119" w:type="dxa"/>
            <w:tcBorders>
              <w:top w:val="single" w:sz="4" w:space="0" w:color="000000"/>
              <w:bottom w:val="single" w:sz="4" w:space="0" w:color="000000"/>
            </w:tcBorders>
          </w:tcPr>
          <w:p w:rsidR="00B12EFF" w:rsidRDefault="00554303">
            <w:pPr>
              <w:jc w:val="center"/>
            </w:pPr>
            <w:r>
              <w:rPr>
                <w:sz w:val="18"/>
              </w:rPr>
              <w:t>4,19</w:t>
            </w:r>
          </w:p>
        </w:tc>
        <w:tc>
          <w:tcPr>
            <w:tcW w:w="3119" w:type="dxa"/>
            <w:tcBorders>
              <w:top w:val="single" w:sz="4" w:space="0" w:color="000000"/>
              <w:bottom w:val="single" w:sz="4" w:space="0" w:color="000000"/>
            </w:tcBorders>
          </w:tcPr>
          <w:p w:rsidR="00B12EFF" w:rsidRDefault="00554303">
            <w:pPr>
              <w:jc w:val="center"/>
            </w:pPr>
            <w:r>
              <w:rPr>
                <w:sz w:val="18"/>
              </w:rPr>
              <w:t>2,97</w:t>
            </w:r>
          </w:p>
        </w:tc>
      </w:tr>
      <w:tr w:rsidR="00B12EFF">
        <w:trPr>
          <w:jc w:val="center"/>
        </w:trPr>
        <w:tc>
          <w:tcPr>
            <w:tcW w:w="3119" w:type="dxa"/>
            <w:tcBorders>
              <w:top w:val="single" w:sz="4" w:space="0" w:color="000000"/>
              <w:bottom w:val="single" w:sz="4" w:space="0" w:color="000000"/>
            </w:tcBorders>
          </w:tcPr>
          <w:p w:rsidR="00B12EFF" w:rsidRDefault="00554303">
            <w:pPr>
              <w:jc w:val="center"/>
            </w:pPr>
            <w:r>
              <w:rPr>
                <w:sz w:val="18"/>
              </w:rPr>
              <w:t>Soft Clustering</w:t>
            </w:r>
          </w:p>
        </w:tc>
        <w:tc>
          <w:tcPr>
            <w:tcW w:w="3119" w:type="dxa"/>
            <w:tcBorders>
              <w:top w:val="single" w:sz="4" w:space="0" w:color="000000"/>
              <w:bottom w:val="single" w:sz="4" w:space="0" w:color="000000"/>
            </w:tcBorders>
          </w:tcPr>
          <w:p w:rsidR="00B12EFF" w:rsidRDefault="00554303">
            <w:pPr>
              <w:jc w:val="center"/>
            </w:pPr>
            <w:r>
              <w:rPr>
                <w:sz w:val="18"/>
              </w:rPr>
              <w:t>Ya (probabilistik)</w:t>
            </w:r>
          </w:p>
        </w:tc>
        <w:tc>
          <w:tcPr>
            <w:tcW w:w="3119" w:type="dxa"/>
            <w:tcBorders>
              <w:top w:val="single" w:sz="4" w:space="0" w:color="000000"/>
              <w:bottom w:val="single" w:sz="4" w:space="0" w:color="000000"/>
            </w:tcBorders>
          </w:tcPr>
          <w:p w:rsidR="00B12EFF" w:rsidRDefault="00554303">
            <w:pPr>
              <w:jc w:val="center"/>
            </w:pPr>
            <w:r>
              <w:rPr>
                <w:sz w:val="18"/>
              </w:rPr>
              <w:t>Tidak (jarak)</w:t>
            </w:r>
          </w:p>
        </w:tc>
      </w:tr>
    </w:tbl>
    <w:p w:rsidR="00B12EFF" w:rsidRDefault="00554303">
      <w:pPr>
        <w:spacing w:after="60"/>
        <w:jc w:val="center"/>
      </w:pPr>
      <w:r>
        <w:rPr>
          <w:i/>
          <w:sz w:val="18"/>
        </w:rPr>
        <w:t>Sumber: Hasil analisis penelitian (2025)</w:t>
      </w:r>
    </w:p>
    <w:p w:rsidR="00B12EFF" w:rsidRDefault="00554303">
      <w:pPr>
        <w:spacing w:after="120"/>
        <w:jc w:val="both"/>
      </w:pPr>
      <w:r>
        <w:rPr>
          <w:i/>
          <w:sz w:val="16"/>
        </w:rPr>
        <w:t>K-Means unggul di metrik numerik; GMM unggul di soft clustering, posterior probability, dan kompatibilitas LLM.</w:t>
      </w:r>
    </w:p>
    <w:p w:rsidR="00B12EFF" w:rsidRDefault="00B12EFF">
      <w:pPr>
        <w:spacing w:after="60" w:line="276" w:lineRule="auto"/>
      </w:pPr>
    </w:p>
    <w:p w:rsidR="00B12EFF" w:rsidRDefault="00554303">
      <w:pPr>
        <w:spacing w:after="60"/>
        <w:jc w:val="center"/>
      </w:pPr>
      <w:r>
        <w:rPr>
          <w:sz w:val="22"/>
        </w:rPr>
        <w:t>Tabel 5. Validasi S</w:t>
      </w:r>
      <w:r>
        <w:rPr>
          <w:sz w:val="22"/>
        </w:rPr>
        <w:t>tabilitas Embedding IndoBERT: Cosine Similarity Antar Periode</w:t>
      </w:r>
    </w:p>
    <w:tbl>
      <w:tblPr>
        <w:tblW w:w="0" w:type="auto"/>
        <w:jc w:val="center"/>
        <w:tblBorders>
          <w:top w:val="single" w:sz="4" w:space="0" w:color="000000"/>
          <w:bottom w:val="single" w:sz="4" w:space="0" w:color="000000"/>
          <w:insideH w:val="single" w:sz="4" w:space="0" w:color="000000"/>
          <w:insideV w:val="nil"/>
        </w:tblBorders>
        <w:tblLook w:val="04A0" w:firstRow="1" w:lastRow="0" w:firstColumn="1" w:lastColumn="0" w:noHBand="0" w:noVBand="1"/>
      </w:tblPr>
      <w:tblGrid>
        <w:gridCol w:w="1630"/>
        <w:gridCol w:w="1301"/>
        <w:gridCol w:w="1378"/>
      </w:tblGrid>
      <w:tr w:rsidR="00B12EFF">
        <w:trPr>
          <w:jc w:val="center"/>
        </w:trPr>
        <w:tc>
          <w:tcPr>
            <w:tcW w:w="3119" w:type="dxa"/>
            <w:tcBorders>
              <w:top w:val="single" w:sz="4" w:space="0" w:color="000000"/>
              <w:bottom w:val="single" w:sz="4" w:space="0" w:color="000000"/>
            </w:tcBorders>
          </w:tcPr>
          <w:p w:rsidR="00B12EFF" w:rsidRDefault="00554303">
            <w:pPr>
              <w:jc w:val="center"/>
            </w:pPr>
            <w:r>
              <w:rPr>
                <w:b/>
                <w:sz w:val="18"/>
              </w:rPr>
              <w:t>Transisi</w:t>
            </w:r>
          </w:p>
        </w:tc>
        <w:tc>
          <w:tcPr>
            <w:tcW w:w="3119" w:type="dxa"/>
            <w:tcBorders>
              <w:top w:val="single" w:sz="4" w:space="0" w:color="000000"/>
              <w:bottom w:val="single" w:sz="4" w:space="0" w:color="000000"/>
            </w:tcBorders>
          </w:tcPr>
          <w:p w:rsidR="00B12EFF" w:rsidRDefault="00554303">
            <w:pPr>
              <w:jc w:val="center"/>
            </w:pPr>
            <w:r>
              <w:rPr>
                <w:b/>
                <w:sz w:val="18"/>
              </w:rPr>
              <w:t>Cosine Similarity</w:t>
            </w:r>
          </w:p>
        </w:tc>
        <w:tc>
          <w:tcPr>
            <w:tcW w:w="3119" w:type="dxa"/>
            <w:tcBorders>
              <w:top w:val="single" w:sz="4" w:space="0" w:color="000000"/>
              <w:bottom w:val="single" w:sz="4" w:space="0" w:color="000000"/>
            </w:tcBorders>
          </w:tcPr>
          <w:p w:rsidR="00B12EFF" w:rsidRDefault="00554303">
            <w:pPr>
              <w:jc w:val="center"/>
            </w:pPr>
            <w:r>
              <w:rPr>
                <w:b/>
                <w:sz w:val="18"/>
              </w:rPr>
              <w:t>Status</w:t>
            </w:r>
          </w:p>
        </w:tc>
      </w:tr>
      <w:tr w:rsidR="00B12EFF">
        <w:trPr>
          <w:jc w:val="center"/>
        </w:trPr>
        <w:tc>
          <w:tcPr>
            <w:tcW w:w="3119" w:type="dxa"/>
            <w:tcBorders>
              <w:top w:val="single" w:sz="4" w:space="0" w:color="000000"/>
              <w:bottom w:val="single" w:sz="4" w:space="0" w:color="000000"/>
            </w:tcBorders>
          </w:tcPr>
          <w:p w:rsidR="00B12EFF" w:rsidRDefault="00554303">
            <w:pPr>
              <w:jc w:val="center"/>
            </w:pPr>
            <w:r>
              <w:rPr>
                <w:sz w:val="18"/>
              </w:rPr>
              <w:t>2019→2020</w:t>
            </w:r>
          </w:p>
        </w:tc>
        <w:tc>
          <w:tcPr>
            <w:tcW w:w="3119" w:type="dxa"/>
            <w:tcBorders>
              <w:top w:val="single" w:sz="4" w:space="0" w:color="000000"/>
              <w:bottom w:val="single" w:sz="4" w:space="0" w:color="000000"/>
            </w:tcBorders>
          </w:tcPr>
          <w:p w:rsidR="00B12EFF" w:rsidRDefault="00554303">
            <w:pPr>
              <w:jc w:val="center"/>
            </w:pPr>
            <w:r>
              <w:rPr>
                <w:sz w:val="18"/>
              </w:rPr>
              <w:t>0,7901</w:t>
            </w:r>
          </w:p>
        </w:tc>
        <w:tc>
          <w:tcPr>
            <w:tcW w:w="3119" w:type="dxa"/>
            <w:tcBorders>
              <w:top w:val="single" w:sz="4" w:space="0" w:color="000000"/>
              <w:bottom w:val="single" w:sz="4" w:space="0" w:color="000000"/>
            </w:tcBorders>
          </w:tcPr>
          <w:p w:rsidR="00B12EFF" w:rsidRDefault="00554303">
            <w:pPr>
              <w:jc w:val="center"/>
            </w:pPr>
            <w:r>
              <w:rPr>
                <w:sz w:val="18"/>
              </w:rPr>
              <w:t>Moderat</w:t>
            </w:r>
          </w:p>
        </w:tc>
      </w:tr>
      <w:tr w:rsidR="00B12EFF">
        <w:trPr>
          <w:jc w:val="center"/>
        </w:trPr>
        <w:tc>
          <w:tcPr>
            <w:tcW w:w="3119" w:type="dxa"/>
            <w:tcBorders>
              <w:top w:val="single" w:sz="4" w:space="0" w:color="000000"/>
              <w:bottom w:val="single" w:sz="4" w:space="0" w:color="000000"/>
            </w:tcBorders>
          </w:tcPr>
          <w:p w:rsidR="00B12EFF" w:rsidRDefault="00554303">
            <w:pPr>
              <w:jc w:val="center"/>
            </w:pPr>
            <w:r>
              <w:rPr>
                <w:sz w:val="18"/>
              </w:rPr>
              <w:t>2020→2021</w:t>
            </w:r>
          </w:p>
        </w:tc>
        <w:tc>
          <w:tcPr>
            <w:tcW w:w="3119" w:type="dxa"/>
            <w:tcBorders>
              <w:top w:val="single" w:sz="4" w:space="0" w:color="000000"/>
              <w:bottom w:val="single" w:sz="4" w:space="0" w:color="000000"/>
            </w:tcBorders>
          </w:tcPr>
          <w:p w:rsidR="00B12EFF" w:rsidRDefault="00554303">
            <w:pPr>
              <w:jc w:val="center"/>
            </w:pPr>
            <w:r>
              <w:rPr>
                <w:sz w:val="18"/>
              </w:rPr>
              <w:t>0,8124</w:t>
            </w:r>
          </w:p>
        </w:tc>
        <w:tc>
          <w:tcPr>
            <w:tcW w:w="3119" w:type="dxa"/>
            <w:tcBorders>
              <w:top w:val="single" w:sz="4" w:space="0" w:color="000000"/>
              <w:bottom w:val="single" w:sz="4" w:space="0" w:color="000000"/>
            </w:tcBorders>
          </w:tcPr>
          <w:p w:rsidR="00B12EFF" w:rsidRDefault="00554303">
            <w:pPr>
              <w:jc w:val="center"/>
            </w:pPr>
            <w:r>
              <w:rPr>
                <w:sz w:val="18"/>
              </w:rPr>
              <w:t>Stabil</w:t>
            </w:r>
          </w:p>
        </w:tc>
      </w:tr>
      <w:tr w:rsidR="00B12EFF">
        <w:trPr>
          <w:jc w:val="center"/>
        </w:trPr>
        <w:tc>
          <w:tcPr>
            <w:tcW w:w="3119" w:type="dxa"/>
            <w:tcBorders>
              <w:top w:val="single" w:sz="4" w:space="0" w:color="000000"/>
              <w:bottom w:val="single" w:sz="4" w:space="0" w:color="000000"/>
            </w:tcBorders>
          </w:tcPr>
          <w:p w:rsidR="00B12EFF" w:rsidRDefault="00554303">
            <w:pPr>
              <w:jc w:val="center"/>
            </w:pPr>
            <w:r>
              <w:rPr>
                <w:sz w:val="18"/>
              </w:rPr>
              <w:t>2021→2022</w:t>
            </w:r>
          </w:p>
        </w:tc>
        <w:tc>
          <w:tcPr>
            <w:tcW w:w="3119" w:type="dxa"/>
            <w:tcBorders>
              <w:top w:val="single" w:sz="4" w:space="0" w:color="000000"/>
              <w:bottom w:val="single" w:sz="4" w:space="0" w:color="000000"/>
            </w:tcBorders>
          </w:tcPr>
          <w:p w:rsidR="00B12EFF" w:rsidRDefault="00554303">
            <w:pPr>
              <w:jc w:val="center"/>
            </w:pPr>
            <w:r>
              <w:rPr>
                <w:sz w:val="18"/>
              </w:rPr>
              <w:t>0,8056</w:t>
            </w:r>
          </w:p>
        </w:tc>
        <w:tc>
          <w:tcPr>
            <w:tcW w:w="3119" w:type="dxa"/>
            <w:tcBorders>
              <w:top w:val="single" w:sz="4" w:space="0" w:color="000000"/>
              <w:bottom w:val="single" w:sz="4" w:space="0" w:color="000000"/>
            </w:tcBorders>
          </w:tcPr>
          <w:p w:rsidR="00B12EFF" w:rsidRDefault="00554303">
            <w:pPr>
              <w:jc w:val="center"/>
            </w:pPr>
            <w:r>
              <w:rPr>
                <w:sz w:val="18"/>
              </w:rPr>
              <w:t>Stabil</w:t>
            </w:r>
          </w:p>
        </w:tc>
      </w:tr>
      <w:tr w:rsidR="00B12EFF">
        <w:trPr>
          <w:jc w:val="center"/>
        </w:trPr>
        <w:tc>
          <w:tcPr>
            <w:tcW w:w="3119" w:type="dxa"/>
            <w:tcBorders>
              <w:top w:val="single" w:sz="4" w:space="0" w:color="000000"/>
              <w:bottom w:val="single" w:sz="4" w:space="0" w:color="000000"/>
            </w:tcBorders>
          </w:tcPr>
          <w:p w:rsidR="00B12EFF" w:rsidRDefault="00554303">
            <w:pPr>
              <w:jc w:val="center"/>
            </w:pPr>
            <w:r>
              <w:rPr>
                <w:sz w:val="18"/>
              </w:rPr>
              <w:t>2022→2023</w:t>
            </w:r>
          </w:p>
        </w:tc>
        <w:tc>
          <w:tcPr>
            <w:tcW w:w="3119" w:type="dxa"/>
            <w:tcBorders>
              <w:top w:val="single" w:sz="4" w:space="0" w:color="000000"/>
              <w:bottom w:val="single" w:sz="4" w:space="0" w:color="000000"/>
            </w:tcBorders>
          </w:tcPr>
          <w:p w:rsidR="00B12EFF" w:rsidRDefault="00554303">
            <w:pPr>
              <w:jc w:val="center"/>
            </w:pPr>
            <w:r>
              <w:rPr>
                <w:sz w:val="18"/>
              </w:rPr>
              <w:t>0,7988</w:t>
            </w:r>
          </w:p>
        </w:tc>
        <w:tc>
          <w:tcPr>
            <w:tcW w:w="3119" w:type="dxa"/>
            <w:tcBorders>
              <w:top w:val="single" w:sz="4" w:space="0" w:color="000000"/>
              <w:bottom w:val="single" w:sz="4" w:space="0" w:color="000000"/>
            </w:tcBorders>
          </w:tcPr>
          <w:p w:rsidR="00B12EFF" w:rsidRDefault="00554303">
            <w:pPr>
              <w:jc w:val="center"/>
            </w:pPr>
            <w:r>
              <w:rPr>
                <w:sz w:val="18"/>
              </w:rPr>
              <w:t>Moderat</w:t>
            </w:r>
          </w:p>
        </w:tc>
      </w:tr>
      <w:tr w:rsidR="00B12EFF">
        <w:trPr>
          <w:jc w:val="center"/>
        </w:trPr>
        <w:tc>
          <w:tcPr>
            <w:tcW w:w="3119" w:type="dxa"/>
            <w:tcBorders>
              <w:top w:val="single" w:sz="4" w:space="0" w:color="000000"/>
              <w:bottom w:val="single" w:sz="4" w:space="0" w:color="000000"/>
            </w:tcBorders>
          </w:tcPr>
          <w:p w:rsidR="00B12EFF" w:rsidRDefault="00554303">
            <w:pPr>
              <w:jc w:val="center"/>
            </w:pPr>
            <w:r>
              <w:rPr>
                <w:sz w:val="18"/>
              </w:rPr>
              <w:t>2023→2024</w:t>
            </w:r>
          </w:p>
        </w:tc>
        <w:tc>
          <w:tcPr>
            <w:tcW w:w="3119" w:type="dxa"/>
            <w:tcBorders>
              <w:top w:val="single" w:sz="4" w:space="0" w:color="000000"/>
              <w:bottom w:val="single" w:sz="4" w:space="0" w:color="000000"/>
            </w:tcBorders>
          </w:tcPr>
          <w:p w:rsidR="00B12EFF" w:rsidRDefault="00554303">
            <w:pPr>
              <w:jc w:val="center"/>
            </w:pPr>
            <w:r>
              <w:rPr>
                <w:sz w:val="18"/>
              </w:rPr>
              <w:t>0,8087</w:t>
            </w:r>
          </w:p>
        </w:tc>
        <w:tc>
          <w:tcPr>
            <w:tcW w:w="3119" w:type="dxa"/>
            <w:tcBorders>
              <w:top w:val="single" w:sz="4" w:space="0" w:color="000000"/>
              <w:bottom w:val="single" w:sz="4" w:space="0" w:color="000000"/>
            </w:tcBorders>
          </w:tcPr>
          <w:p w:rsidR="00B12EFF" w:rsidRDefault="00554303">
            <w:pPr>
              <w:jc w:val="center"/>
            </w:pPr>
            <w:r>
              <w:rPr>
                <w:sz w:val="18"/>
              </w:rPr>
              <w:t>Stabil</w:t>
            </w:r>
          </w:p>
        </w:tc>
      </w:tr>
    </w:tbl>
    <w:p w:rsidR="00B12EFF" w:rsidRDefault="00554303">
      <w:pPr>
        <w:spacing w:after="60"/>
        <w:jc w:val="center"/>
      </w:pPr>
      <w:r>
        <w:rPr>
          <w:i/>
          <w:sz w:val="18"/>
        </w:rPr>
        <w:t xml:space="preserve">Sumber: Hasil otomasi pipeline </w:t>
      </w:r>
      <w:r>
        <w:rPr>
          <w:i/>
          <w:sz w:val="18"/>
        </w:rPr>
        <w:t>IndoBERT (2025)</w:t>
      </w:r>
    </w:p>
    <w:p w:rsidR="00B12EFF" w:rsidRDefault="00554303">
      <w:pPr>
        <w:spacing w:after="120"/>
        <w:jc w:val="both"/>
      </w:pPr>
      <w:r>
        <w:rPr>
          <w:i/>
          <w:sz w:val="16"/>
        </w:rPr>
        <w:t>Threshold stabilitas &gt; 0,70. Rata-rata cosine similarity 0,8031 = embedding stabil di seluruh transisi.</w:t>
      </w:r>
    </w:p>
    <w:p w:rsidR="00B12EFF" w:rsidRDefault="00B12EFF">
      <w:pPr>
        <w:spacing w:after="60" w:line="276" w:lineRule="auto"/>
      </w:pPr>
    </w:p>
    <w:p w:rsidR="00B12EFF" w:rsidRDefault="00554303">
      <w:pPr>
        <w:spacing w:after="60"/>
        <w:jc w:val="center"/>
      </w:pPr>
      <w:r>
        <w:rPr>
          <w:sz w:val="22"/>
        </w:rPr>
        <w:t>Tabel 6. Ringkasan Profil Klaster Representatif (2019, 2023, 2024)</w:t>
      </w:r>
    </w:p>
    <w:tbl>
      <w:tblPr>
        <w:tblW w:w="0" w:type="auto"/>
        <w:jc w:val="center"/>
        <w:tblBorders>
          <w:top w:val="single" w:sz="4" w:space="0" w:color="000000"/>
          <w:bottom w:val="single" w:sz="4" w:space="0" w:color="000000"/>
          <w:insideH w:val="single" w:sz="4" w:space="0" w:color="000000"/>
          <w:insideV w:val="nil"/>
        </w:tblBorders>
        <w:tblLook w:val="04A0" w:firstRow="1" w:lastRow="0" w:firstColumn="1" w:lastColumn="0" w:noHBand="0" w:noVBand="1"/>
      </w:tblPr>
      <w:tblGrid>
        <w:gridCol w:w="748"/>
        <w:gridCol w:w="787"/>
        <w:gridCol w:w="586"/>
        <w:gridCol w:w="717"/>
        <w:gridCol w:w="693"/>
        <w:gridCol w:w="778"/>
      </w:tblGrid>
      <w:tr w:rsidR="00B12EFF">
        <w:trPr>
          <w:jc w:val="center"/>
        </w:trPr>
        <w:tc>
          <w:tcPr>
            <w:tcW w:w="1560" w:type="dxa"/>
            <w:tcBorders>
              <w:top w:val="single" w:sz="4" w:space="0" w:color="000000"/>
              <w:bottom w:val="single" w:sz="4" w:space="0" w:color="000000"/>
            </w:tcBorders>
          </w:tcPr>
          <w:p w:rsidR="00B12EFF" w:rsidRDefault="00554303">
            <w:pPr>
              <w:jc w:val="center"/>
            </w:pPr>
            <w:r>
              <w:rPr>
                <w:b/>
                <w:sz w:val="18"/>
              </w:rPr>
              <w:t>Tahun</w:t>
            </w:r>
          </w:p>
        </w:tc>
        <w:tc>
          <w:tcPr>
            <w:tcW w:w="1560" w:type="dxa"/>
            <w:tcBorders>
              <w:top w:val="single" w:sz="4" w:space="0" w:color="000000"/>
              <w:bottom w:val="single" w:sz="4" w:space="0" w:color="000000"/>
            </w:tcBorders>
          </w:tcPr>
          <w:p w:rsidR="00B12EFF" w:rsidRDefault="00554303">
            <w:pPr>
              <w:jc w:val="center"/>
            </w:pPr>
            <w:r>
              <w:rPr>
                <w:b/>
                <w:sz w:val="18"/>
              </w:rPr>
              <w:t>Klaster</w:t>
            </w:r>
          </w:p>
        </w:tc>
        <w:tc>
          <w:tcPr>
            <w:tcW w:w="1560" w:type="dxa"/>
            <w:tcBorders>
              <w:top w:val="single" w:sz="4" w:space="0" w:color="000000"/>
              <w:bottom w:val="single" w:sz="4" w:space="0" w:color="000000"/>
            </w:tcBorders>
          </w:tcPr>
          <w:p w:rsidR="00B12EFF" w:rsidRDefault="00554303">
            <w:pPr>
              <w:jc w:val="center"/>
            </w:pPr>
            <w:r>
              <w:rPr>
                <w:b/>
                <w:sz w:val="18"/>
              </w:rPr>
              <w:t>N</w:t>
            </w:r>
          </w:p>
        </w:tc>
        <w:tc>
          <w:tcPr>
            <w:tcW w:w="1560" w:type="dxa"/>
            <w:tcBorders>
              <w:top w:val="single" w:sz="4" w:space="0" w:color="000000"/>
              <w:bottom w:val="single" w:sz="4" w:space="0" w:color="000000"/>
            </w:tcBorders>
          </w:tcPr>
          <w:p w:rsidR="00B12EFF" w:rsidRDefault="00554303">
            <w:pPr>
              <w:jc w:val="center"/>
            </w:pPr>
            <w:r>
              <w:rPr>
                <w:b/>
                <w:sz w:val="18"/>
              </w:rPr>
              <w:t>%</w:t>
            </w:r>
          </w:p>
        </w:tc>
        <w:tc>
          <w:tcPr>
            <w:tcW w:w="1560" w:type="dxa"/>
            <w:tcBorders>
              <w:top w:val="single" w:sz="4" w:space="0" w:color="000000"/>
              <w:bottom w:val="single" w:sz="4" w:space="0" w:color="000000"/>
            </w:tcBorders>
          </w:tcPr>
          <w:p w:rsidR="00B12EFF" w:rsidRDefault="00554303">
            <w:pPr>
              <w:jc w:val="center"/>
            </w:pPr>
            <w:r>
              <w:rPr>
                <w:b/>
                <w:sz w:val="18"/>
              </w:rPr>
              <w:t>Prodi Dominan</w:t>
            </w:r>
          </w:p>
        </w:tc>
        <w:tc>
          <w:tcPr>
            <w:tcW w:w="1560" w:type="dxa"/>
            <w:tcBorders>
              <w:top w:val="single" w:sz="4" w:space="0" w:color="000000"/>
              <w:bottom w:val="single" w:sz="4" w:space="0" w:color="000000"/>
            </w:tcBorders>
          </w:tcPr>
          <w:p w:rsidR="00B12EFF" w:rsidRDefault="00554303">
            <w:pPr>
              <w:jc w:val="center"/>
            </w:pPr>
            <w:r>
              <w:rPr>
                <w:b/>
                <w:sz w:val="18"/>
              </w:rPr>
              <w:t>Asal Dominan</w:t>
            </w:r>
          </w:p>
        </w:tc>
      </w:tr>
      <w:tr w:rsidR="00B12EFF">
        <w:trPr>
          <w:jc w:val="center"/>
        </w:trPr>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2019</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K1</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21</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14,4%</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S1 Teknik Industri (6), S1 Informatika (6)</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Kab. Pekalongan (20)</w:t>
            </w:r>
          </w:p>
        </w:tc>
      </w:tr>
      <w:tr w:rsidR="00B12EFF">
        <w:trPr>
          <w:jc w:val="center"/>
        </w:trPr>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2019</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K2</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33</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22,6%</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S1 Teknologi Informasi (14), S1 Informatika (9)</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Kab. Pekalongan (24)</w:t>
            </w:r>
          </w:p>
        </w:tc>
      </w:tr>
      <w:tr w:rsidR="00B12EFF">
        <w:trPr>
          <w:jc w:val="center"/>
        </w:trPr>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2019</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K3</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8</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5,5%</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S1 Informatika (4), S1 Teknologi Informasi (2)</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Kab. Pekalongan (8)</w:t>
            </w:r>
          </w:p>
        </w:tc>
      </w:tr>
      <w:tr w:rsidR="00B12EFF">
        <w:trPr>
          <w:jc w:val="center"/>
        </w:trPr>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2019</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K4</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31</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21,2%</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S1 Informatika (12), S1 Teknik Industri (11)</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Kab. Pekalongan (16)</w:t>
            </w:r>
          </w:p>
        </w:tc>
      </w:tr>
      <w:tr w:rsidR="00B12EFF">
        <w:trPr>
          <w:jc w:val="center"/>
        </w:trPr>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2019</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K5</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21</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14,4%</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S1 Teknologi Informasi (8), S1 Informatika (7)</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Kab. Pekalongan (15)</w:t>
            </w:r>
          </w:p>
        </w:tc>
      </w:tr>
      <w:tr w:rsidR="00B12EFF">
        <w:trPr>
          <w:jc w:val="center"/>
        </w:trPr>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2019</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K6</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32</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21,9%</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S1 Informatika (17), S1 Teknologi Informasi (6)</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Kab. Pekalongan (28)</w:t>
            </w:r>
          </w:p>
        </w:tc>
      </w:tr>
      <w:tr w:rsidR="00B12EFF">
        <w:trPr>
          <w:jc w:val="center"/>
        </w:trPr>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2023</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K1</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50</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7,4%</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S1 Informatika (22), S1 Teknik Industri (11)</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Kab. Pekalongan (31)</w:t>
            </w:r>
          </w:p>
        </w:tc>
      </w:tr>
      <w:tr w:rsidR="00B12EFF">
        <w:trPr>
          <w:jc w:val="center"/>
        </w:trPr>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2023</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K2</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630</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92,6%</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S1 Informatika (189), S1 Teknologi Informasi (169)</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Kab. Pekalongan (420)</w:t>
            </w:r>
          </w:p>
        </w:tc>
      </w:tr>
      <w:tr w:rsidR="00B12EFF">
        <w:trPr>
          <w:jc w:val="center"/>
        </w:trPr>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2024</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K1</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33</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6,6%</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D3 Akuntansi (13), D3 Adm. Perkantoran (5)</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Kota Pekalongan (28)</w:t>
            </w:r>
          </w:p>
        </w:tc>
      </w:tr>
      <w:tr w:rsidR="00B12EFF">
        <w:trPr>
          <w:jc w:val="center"/>
        </w:trPr>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2024</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K2</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274</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54,5%</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S1 Informatika (60), D3 Akuntansi (57)</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Kab. Pekalongan (238)</w:t>
            </w:r>
          </w:p>
        </w:tc>
      </w:tr>
      <w:tr w:rsidR="00B12EFF">
        <w:trPr>
          <w:jc w:val="center"/>
        </w:trPr>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2024</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K3</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196</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39,0%</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S1 Teknologi Informasi (52), S1 Informatika (43)</w:t>
            </w:r>
          </w:p>
        </w:tc>
        <w:tc>
          <w:tcPr>
            <w:tcW w:w="1560" w:type="dxa"/>
            <w:tcBorders>
              <w:top w:val="single" w:sz="4" w:space="0" w:color="000000"/>
              <w:bottom w:val="single" w:sz="4" w:space="0" w:color="000000"/>
            </w:tcBorders>
          </w:tcPr>
          <w:p w:rsidR="00B12EFF" w:rsidRDefault="00554303">
            <w:pPr>
              <w:jc w:val="center"/>
            </w:pPr>
            <w:r>
              <w:rPr>
                <w:rFonts w:ascii="Times New Roman" w:hAnsi="Times New Roman"/>
                <w:sz w:val="20"/>
              </w:rPr>
              <w:t>Kab. Pekalongan (113)</w:t>
            </w:r>
          </w:p>
        </w:tc>
      </w:tr>
    </w:tbl>
    <w:p w:rsidR="00B12EFF" w:rsidRDefault="00554303">
      <w:pPr>
        <w:spacing w:after="60"/>
        <w:jc w:val="center"/>
      </w:pPr>
      <w:r>
        <w:rPr>
          <w:i/>
          <w:sz w:val="18"/>
        </w:rPr>
        <w:t>Sumber: Hasil olah data pipeline GMM (2025)</w:t>
      </w:r>
    </w:p>
    <w:p w:rsidR="00B12EFF" w:rsidRDefault="00554303">
      <w:pPr>
        <w:spacing w:after="120"/>
        <w:jc w:val="both"/>
      </w:pPr>
      <w:r>
        <w:rPr>
          <w:i/>
          <w:sz w:val="16"/>
        </w:rPr>
        <w:t xml:space="preserve">K1-K6: label klaster hasil GMM. S.TI = </w:t>
      </w:r>
      <w:r>
        <w:rPr>
          <w:i/>
          <w:sz w:val="16"/>
        </w:rPr>
        <w:t>Sarjana Teknologi Informasi, S.Inf = Sarjana Informatika. Tiga tahun mewakili fase Pre-COVID, puncak Recovery, dan terkini.</w:t>
      </w:r>
    </w:p>
    <w:p w:rsidR="00B12EFF" w:rsidRDefault="00554303">
      <w:pPr>
        <w:spacing w:after="60" w:line="276" w:lineRule="auto"/>
        <w:jc w:val="both"/>
      </w:pPr>
      <w:r>
        <w:rPr>
          <w:sz w:val="24"/>
        </w:rPr>
        <w:t>Profil klaster pada Tabel 6 menunjukkan perubahan distribusi yang konsisten dengan temuan structural break. Pada 2019 terdapat 6 klaster (K1–K6) dengan sebaran relatif merata (5,5%–22,6%), semuanya berasal dari Kabupaten Pekalongan dengan dominasi program Sarjana Informatika dan Sarjana Teknologi Informasi. Pada 2023 terjadi konsolidasi drastis: klaster K2 menyerap 92,6% dari 680 pendaftar (630 dari 680) dengan dominasi Sarjana Informatika (189) dan Sarjana Teknologi Informasi (169). Pada 2024 terjadi diversifikasi dengan K2 mencapai 54,5%, K3 39,0%, dan kemunculan D3 Akuntansi sebagai segmen baru berbasis Kota Pekalongan. Visualisasi sebaran spasial klaster pada ruang PCA 2D untuk ketiga tahun representatif disajikan pada Gambar 4, Gambar 5, dan Gambar 6 [16].</w:t>
      </w:r>
      <w:r>
        <w:rPr>
          <w:sz w:val="24"/>
        </w:rPr>
      </w:r>
      <w:r>
        <w:rPr>
          <w:sz w:val="24"/>
        </w:rPr>
      </w:r>
    </w:p>
    <w:p w:rsidR="00B12EFF" w:rsidRDefault="00554303">
      <w:pPr>
        <w:spacing w:before="120" w:after="60" w:line="276" w:lineRule="auto"/>
        <w:jc w:val="center"/>
      </w:pPr>
      <w:r>
        <w:rPr>
          <w:noProof/>
        </w:rPr>
        <w:lastRenderedPageBreak/>
        <w:drawing>
          <wp:inline distT="0" distB="0" distL="0" distR="0">
            <wp:extent cx="2892056" cy="2169042"/>
            <wp:effectExtent l="0" t="0" r="381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2a_scatter_2019.png"/>
                    <pic:cNvPicPr/>
                  </pic:nvPicPr>
                  <pic:blipFill>
                    <a:blip r:embed="rId9"/>
                    <a:stretch>
                      <a:fillRect/>
                    </a:stretch>
                  </pic:blipFill>
                  <pic:spPr>
                    <a:xfrm>
                      <a:off x="0" y="0"/>
                      <a:ext cx="2902537" cy="2176903"/>
                    </a:xfrm>
                    <a:prstGeom prst="rect">
                      <a:avLst/>
                    </a:prstGeom>
                  </pic:spPr>
                </pic:pic>
              </a:graphicData>
            </a:graphic>
          </wp:inline>
        </w:drawing>
      </w:r>
    </w:p>
    <w:p w:rsidR="00B12EFF" w:rsidRDefault="00554303">
      <w:pPr>
        <w:spacing w:after="60"/>
        <w:jc w:val="center"/>
      </w:pPr>
      <w:r>
        <w:t>Gambar 4. Visualisasi PCA 2D distribusi klaster GMM periode 2019 (Pre-COVID) dengan K=6 klaster optimal berdasarkan minimum BIC (n=146). Periode ini menjadi baseline komparabilitas temporal seluruh analisis. Sebaran data menunjukkan heterogenitas tinggi dengan enam klaster (K1–K6) yang terdistribusi relatif merata (5,5%–22,6%), didominasi pendaftar dari Kabupaten dan Kota Pekalongan. Profil detail setiap klaster tersaji pada Tabel 6.</w:t>
      </w:r>
      <w:r/>
    </w:p>
    <w:p w:rsidR="00B12EFF" w:rsidRDefault="00554303">
      <w:pPr>
        <w:spacing w:after="120"/>
        <w:jc w:val="center"/>
      </w:pPr>
      <w:r>
        <w:rPr>
          <w:i/>
          <w:sz w:val="18"/>
        </w:rPr>
        <w:t>Sumber: Hasil olah data pipeline GMM (2025)</w:t>
      </w:r>
    </w:p>
    <w:p w:rsidR="00B12EFF" w:rsidRDefault="00554303">
      <w:pPr>
        <w:spacing w:before="120" w:after="60" w:line="276" w:lineRule="auto"/>
        <w:jc w:val="center"/>
      </w:pPr>
      <w:bookmarkStart w:id="0" w:name="_GoBack"/>
      <w:r>
        <w:rPr>
          <w:noProof/>
        </w:rPr>
        <w:drawing>
          <wp:inline distT="0" distB="0" distL="0" distR="0">
            <wp:extent cx="2452577" cy="1839433"/>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2e_scatter_2023.png"/>
                    <pic:cNvPicPr/>
                  </pic:nvPicPr>
                  <pic:blipFill>
                    <a:blip r:embed="rId10"/>
                    <a:stretch>
                      <a:fillRect/>
                    </a:stretch>
                  </pic:blipFill>
                  <pic:spPr>
                    <a:xfrm>
                      <a:off x="0" y="0"/>
                      <a:ext cx="2468398" cy="1851299"/>
                    </a:xfrm>
                    <a:prstGeom prst="rect">
                      <a:avLst/>
                    </a:prstGeom>
                  </pic:spPr>
                </pic:pic>
              </a:graphicData>
            </a:graphic>
          </wp:inline>
        </w:drawing>
      </w:r>
      <w:bookmarkEnd w:id="0"/>
    </w:p>
    <w:p w:rsidR="00B12EFF" w:rsidRDefault="00554303">
      <w:pPr>
        <w:spacing w:after="60"/>
        <w:jc w:val="center"/>
      </w:pPr>
      <w:r>
        <w:t>Gambar 5. Visualisasi PCA 2D distribusi klaster GMM periode 2023 (Recovery Konsolidasi) dengan K=2 klaster (n=680), menunjukkan konsolidasi ekstrem dari 6 klaster (2019) menjadi hanya 2 segmen. Klaster dominan (K2) menguasai 92,6% populasi (630 dari 680 mahasiswa) dengan dominasi Sarjana Informatika (189) dan Sarjana Teknologi Informasi (169), mencerminkan homogenisasi perilaku pendaftar pasca-pandemi. Struktur ini berbeda drastis dari baseline 2019 (ARI=-0,0036, Tabel 3), mengkonfirmasi structural break. Profil detail klaster tersaji pada Tabel 6.</w:t>
      </w:r>
    </w:p>
    <w:p w:rsidR="00B12EFF" w:rsidRDefault="00554303">
      <w:pPr>
        <w:spacing w:after="120"/>
        <w:jc w:val="center"/>
      </w:pPr>
      <w:r>
        <w:rPr>
          <w:i/>
          <w:sz w:val="18"/>
        </w:rPr>
        <w:t>Sumber: Hasil olah data pipeline GMM (2025)</w:t>
      </w:r>
    </w:p>
    <w:p w:rsidR="00B12EFF" w:rsidRDefault="00554303">
      <w:pPr>
        <w:spacing w:before="120" w:after="60" w:line="276" w:lineRule="auto"/>
        <w:jc w:val="center"/>
      </w:pPr>
      <w:r>
        <w:rPr>
          <w:noProof/>
        </w:rPr>
        <w:drawing>
          <wp:inline distT="0" distB="0" distL="0" distR="0">
            <wp:extent cx="2966484" cy="2224863"/>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2f_scatter_2024.png"/>
                    <pic:cNvPicPr/>
                  </pic:nvPicPr>
                  <pic:blipFill>
                    <a:blip r:embed="rId11"/>
                    <a:stretch>
                      <a:fillRect/>
                    </a:stretch>
                  </pic:blipFill>
                  <pic:spPr>
                    <a:xfrm>
                      <a:off x="0" y="0"/>
                      <a:ext cx="2999024" cy="2249268"/>
                    </a:xfrm>
                    <a:prstGeom prst="rect">
                      <a:avLst/>
                    </a:prstGeom>
                  </pic:spPr>
                </pic:pic>
              </a:graphicData>
            </a:graphic>
          </wp:inline>
        </w:drawing>
      </w:r>
    </w:p>
    <w:p w:rsidR="00B12EFF" w:rsidRDefault="00554303">
      <w:pPr>
        <w:spacing w:after="60"/>
        <w:jc w:val="center"/>
      </w:pPr>
      <w:r>
        <w:t>Gambar 6. Visualisasi PCA 2D distribusi klaster GMM periode 2024 (Recovery Stabilisasi) dengan K=3 klaster (n=503), menunjukkan diversifikasi dari 2 klaster (2023) menjadi 3 segmen. Klaster mayoritas (K2) menguasai 54,5% populasi (274 dari 503 mahasiswa) dengan dominasi Sarjana Informatika (60) dan Diploma Tiga Akuntansi (57). Klaster K3 menampung 39,0% (196 mahasiswa) dengan dominasi Sarjana Teknologi Informasi (52). Segmen baru D3 Akuntansi muncul sebagai prodi dominan pada klaster K1 (6,6%, berbasis Kota Pekalongan), mengindikasikan diferensiasi berbasis program studi sebagai driver segmentasi pasca-konsolidasi. Profil detail klaster tersaji pada Tabel 6.</w:t>
      </w:r>
    </w:p>
    <w:p w:rsidR="00B12EFF" w:rsidRDefault="00554303">
      <w:pPr>
        <w:spacing w:after="120"/>
        <w:jc w:val="center"/>
      </w:pPr>
      <w:r>
        <w:rPr>
          <w:i/>
          <w:sz w:val="18"/>
        </w:rPr>
        <w:t>Sumber: Hasil olah data pipeline GMM (2025)</w:t>
      </w:r>
    </w:p>
    <w:p w:rsidR="00B12EFF" w:rsidRDefault="00B12EFF">
      <w:pPr>
        <w:sectPr w:rsidR="00B12EFF">
          <w:pgSz w:w="11906" w:h="16838"/>
          <w:pgMar w:top="1701" w:right="1130" w:bottom="1247" w:left="1418" w:header="0" w:footer="504" w:gutter="0"/>
          <w:cols w:num="2" w:space="720"/>
        </w:sectPr>
      </w:pPr>
    </w:p>
    <w:p w:rsidR="00B12EFF" w:rsidRDefault="00554303">
      <w:pPr>
        <w:spacing w:line="276" w:lineRule="auto"/>
        <w:jc w:val="left"/>
      </w:pPr>
      <w:r>
        <w:rPr>
          <w:rFonts w:ascii="Times New Roman" w:hAnsi="Times New Roman"/>
          <w:b/>
          <w:sz w:val="24"/>
          <w:smallCaps/>
        </w:rPr>
        <w:lastRenderedPageBreak/>
        <w:t>KESIMPULAN</w:t>
      </w:r>
    </w:p>
    <w:p w:rsidR="00B12EFF" w:rsidRDefault="00554303">
      <w:pPr>
        <w:spacing w:after="60" w:line="276" w:lineRule="auto"/>
        <w:jc w:val="both"/>
      </w:pPr>
      <w:r>
        <w:rPr>
          <w:sz w:val="24"/>
        </w:rPr>
        <w:t>Berdasarkan hasil analisis data segmentasi probabilistik menggunakan Gaussian Mixture Model (GMM) dan ekstraksi fitur semantik melalui IndoBERT pada populasi pendaftar mahasiswa bar</w:t>
      </w:r>
      <w:r>
        <w:rPr>
          <w:sz w:val="24"/>
        </w:rPr>
        <w:t>u ITSNU Pekalongan periode 2019-2024, tiga kesimpulan utama diperoleh.</w:t>
      </w:r>
    </w:p>
    <w:p w:rsidR="00B12EFF" w:rsidRDefault="00554303">
      <w:pPr>
        <w:spacing w:after="60" w:line="276" w:lineRule="auto"/>
        <w:jc w:val="both"/>
      </w:pPr>
      <w:r>
        <w:rPr>
          <w:sz w:val="24"/>
        </w:rPr>
        <w:t>Pertama, efektivitas integrasi segmentasi probabilistik dan ekstraksi semantik. Penelitian ini secara empiris membuktikan bahwa integrasi antara representasi ruang vektor berdimensi 768</w:t>
      </w:r>
      <w:r>
        <w:rPr>
          <w:sz w:val="24"/>
        </w:rPr>
        <w:t xml:space="preserve"> dari IndoBERT dengan soft clustering probabilistik GMM sangat efektif dalam memetakan profil calon mahasiswa secara presisi. Dari dataset 2.362 pendaftar, pendekatan ini sukses mengidentifikasi K optimal yang bervariasi 2-6 per periode (2019=6, 2020=6, 20</w:t>
      </w:r>
      <w:r>
        <w:rPr>
          <w:sz w:val="24"/>
        </w:rPr>
        <w:t>21=6, 2022=5, 2023=2, 2024=3), dengan konsolidasi dari 6 klaster pada fase pra-pandemi menjadi 2-3 klaster pada fase recovery.</w:t>
      </w:r>
    </w:p>
    <w:p w:rsidR="00B12EFF" w:rsidRDefault="00554303">
      <w:pPr>
        <w:spacing w:after="60" w:line="276" w:lineRule="auto"/>
        <w:jc w:val="both"/>
      </w:pPr>
      <w:r>
        <w:rPr>
          <w:sz w:val="24"/>
        </w:rPr>
        <w:t xml:space="preserve">Kedua, dinamika perubahan struktural pendaftar (structural breaks). Analisis stabilitas lintas waktu menggunakan metrik Adjusted </w:t>
      </w:r>
      <w:r>
        <w:rPr>
          <w:sz w:val="24"/>
        </w:rPr>
        <w:t xml:space="preserve">Rand Index (ARI) membuktikan bahwa asumsi segmentasi pasar yang statis di lingkungan pendidikan tinggi adalah keliru. Seluruh 5 transisi antar periode (2019→2024) terkonfirmasi sebagai structural break dengan ARI &lt; 0,30 (kisaran -0,0036 hingga 0,0160), di </w:t>
      </w:r>
      <w:r>
        <w:rPr>
          <w:sz w:val="24"/>
        </w:rPr>
        <w:t>mana dua transisi menunjukkan disrupsi paling ekstrem dengan ARI negatif: 2019-2020 (ARI = -0,0036) dan 2022-2023 (ARI = -0,0036).</w:t>
      </w:r>
    </w:p>
    <w:p w:rsidR="00B12EFF" w:rsidRDefault="00554303">
      <w:pPr>
        <w:spacing w:after="60" w:line="276" w:lineRule="auto"/>
        <w:jc w:val="both"/>
      </w:pPr>
      <w:r>
        <w:rPr>
          <w:sz w:val="24"/>
        </w:rPr>
        <w:t>Ketiga, implikasi praktis Hybrid Cognitive Pipeline untuk kebijakan rekrutmen. Pemanfaatan agen kecerdasan buatan pada peneli</w:t>
      </w:r>
      <w:r>
        <w:rPr>
          <w:sz w:val="24"/>
        </w:rPr>
        <w:t>tian ini secara sukses menjembatani kesenjangan antara keluaran analisis data teknis dengan perumusan strategi rekrutmen. Model Ollama lokal memastikan keamanan privasi data (PII) sebelum metadata yang diagregasi diproses oleh model kognitif tingkat lanjut</w:t>
      </w:r>
      <w:r>
        <w:rPr>
          <w:sz w:val="24"/>
        </w:rPr>
        <w:t xml:space="preserve"> di cloud. Validasi dua pakar PMB ITSNU Pekalongan menghasilkan skor rata-rata 4,0/5,0 (kategori valid/layak), mengonfirmasi akurasi persona klaster, rekomendasi channel, dan narasi strategis.</w:t>
      </w:r>
    </w:p>
    <w:p w:rsidR="00B12EFF" w:rsidRDefault="00554303">
      <w:pPr>
        <w:spacing w:line="276" w:lineRule="auto"/>
        <w:jc w:val="left"/>
      </w:pPr>
      <w:r>
        <w:rPr>
          <w:rFonts w:ascii="Times New Roman" w:hAnsi="Times New Roman"/>
          <w:b/>
          <w:sz w:val="24"/>
          <w:smallCaps/>
        </w:rPr>
        <w:t>SARAN</w:t>
      </w:r>
    </w:p>
    <w:p w:rsidR="00B12EFF" w:rsidRDefault="00554303">
      <w:pPr>
        <w:spacing w:after="60" w:line="276" w:lineRule="auto"/>
        <w:jc w:val="both"/>
      </w:pPr>
      <w:r>
        <w:rPr>
          <w:sz w:val="24"/>
        </w:rPr>
        <w:t>Saran Praktis: Tim Manajemen Penerimaan Mahasiswa Baru (P</w:t>
      </w:r>
      <w:r>
        <w:rPr>
          <w:sz w:val="24"/>
        </w:rPr>
        <w:t>MB) ITSNU Pekalongan sangat direkomendasikan untuk mulai mengoperasionalkan proyeksi klaster tahun 2025 yang dihasilkan oleh pipeline ini sebagai basis penyusunan Rencana Kerja dan Anggaran (RKA) promosi. Mengingat klaster dengan karakteristik vokasi dan p</w:t>
      </w:r>
      <w:r>
        <w:rPr>
          <w:sz w:val="24"/>
        </w:rPr>
        <w:t>enguasaan teknologi digital terbukti memiliki momentum pertumbuhan terbesar pasca-pandemi, institusi perlu menyesuaikan bauran komunikasi pemasarannya.</w:t>
      </w:r>
    </w:p>
    <w:p w:rsidR="00B12EFF" w:rsidRDefault="00554303">
      <w:pPr>
        <w:spacing w:after="60" w:line="276" w:lineRule="auto"/>
        <w:jc w:val="both"/>
      </w:pPr>
      <w:r>
        <w:rPr>
          <w:sz w:val="24"/>
        </w:rPr>
        <w:t>Saran Akademis: Bagi akademisi maupun praktisi data yang berminat melanjutkan pengembangan arsitektur in</w:t>
      </w:r>
      <w:r>
        <w:rPr>
          <w:sz w:val="24"/>
        </w:rPr>
        <w:t>i, disarankan dua arah penyempurnaan utama. Pertama, eksplorasi penggunaan metode Dirichlet Process Mixture Models (DPMM) sebagai substitusi dari GMM. Kedua, evaluasi Fine-Tuning terhadap Small Language Models (SLM) seperti Llama-3-8B secara mandiri (on-pr</w:t>
      </w:r>
      <w:r>
        <w:rPr>
          <w:sz w:val="24"/>
        </w:rPr>
        <w:t>emise) agar penalaran strategis dapat dilakukan sepenuhnya di lingkungan institusional.</w:t>
      </w:r>
    </w:p>
    <w:p w:rsidR="00B12EFF" w:rsidRDefault="00B12EFF">
      <w:pPr>
        <w:sectPr w:rsidR="00B12EFF">
          <w:pgSz w:w="11906" w:h="16838"/>
          <w:pgMar w:top="1701" w:right="1130" w:bottom="1247" w:left="1418" w:header="0" w:footer="504" w:gutter="0"/>
          <w:cols w:space="720"/>
        </w:sectPr>
      </w:pPr>
    </w:p>
    <w:p w:rsidR="00B12EFF" w:rsidRDefault="00554303">
      <w:pPr>
        <w:pStyle w:val="Judul3"/>
        <w:spacing w:before="360" w:after="120"/>
      </w:pPr>
      <w:r>
        <w:rPr>
          <w:sz w:val="24"/>
          <w:rFonts w:ascii="Times New Roman" w:hAnsi="Times New Roman"/>
          <w:b/>
          <w:smallCaps/>
        </w:rPr>
        <w:lastRenderedPageBreak/>
        <w:t>DAFTAR PUSTAKA</w:t>
      </w:r>
    </w:p>
    <w:p>
      <w:pPr>
        <w:pStyle w:val="Normal"/>
        <w:spacing w:line="276" w:lineRule="auto"/>
      </w:pPr>
      <w:r>
        <w:rPr>
          <w:rFonts w:ascii="Times New Roman" w:hAnsi="Times New Roman"/>
          <w:sz w:val="24"/>
          <w:szCs w:val="24"/>
        </w:rPr>
        <w:t>[1] E. Ramadanti and M. Muslih, "Penerapan Data Mining Algoritma K-Means Clustering Pada Populasi Ayam Petelur Di Indonesia," Rabit, vol. 7, no. 1, pp. 1-7, 2022, doi: 10.36341/rabit.v7i1.2155.</w:t>
      </w:r>
    </w:p>
    <w:p>
      <w:pPr>
        <w:pStyle w:val="Normal"/>
        <w:spacing w:line="276" w:lineRule="auto"/>
      </w:pPr>
      <w:r>
        <w:rPr>
          <w:rFonts w:ascii="Times New Roman" w:hAnsi="Times New Roman"/>
          <w:sz w:val="24"/>
          <w:szCs w:val="24"/>
        </w:rPr>
        <w:t>[2] A. Aristovnik, D. Keržič, D. Ravšelj, N. Tomaževič, and L. Umek, "Impacts of the Covid-19 Pandemic on Life of Higher Education Students: Global Survey Dataset from the First Wave," Data in Brief, vol. 39, p. 107659, 2021, doi: 10.1016/j.dib.2021.107659.</w:t>
      </w:r>
    </w:p>
    <w:p>
      <w:pPr>
        <w:pStyle w:val="Normal"/>
        <w:spacing w:line="276" w:lineRule="auto"/>
      </w:pPr>
      <w:r>
        <w:rPr>
          <w:rFonts w:ascii="Times New Roman" w:hAnsi="Times New Roman"/>
          <w:sz w:val="24"/>
          <w:szCs w:val="24"/>
        </w:rPr>
        <w:t>[3] L. Subakti, H. Murfi, and N. Hariadi, "The Performance of BERT as Data Representation of Text Clustering," J. Big Data, vol. 9, no. 1, p. 15, 2022, doi: 10.1186/s40537-022-00564-9.</w:t>
      </w:r>
    </w:p>
    <w:p>
      <w:pPr>
        <w:pStyle w:val="Normal"/>
        <w:spacing w:line="276" w:lineRule="auto"/>
      </w:pPr>
      <w:r>
        <w:rPr>
          <w:rFonts w:ascii="Times New Roman" w:hAnsi="Times New Roman"/>
          <w:sz w:val="24"/>
          <w:szCs w:val="24"/>
        </w:rPr>
        <w:t>[4] F. Koto, A. Rahimi, J. H. Lau, and T. Baldwin, "IndoLEM and IndoBERT: A Benchmark Dataset and Pre-trained Language Model for Indonesian NLP," in Proc. 28th COLING, Barcelona, Spain, 2020, pp. 757-770, doi: 10.18653/v1/2020.coling-main.66.</w:t>
      </w:r>
    </w:p>
    <w:p>
      <w:pPr>
        <w:pStyle w:val="Normal"/>
        <w:spacing w:line="276" w:lineRule="auto"/>
      </w:pPr>
      <w:r>
        <w:rPr>
          <w:rFonts w:ascii="Times New Roman" w:hAnsi="Times New Roman"/>
          <w:sz w:val="24"/>
          <w:szCs w:val="24"/>
        </w:rPr>
        <w:t>[5] L. Scrucca, C. Fraley, T. B. Murphy, and A. E. Raftery, "Model-Based Clustering," in Handbook of Cluster Analysis, CRC Press, 2024.</w:t>
      </w:r>
    </w:p>
    <w:p>
      <w:pPr>
        <w:pStyle w:val="Normal"/>
        <w:spacing w:line="276" w:lineRule="auto"/>
      </w:pPr>
      <w:r>
        <w:rPr>
          <w:rFonts w:ascii="Times New Roman" w:hAnsi="Times New Roman"/>
          <w:sz w:val="24"/>
          <w:szCs w:val="24"/>
        </w:rPr>
        <w:t>[6] J. Devlin, M.-W. Chang, K. Lee, and K. Toutanova, "BERT: Pre-training of Deep Bidirectional Transformers for Language Understanding," in Proc. NAACL-HLT, 2019, pp. 4171-4186.</w:t>
      </w:r>
    </w:p>
    <w:p>
      <w:pPr>
        <w:pStyle w:val="Normal"/>
        <w:spacing w:line="276" w:lineRule="auto"/>
      </w:pPr>
      <w:r>
        <w:rPr>
          <w:rFonts w:ascii="Times New Roman" w:hAnsi="Times New Roman"/>
          <w:sz w:val="24"/>
          <w:szCs w:val="24"/>
        </w:rPr>
        <w:t>[7] S. Mulyani, Y. Anis, Sunardi, V. T. Anjarsari, and H. Listiyono, "Optimalisasi Strategi Promosi Program Studi Melalui Dashboard Berbasis Data Peminatan dan Analitik Instagram dengan ICFS," Rabit, vol. 11, no. 1, 2026, doi: 10.36341/rabit.v11i1.7021.</w:t>
      </w:r>
    </w:p>
    <w:p>
      <w:pPr>
        <w:pStyle w:val="Normal"/>
        <w:spacing w:line="276" w:lineRule="auto"/>
      </w:pPr>
      <w:r>
        <w:rPr>
          <w:rFonts w:ascii="Times New Roman" w:hAnsi="Times New Roman"/>
          <w:sz w:val="24"/>
          <w:szCs w:val="24"/>
        </w:rPr>
        <w:t>[8] D. Safitri, S. S. Hilabi, and F. Nurapriani, "Analisis Penggunaan Algoritma Klasifikasi Dalam Prediksi Kelulusan Menggunakan Orange Data Mining," Rabit, vol. 8, no. 1, pp. 75-81, 2023, doi: 10.36341/rabit.v8i1.3009.</w:t>
      </w:r>
    </w:p>
    <w:p>
      <w:pPr>
        <w:pStyle w:val="Normal"/>
        <w:spacing w:line="276" w:lineRule="auto"/>
      </w:pPr>
      <w:r>
        <w:rPr>
          <w:rFonts w:ascii="Times New Roman" w:hAnsi="Times New Roman"/>
          <w:sz w:val="24"/>
          <w:szCs w:val="24"/>
        </w:rPr>
        <w:t>[9] R. B. Hidayah, K. Latifah, and B. A. Herlambang, "Prediksi Gaya Belajar Menggunakan Algoritma Random Forest Dengan Optimasi Hyperparameter Tuning Berbasis Web," Rabit, vol. 10, no. 2, pp. 864-873, 2025, doi: 10.36341/rabit.v10i2.6393.</w:t>
      </w:r>
    </w:p>
    <w:p>
      <w:pPr>
        <w:pStyle w:val="Normal"/>
        <w:spacing w:line="276" w:lineRule="auto"/>
      </w:pPr>
      <w:r>
        <w:rPr>
          <w:rFonts w:ascii="Times New Roman" w:hAnsi="Times New Roman"/>
          <w:sz w:val="24"/>
          <w:szCs w:val="24"/>
        </w:rPr>
        <w:t>[10] N. Reimers and I. Gurevych, "Sentence-BERT: Sentence Embeddings using Siamese BERT-Networks," in Proc. EMNLP-IJCNLP, Hong Kong, 2019, pp. 3982-3992, doi: 10.18653/v1/D19-1410.</w:t>
      </w:r>
    </w:p>
    <w:p>
      <w:pPr>
        <w:pStyle w:val="Normal"/>
        <w:spacing w:line="276" w:lineRule="auto"/>
      </w:pPr>
      <w:r>
        <w:rPr>
          <w:rFonts w:ascii="Times New Roman" w:hAnsi="Times New Roman"/>
          <w:sz w:val="24"/>
          <w:szCs w:val="24"/>
        </w:rPr>
        <w:t>[11] M. Greenacre, P. J. F. Groenen, T. Hastie, et al., "Principal Component Analysis," Nature Reviews Methods Primers, vol. 2, art. 100, 2022, doi: 10.1038/s43586-022-00184-w.</w:t>
      </w:r>
    </w:p>
    <w:p>
      <w:pPr>
        <w:pStyle w:val="Normal"/>
        <w:spacing w:line="276" w:lineRule="auto"/>
      </w:pPr>
      <w:r>
        <w:rPr>
          <w:rFonts w:ascii="Times New Roman" w:hAnsi="Times New Roman"/>
          <w:sz w:val="24"/>
          <w:szCs w:val="24"/>
        </w:rPr>
        <w:t>[12] L. Hubert and P. Arabie, "Comparing Partitions," Journal of Classification, vol. 2, no. 1, pp. 193-218, 1985, doi: 10.1007/BF01908075.</w:t>
      </w:r>
    </w:p>
    <w:p>
      <w:pPr>
        <w:pStyle w:val="Normal"/>
        <w:spacing w:line="276" w:lineRule="auto"/>
      </w:pPr>
      <w:r>
        <w:rPr>
          <w:rFonts w:ascii="Times New Roman" w:hAnsi="Times New Roman"/>
          <w:sz w:val="24"/>
          <w:szCs w:val="24"/>
        </w:rPr>
        <w:t>[13] A. Vaswani et al., "Attention Is All You Need," in Advances in Neural Information Processing Systems, vol. 30, 2017.</w:t>
      </w:r>
    </w:p>
    <w:p>
      <w:pPr>
        <w:pStyle w:val="Normal"/>
        <w:spacing w:line="276" w:lineRule="auto"/>
      </w:pPr>
      <w:r>
        <w:rPr>
          <w:rFonts w:ascii="Times New Roman" w:hAnsi="Times New Roman"/>
          <w:sz w:val="24"/>
          <w:szCs w:val="24"/>
        </w:rPr>
        <w:t>[14] C. Romero and S. Ventura, "Educational Data Mining and Learning Analytics: An Updated Survey," WIREs Data Mining Knowl Discov, vol. 10, no. 3, 2020, doi: 10.1002/wdm.1355.</w:t>
      </w:r>
    </w:p>
    <w:p>
      <w:pPr>
        <w:pStyle w:val="Normal"/>
        <w:spacing w:line="276" w:lineRule="auto"/>
      </w:pPr>
      <w:r>
        <w:rPr>
          <w:rFonts w:ascii="Times New Roman" w:hAnsi="Times New Roman"/>
          <w:sz w:val="24"/>
          <w:szCs w:val="24"/>
        </w:rPr>
        <w:t>[15] M. Saqr and S. López-Pernas, Learning Analytics Methods and Tutorials: A Practical Guide Using R, Springer Nature, 2024, doi: 10.1007/978-3-031-54464-4.</w:t>
      </w:r>
    </w:p>
    <w:p>
      <w:pPr>
        <w:pStyle w:val="Normal"/>
        <w:spacing w:line="276" w:lineRule="auto"/>
      </w:pPr>
      <w:r>
        <w:rPr>
          <w:rFonts w:ascii="Times New Roman" w:hAnsi="Times New Roman"/>
          <w:sz w:val="24"/>
          <w:szCs w:val="24"/>
        </w:rPr>
        <w:t>[16] J. Helske, S. Helske, M. Saqr, S. López-Pernas, and K. Murphy, "A Modern Approach to Transition Analysis and Process Mining with Markov Models in Education," in Learning Analytics Methods and Tutorials, Springer, 2024, pp. 381-427, doi: 10.1007/978-3-031-54464-4_12.</w:t>
      </w:r>
    </w:p>
    <w:p>
      <w:pPr>
        <w:pStyle w:val="Normal"/>
        <w:spacing w:line="276" w:lineRule="auto"/>
      </w:pPr>
      <w:r>
        <w:rPr>
          <w:rFonts w:ascii="Times New Roman" w:hAnsi="Times New Roman"/>
          <w:sz w:val="24"/>
          <w:szCs w:val="24"/>
        </w:rPr>
        <w:t>[17] M. J. Parker, C. Anderson, C. Stone, and Y. R. Oh, "A Large Language Model Approach to Educational Survey Feedback Analysis," Int. J. Artif. Intell. Educ., vol. 35, no. 2, pp. 444-481, 2025, doi: 10.1007/s40593-024-00414-0.</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381434"/>
    <w:multiLevelType w:val="multilevel"/>
    <w:tmpl w:val="80526866"/>
    <w:lvl w:ilvl="0">
      <w:start w:val="1"/>
      <w:numFmt w:val="lowerLetter"/>
      <w:lvlText w:val="%1."/>
      <w:lvlJc w:val="left"/>
      <w:pPr>
        <w:ind w:left="1500" w:firstLine="1140"/>
      </w:pPr>
      <w:rPr>
        <w:vertAlign w:val="baseline"/>
      </w:rPr>
    </w:lvl>
    <w:lvl w:ilvl="1">
      <w:start w:val="1"/>
      <w:numFmt w:val="lowerLetter"/>
      <w:lvlText w:val="%2."/>
      <w:lvlJc w:val="left"/>
      <w:pPr>
        <w:ind w:left="2220" w:firstLine="1860"/>
      </w:pPr>
      <w:rPr>
        <w:vertAlign w:val="baseline"/>
      </w:rPr>
    </w:lvl>
    <w:lvl w:ilvl="2">
      <w:start w:val="1"/>
      <w:numFmt w:val="lowerRoman"/>
      <w:lvlText w:val="%3."/>
      <w:lvlJc w:val="right"/>
      <w:pPr>
        <w:ind w:left="2940" w:firstLine="2760"/>
      </w:pPr>
      <w:rPr>
        <w:vertAlign w:val="baseline"/>
      </w:rPr>
    </w:lvl>
    <w:lvl w:ilvl="3">
      <w:start w:val="1"/>
      <w:numFmt w:val="decimal"/>
      <w:lvlText w:val="%4."/>
      <w:lvlJc w:val="left"/>
      <w:pPr>
        <w:ind w:left="3660" w:firstLine="3300"/>
      </w:pPr>
      <w:rPr>
        <w:vertAlign w:val="baseline"/>
      </w:rPr>
    </w:lvl>
    <w:lvl w:ilvl="4">
      <w:start w:val="1"/>
      <w:numFmt w:val="lowerLetter"/>
      <w:lvlText w:val="%5."/>
      <w:lvlJc w:val="left"/>
      <w:pPr>
        <w:ind w:left="4380" w:firstLine="4020"/>
      </w:pPr>
      <w:rPr>
        <w:vertAlign w:val="baseline"/>
      </w:rPr>
    </w:lvl>
    <w:lvl w:ilvl="5">
      <w:start w:val="1"/>
      <w:numFmt w:val="lowerRoman"/>
      <w:lvlText w:val="%6."/>
      <w:lvlJc w:val="right"/>
      <w:pPr>
        <w:ind w:left="5100" w:firstLine="4920"/>
      </w:pPr>
      <w:rPr>
        <w:vertAlign w:val="baseline"/>
      </w:rPr>
    </w:lvl>
    <w:lvl w:ilvl="6">
      <w:start w:val="1"/>
      <w:numFmt w:val="decimal"/>
      <w:lvlText w:val="%7."/>
      <w:lvlJc w:val="left"/>
      <w:pPr>
        <w:ind w:left="5820" w:firstLine="5460"/>
      </w:pPr>
      <w:rPr>
        <w:vertAlign w:val="baseline"/>
      </w:rPr>
    </w:lvl>
    <w:lvl w:ilvl="7">
      <w:start w:val="1"/>
      <w:numFmt w:val="lowerLetter"/>
      <w:lvlText w:val="%8."/>
      <w:lvlJc w:val="left"/>
      <w:pPr>
        <w:ind w:left="6540" w:firstLine="6180"/>
      </w:pPr>
      <w:rPr>
        <w:vertAlign w:val="baseline"/>
      </w:rPr>
    </w:lvl>
    <w:lvl w:ilvl="8">
      <w:start w:val="1"/>
      <w:numFmt w:val="lowerRoman"/>
      <w:lvlText w:val="%9."/>
      <w:lvlJc w:val="right"/>
      <w:pPr>
        <w:ind w:left="7260" w:firstLine="708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EFF"/>
    <w:rsid w:val="00554303"/>
    <w:rsid w:val="00B12EFF"/>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docId w15:val="{5B5CF20F-709A-DA4E-907D-4DB96FA42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ja-JP" w:bidi="ar-SA"/>
      </w:rPr>
    </w:rPrDefault>
    <w:pPrDefault>
      <w:pPr>
        <w:widowControl w:val="0"/>
        <w:ind w:firstLine="284"/>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E02BF"/>
    <w:rPr>
      <w:color w:val="000000"/>
    </w:rPr>
  </w:style>
  <w:style w:type="paragraph" w:styleId="Judul1">
    <w:name w:val="heading 1"/>
    <w:basedOn w:val="Normal"/>
    <w:next w:val="Normal"/>
    <w:uiPriority w:val="9"/>
    <w:qFormat/>
    <w:pPr>
      <w:keepNext/>
      <w:keepLines/>
      <w:spacing w:before="480" w:after="120"/>
      <w:outlineLvl w:val="0"/>
    </w:pPr>
    <w:rPr>
      <w:b/>
      <w:sz w:val="48"/>
      <w:szCs w:val="48"/>
    </w:rPr>
  </w:style>
  <w:style w:type="paragraph" w:styleId="Judul2">
    <w:name w:val="heading 2"/>
    <w:basedOn w:val="Normal"/>
    <w:next w:val="Normal"/>
    <w:link w:val="Judul2KAR"/>
    <w:uiPriority w:val="9"/>
    <w:unhideWhenUsed/>
    <w:qFormat/>
    <w:rsid w:val="007E02BF"/>
    <w:pPr>
      <w:keepNext/>
      <w:tabs>
        <w:tab w:val="left" w:pos="540"/>
        <w:tab w:val="left" w:pos="1440"/>
      </w:tabs>
      <w:ind w:left="576"/>
      <w:jc w:val="left"/>
      <w:outlineLvl w:val="1"/>
    </w:pPr>
    <w:rPr>
      <w:b/>
    </w:rPr>
  </w:style>
  <w:style w:type="paragraph" w:styleId="Judul3">
    <w:name w:val="heading 3"/>
    <w:basedOn w:val="Normal"/>
    <w:next w:val="Normal"/>
    <w:link w:val="Judul3KAR"/>
    <w:uiPriority w:val="9"/>
    <w:unhideWhenUsed/>
    <w:qFormat/>
    <w:rsid w:val="007E02BF"/>
    <w:pPr>
      <w:keepNext/>
      <w:tabs>
        <w:tab w:val="left" w:pos="567"/>
      </w:tabs>
      <w:ind w:left="720"/>
      <w:jc w:val="left"/>
      <w:outlineLvl w:val="2"/>
    </w:pPr>
    <w:rPr>
      <w:b/>
    </w:rPr>
  </w:style>
  <w:style w:type="paragraph" w:styleId="Judul4">
    <w:name w:val="heading 4"/>
    <w:basedOn w:val="Normal"/>
    <w:next w:val="Normal"/>
    <w:uiPriority w:val="9"/>
    <w:semiHidden/>
    <w:unhideWhenUsed/>
    <w:qFormat/>
    <w:pPr>
      <w:keepNext/>
      <w:keepLines/>
      <w:spacing w:before="240" w:after="40"/>
      <w:outlineLvl w:val="3"/>
    </w:pPr>
    <w:rPr>
      <w:b/>
      <w:sz w:val="24"/>
      <w:szCs w:val="24"/>
    </w:rPr>
  </w:style>
  <w:style w:type="paragraph" w:styleId="Judul5">
    <w:name w:val="heading 5"/>
    <w:basedOn w:val="Normal"/>
    <w:next w:val="Normal"/>
    <w:uiPriority w:val="9"/>
    <w:semiHidden/>
    <w:unhideWhenUsed/>
    <w:qFormat/>
    <w:pPr>
      <w:keepNext/>
      <w:keepLines/>
      <w:spacing w:before="220" w:after="40"/>
      <w:outlineLvl w:val="4"/>
    </w:pPr>
    <w:rPr>
      <w:b/>
      <w:sz w:val="22"/>
      <w:szCs w:val="22"/>
    </w:rPr>
  </w:style>
  <w:style w:type="paragraph" w:styleId="Judul6">
    <w:name w:val="heading 6"/>
    <w:basedOn w:val="Normal"/>
    <w:next w:val="Normal"/>
    <w:uiPriority w:val="9"/>
    <w:semiHidden/>
    <w:unhideWhenUsed/>
    <w:qFormat/>
    <w:pPr>
      <w:keepNext/>
      <w:keepLines/>
      <w:spacing w:before="200" w:after="40"/>
      <w:outlineLvl w:val="5"/>
    </w:pPr>
    <w:rPr>
      <w:b/>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after="120"/>
    </w:pPr>
    <w:rPr>
      <w:b/>
      <w:sz w:val="72"/>
      <w:szCs w:val="72"/>
    </w:rPr>
  </w:style>
  <w:style w:type="character" w:customStyle="1" w:styleId="Judul2KAR">
    <w:name w:val="Judul 2 KAR"/>
    <w:basedOn w:val="FontParagrafDefault"/>
    <w:link w:val="Judul2"/>
    <w:rsid w:val="007E02BF"/>
    <w:rPr>
      <w:rFonts w:ascii="Times New Roman" w:eastAsia="Times New Roman" w:hAnsi="Times New Roman" w:cs="Times New Roman"/>
      <w:b/>
      <w:color w:val="000000"/>
      <w:sz w:val="20"/>
      <w:szCs w:val="20"/>
      <w:lang w:val="en-US"/>
    </w:rPr>
  </w:style>
  <w:style w:type="character" w:customStyle="1" w:styleId="Judul3KAR">
    <w:name w:val="Judul 3 KAR"/>
    <w:basedOn w:val="FontParagrafDefault"/>
    <w:link w:val="Judul3"/>
    <w:rsid w:val="007E02BF"/>
    <w:rPr>
      <w:rFonts w:ascii="Times New Roman" w:eastAsia="Times New Roman" w:hAnsi="Times New Roman" w:cs="Times New Roman"/>
      <w:b/>
      <w:color w:val="000000"/>
      <w:sz w:val="20"/>
      <w:szCs w:val="20"/>
      <w:lang w:val="en-US"/>
    </w:rPr>
  </w:style>
  <w:style w:type="paragraph" w:styleId="Header">
    <w:name w:val="header"/>
    <w:basedOn w:val="Normal"/>
    <w:link w:val="HeaderKAR"/>
    <w:uiPriority w:val="99"/>
    <w:unhideWhenUsed/>
    <w:rsid w:val="007E02BF"/>
    <w:pPr>
      <w:tabs>
        <w:tab w:val="center" w:pos="4680"/>
        <w:tab w:val="right" w:pos="9360"/>
      </w:tabs>
    </w:pPr>
  </w:style>
  <w:style w:type="character" w:customStyle="1" w:styleId="HeaderKAR">
    <w:name w:val="Header KAR"/>
    <w:basedOn w:val="FontParagrafDefault"/>
    <w:link w:val="Header"/>
    <w:uiPriority w:val="99"/>
    <w:rsid w:val="007E02BF"/>
    <w:rPr>
      <w:rFonts w:ascii="Times New Roman" w:eastAsia="Times New Roman" w:hAnsi="Times New Roman" w:cs="Times New Roman"/>
      <w:color w:val="000000"/>
      <w:sz w:val="20"/>
      <w:szCs w:val="20"/>
      <w:lang w:val="en-US"/>
    </w:rPr>
  </w:style>
  <w:style w:type="paragraph" w:styleId="Footer">
    <w:name w:val="footer"/>
    <w:basedOn w:val="Normal"/>
    <w:link w:val="FooterKAR"/>
    <w:uiPriority w:val="99"/>
    <w:unhideWhenUsed/>
    <w:rsid w:val="007E02BF"/>
    <w:pPr>
      <w:tabs>
        <w:tab w:val="center" w:pos="4680"/>
        <w:tab w:val="right" w:pos="9360"/>
      </w:tabs>
    </w:pPr>
  </w:style>
  <w:style w:type="character" w:customStyle="1" w:styleId="FooterKAR">
    <w:name w:val="Footer KAR"/>
    <w:basedOn w:val="FontParagrafDefault"/>
    <w:link w:val="Footer"/>
    <w:uiPriority w:val="99"/>
    <w:rsid w:val="007E02BF"/>
    <w:rPr>
      <w:rFonts w:ascii="Times New Roman" w:eastAsia="Times New Roman" w:hAnsi="Times New Roman" w:cs="Times New Roman"/>
      <w:color w:val="000000"/>
      <w:sz w:val="20"/>
      <w:szCs w:val="20"/>
      <w:lang w:val="en-US"/>
    </w:rPr>
  </w:style>
  <w:style w:type="paragraph" w:styleId="TidakAdaSpasi">
    <w:name w:val="No Spacing"/>
    <w:uiPriority w:val="1"/>
    <w:qFormat/>
    <w:rsid w:val="007E02BF"/>
    <w:rPr>
      <w:color w:val="000000"/>
    </w:rPr>
  </w:style>
  <w:style w:type="paragraph" w:styleId="TeksBalon">
    <w:name w:val="Balloon Text"/>
    <w:basedOn w:val="Normal"/>
    <w:link w:val="TeksBalonKAR"/>
    <w:uiPriority w:val="99"/>
    <w:semiHidden/>
    <w:unhideWhenUsed/>
    <w:rsid w:val="007E02BF"/>
    <w:rPr>
      <w:sz w:val="18"/>
      <w:szCs w:val="18"/>
    </w:rPr>
  </w:style>
  <w:style w:type="character" w:customStyle="1" w:styleId="TeksBalonKAR">
    <w:name w:val="Teks Balon KAR"/>
    <w:basedOn w:val="FontParagrafDefault"/>
    <w:link w:val="TeksBalon"/>
    <w:uiPriority w:val="99"/>
    <w:semiHidden/>
    <w:rsid w:val="007E02BF"/>
    <w:rPr>
      <w:rFonts w:ascii="Times New Roman" w:eastAsia="Times New Roman" w:hAnsi="Times New Roman" w:cs="Times New Roman"/>
      <w:color w:val="000000"/>
      <w:sz w:val="18"/>
      <w:szCs w:val="18"/>
      <w:lang w:val="en-US"/>
    </w:rPr>
  </w:style>
  <w:style w:type="paragraph" w:styleId="DaftarParagraf">
    <w:name w:val="List Paragraph"/>
    <w:basedOn w:val="Normal"/>
    <w:link w:val="DaftarParagrafKAR"/>
    <w:uiPriority w:val="34"/>
    <w:qFormat/>
    <w:rsid w:val="007E02BF"/>
    <w:pPr>
      <w:ind w:left="720"/>
      <w:contextualSpacing/>
    </w:pPr>
  </w:style>
  <w:style w:type="character" w:customStyle="1" w:styleId="DaftarParagrafKAR">
    <w:name w:val="Daftar Paragraf KAR"/>
    <w:link w:val="DaftarParagraf"/>
    <w:uiPriority w:val="34"/>
    <w:locked/>
    <w:rsid w:val="00DD3A6D"/>
    <w:rPr>
      <w:rFonts w:ascii="Times New Roman" w:eastAsia="Times New Roman" w:hAnsi="Times New Roman" w:cs="Times New Roman"/>
      <w:color w:val="000000"/>
      <w:sz w:val="20"/>
      <w:szCs w:val="20"/>
      <w:lang w:val="en-US"/>
    </w:rPr>
  </w:style>
  <w:style w:type="table" w:styleId="KisiTabel">
    <w:name w:val="Table Grid"/>
    <w:basedOn w:val="TabelNormal"/>
    <w:uiPriority w:val="39"/>
    <w:rsid w:val="00E076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ontParagrafDefault"/>
    <w:rsid w:val="0072584E"/>
  </w:style>
  <w:style w:type="character" w:styleId="Penekanan">
    <w:name w:val="Emphasis"/>
    <w:basedOn w:val="FontParagrafDefault"/>
    <w:uiPriority w:val="20"/>
    <w:qFormat/>
    <w:rsid w:val="0072584E"/>
    <w:rPr>
      <w:i/>
      <w:iCs/>
    </w:rPr>
  </w:style>
  <w:style w:type="character" w:customStyle="1" w:styleId="skimlinks-unlinked">
    <w:name w:val="skimlinks-unlinked"/>
    <w:basedOn w:val="FontParagrafDefault"/>
    <w:rsid w:val="0072584E"/>
  </w:style>
  <w:style w:type="character" w:styleId="Hyperlink">
    <w:name w:val="Hyperlink"/>
    <w:basedOn w:val="FontParagrafDefault"/>
    <w:uiPriority w:val="99"/>
    <w:unhideWhenUsed/>
    <w:rsid w:val="0072584E"/>
    <w:rPr>
      <w:color w:val="0000FF"/>
      <w:u w:val="single"/>
    </w:rPr>
  </w:style>
  <w:style w:type="character" w:styleId="SebutanYangBelumTerselesaikan">
    <w:name w:val="Unresolved Mention"/>
    <w:basedOn w:val="FontParagrafDefault"/>
    <w:uiPriority w:val="99"/>
    <w:semiHidden/>
    <w:unhideWhenUsed/>
    <w:rsid w:val="002648C9"/>
    <w:rPr>
      <w:color w:val="605E5C"/>
      <w:shd w:val="clear" w:color="auto" w:fill="E1DFDD"/>
    </w:rPr>
  </w:style>
  <w:style w:type="paragraph" w:styleId="HTMLSudahDiformat">
    <w:name w:val="HTML Preformatted"/>
    <w:basedOn w:val="Normal"/>
    <w:link w:val="HTMLSudahDiformatKAR"/>
    <w:uiPriority w:val="99"/>
    <w:semiHidden/>
    <w:unhideWhenUsed/>
    <w:rsid w:val="002007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color w:val="auto"/>
      <w:lang w:val="en-GB"/>
    </w:rPr>
  </w:style>
  <w:style w:type="character" w:customStyle="1" w:styleId="HTMLSudahDiformatKAR">
    <w:name w:val="HTML Sudah Diformat KAR"/>
    <w:basedOn w:val="FontParagrafDefault"/>
    <w:link w:val="HTMLSudahDiformat"/>
    <w:uiPriority w:val="99"/>
    <w:semiHidden/>
    <w:rsid w:val="00200793"/>
    <w:rPr>
      <w:rFonts w:ascii="Courier New" w:eastAsia="Times New Roman" w:hAnsi="Courier New" w:cs="Courier New"/>
      <w:sz w:val="20"/>
      <w:szCs w:val="20"/>
      <w:lang w:eastAsia="en-GB"/>
    </w:rPr>
  </w:style>
  <w:style w:type="character" w:styleId="NomorHalaman">
    <w:name w:val="page number"/>
    <w:basedOn w:val="FontParagrafDefault"/>
    <w:uiPriority w:val="99"/>
    <w:semiHidden/>
    <w:unhideWhenUsed/>
    <w:rsid w:val="009077A1"/>
  </w:style>
  <w:style w:type="character" w:styleId="HiperlinkyangDiikuti">
    <w:name w:val="FollowedHyperlink"/>
    <w:basedOn w:val="FontParagrafDefault"/>
    <w:uiPriority w:val="99"/>
    <w:semiHidden/>
    <w:unhideWhenUsed/>
    <w:rsid w:val="00242579"/>
    <w:rPr>
      <w:color w:val="954F72" w:themeColor="followedHyperlink"/>
      <w:u w:val="single"/>
    </w:rPr>
  </w:style>
  <w:style w:type="paragraph" w:styleId="Subjudu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elNormal"/>
    <w:tblPr>
      <w:tblStyleRowBandSize w:val="1"/>
      <w:tblStyleColBandSize w:val="1"/>
      <w:tblCellMar>
        <w:left w:w="115" w:type="dxa"/>
        <w:right w:w="115" w:type="dxa"/>
      </w:tblCellMar>
    </w:tblPr>
  </w:style>
  <w:style w:type="table" w:customStyle="1" w:styleId="a0">
    <w:basedOn w:val="TabelNormal"/>
    <w:tblPr>
      <w:tblStyleRowBandSize w:val="1"/>
      <w:tblStyleColBandSize w:val="1"/>
    </w:tblPr>
  </w:style>
  <w:style w:type="table" w:customStyle="1" w:styleId="a1">
    <w:basedOn w:val="TabelNormal"/>
    <w:tblPr>
      <w:tblStyleRowBandSize w:val="1"/>
      <w:tblStyleColBandSize w:val="1"/>
      <w:tblCellMar>
        <w:left w:w="115" w:type="dxa"/>
        <w:right w:w="115" w:type="dxa"/>
      </w:tblCellMar>
    </w:tblPr>
  </w:style>
  <w:style w:type="table" w:customStyle="1" w:styleId="a2">
    <w:basedOn w:val="TabelNormal"/>
    <w:tblPr>
      <w:tblStyleRowBandSize w:val="1"/>
      <w:tblStyleColBandSize w:val="1"/>
      <w:tblCellMar>
        <w:left w:w="115" w:type="dxa"/>
        <w:right w:w="115" w:type="dxa"/>
      </w:tblCellMar>
    </w:tblPr>
  </w:style>
  <w:style w:type="table" w:customStyle="1" w:styleId="a3">
    <w:basedOn w:val="TabelNormal"/>
    <w:tblPr>
      <w:tblStyleRowBandSize w:val="1"/>
      <w:tblStyleColBandSize w:val="1"/>
      <w:tblCellMar>
        <w:left w:w="0" w:type="dxa"/>
        <w:right w:w="0" w:type="dxa"/>
      </w:tblCellMar>
    </w:tblPr>
  </w:style>
  <w:style w:type="table" w:customStyle="1" w:styleId="a4">
    <w:basedOn w:val="TabelNormal"/>
    <w:tblPr>
      <w:tblStyleRowBandSize w:val="1"/>
      <w:tblStyleColBandSize w:val="1"/>
      <w:tblCellMar>
        <w:left w:w="0" w:type="dxa"/>
        <w:right w:w="0" w:type="dxa"/>
      </w:tblCellMar>
    </w:tblPr>
  </w:style>
  <w:style w:type="table" w:customStyle="1" w:styleId="a5">
    <w:basedOn w:val="TabelNormal"/>
    <w:tblPr>
      <w:tblStyleRowBandSize w:val="1"/>
      <w:tblStyleColBandSize w:val="1"/>
      <w:tblCellMar>
        <w:left w:w="0" w:type="dxa"/>
        <w:right w:w="0" w:type="dxa"/>
      </w:tblCellMar>
    </w:tblPr>
  </w:style>
  <w:style w:type="table" w:customStyle="1" w:styleId="a6">
    <w:basedOn w:val="TabelNormal"/>
    <w:tblPr>
      <w:tblStyleRowBandSize w:val="1"/>
      <w:tblStyleColBandSize w:val="1"/>
      <w:tblCellMar>
        <w:left w:w="0" w:type="dxa"/>
        <w:right w:w="0" w:type="dxa"/>
      </w:tblCellMar>
    </w:tblPr>
  </w:style>
  <w:style w:type="table" w:customStyle="1" w:styleId="a7">
    <w:basedOn w:val="TabelNormal"/>
    <w:tblPr>
      <w:tblStyleRowBandSize w:val="1"/>
      <w:tblStyleColBandSize w:val="1"/>
      <w:tblCellMar>
        <w:left w:w="0" w:type="dxa"/>
        <w:right w:w="0" w:type="dxa"/>
      </w:tblCellMar>
    </w:tblPr>
  </w:style>
  <w:style w:type="table" w:customStyle="1" w:styleId="a8">
    <w:basedOn w:val="TabelNormal"/>
    <w:tblPr>
      <w:tblStyleRowBandSize w:val="1"/>
      <w:tblStyleColBandSize w:val="1"/>
      <w:tblCellMar>
        <w:left w:w="0" w:type="dxa"/>
        <w:right w:w="0" w:type="dxa"/>
      </w:tblCellMar>
    </w:tblPr>
  </w:style>
  <w:style w:type="table" w:customStyle="1" w:styleId="a9">
    <w:basedOn w:val="TabelNormal"/>
    <w:tblPr>
      <w:tblStyleRowBandSize w:val="1"/>
      <w:tblStyleColBandSize w:val="1"/>
      <w:tblCellMar>
        <w:left w:w="0" w:type="dxa"/>
        <w:right w:w="0" w:type="dxa"/>
      </w:tblCellMar>
    </w:tblPr>
  </w:style>
  <w:style w:type="table" w:customStyle="1" w:styleId="aa">
    <w:basedOn w:val="TabelNormal"/>
    <w:tblPr>
      <w:tblStyleRowBandSize w:val="1"/>
      <w:tblStyleColBandSize w:val="1"/>
      <w:tblCellMar>
        <w:left w:w="0" w:type="dxa"/>
        <w:right w:w="0" w:type="dxa"/>
      </w:tblCellMar>
    </w:tblPr>
  </w:style>
  <w:style w:type="table" w:customStyle="1" w:styleId="ab">
    <w:basedOn w:val="TabelNormal"/>
    <w:tblPr>
      <w:tblStyleRowBandSize w:val="1"/>
      <w:tblStyleColBandSize w:val="1"/>
      <w:tblCellMar>
        <w:left w:w="0" w:type="dxa"/>
        <w:right w:w="0" w:type="dxa"/>
      </w:tblCellMar>
    </w:tblPr>
  </w:style>
  <w:style w:type="table" w:customStyle="1" w:styleId="ac">
    <w:basedOn w:val="TabelNormal"/>
    <w:tblPr>
      <w:tblStyleRowBandSize w:val="1"/>
      <w:tblStyleColBandSize w:val="1"/>
      <w:tblCellMar>
        <w:left w:w="0" w:type="dxa"/>
        <w:right w:w="0" w:type="dxa"/>
      </w:tblCellMar>
    </w:tblPr>
  </w:style>
  <w:style w:type="table" w:customStyle="1" w:styleId="ad">
    <w:basedOn w:val="TabelNormal"/>
    <w:tblPr>
      <w:tblStyleRowBandSize w:val="1"/>
      <w:tblStyleColBandSize w:val="1"/>
      <w:tblCellMar>
        <w:left w:w="0" w:type="dxa"/>
        <w:right w:w="0" w:type="dxa"/>
      </w:tblCellMar>
    </w:tblPr>
  </w:style>
  <w:style w:type="table" w:customStyle="1" w:styleId="ae">
    <w:basedOn w:val="TabelNormal"/>
    <w:tblPr>
      <w:tblStyleRowBandSize w:val="1"/>
      <w:tblStyleColBandSize w:val="1"/>
      <w:tblCellMar>
        <w:left w:w="0" w:type="dxa"/>
        <w:right w:w="0" w:type="dxa"/>
      </w:tblCellMar>
    </w:tblPr>
  </w:style>
  <w:style w:type="table" w:customStyle="1" w:styleId="af">
    <w:basedOn w:val="TabelNormal"/>
    <w:tblPr>
      <w:tblStyleRowBandSize w:val="1"/>
      <w:tblStyleColBandSize w:val="1"/>
      <w:tblCellMar>
        <w:left w:w="0" w:type="dxa"/>
        <w:right w:w="0" w:type="dxa"/>
      </w:tblCellMar>
    </w:tblPr>
  </w:style>
  <w:style w:type="table" w:customStyle="1" w:styleId="af0">
    <w:basedOn w:val="TabelNormal"/>
    <w:tblPr>
      <w:tblStyleRowBandSize w:val="1"/>
      <w:tblStyleColBandSize w:val="1"/>
      <w:tblCellMar>
        <w:left w:w="0" w:type="dxa"/>
        <w:right w:w="0" w:type="dxa"/>
      </w:tblCellMar>
    </w:tblPr>
  </w:style>
  <w:style w:type="table" w:customStyle="1" w:styleId="af1">
    <w:basedOn w:val="TabelNormal"/>
    <w:tblPr>
      <w:tblStyleRowBandSize w:val="1"/>
      <w:tblStyleColBandSize w:val="1"/>
    </w:tblPr>
  </w:style>
  <w:style w:type="table" w:customStyle="1" w:styleId="af2">
    <w:basedOn w:val="Tabel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GpwCsdhrJouk0pJfIvVM1cN1Bw==">CgMxLjAyCGguZ2pkZ3hzOAByITFiLWEwcUstdENoa09pZEVVeTFXbGZXWU1tMG9DclZqaA==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3471</Words>
  <Characters>19787</Characters>
  <Application>Microsoft Office Word</Application>
  <DocSecurity>0</DocSecurity>
  <Lines>164</Lines>
  <Paragraphs>46</Paragraphs>
  <ScaleCrop>false</ScaleCrop>
  <Company/>
  <LinksUpToDate>false</LinksUpToDate>
  <CharactersWithSpaces>23212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Attribution-NonCommercial 4.0 International. Some rights reserved</dc:creator>
  <cp:lastModifiedBy>Microsoft Office User</cp:lastModifiedBy>
  <cp:revision>2</cp:revision>
  <dcterms:created xsi:type="dcterms:W3CDTF">2021-07-08T03:34:00Z</dcterms:created>
  <dcterms:modified xsi:type="dcterms:W3CDTF">2026-07-05T23:35:00Z</dcterms:modified>
</cp:coreProperties>
</file>