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4"/>
          <w:szCs w:val="24"/>
        </w:rPr>
        <w:t xml:space="preserve">SEGMENTASI PROBABILISTIK CALON MAHASISWA BERBASIS INDOBERT, GAUSSIAN MIXTURE MODEL, DAN LARGE LANGUAGE MODEL DI ITSNU PEKALONGAN</w:t>
      </w:r>
    </w:p>
    <w:p>
      <w:pPr>
        <w:spacing w:after="40"/>
        <w:jc w:val="center"/>
      </w:pPr>
      <w:r>
        <w:rPr>
          <w:rFonts w:ascii="Times New Roman" w:cs="Times New Roman" w:eastAsia="Times New Roman" w:hAnsi="Times New Roman"/>
          <w:b/>
          <w:bCs/>
          <w:sz w:val="22"/>
          <w:szCs w:val="22"/>
        </w:rPr>
        <w:t xml:space="preserve">Mujibul Hakim¹, Dr. Eri Zuliarso, M.Kom.²</w:t>
      </w:r>
    </w:p>
    <w:p>
      <w:pPr>
        <w:spacing w:after="20"/>
        <w:jc w:val="center"/>
      </w:pPr>
      <w:r>
        <w:rPr>
          <w:rFonts w:ascii="Times New Roman" w:cs="Times New Roman" w:eastAsia="Times New Roman" w:hAnsi="Times New Roman"/>
          <w:sz w:val="20"/>
          <w:szCs w:val="20"/>
        </w:rPr>
        <w:t xml:space="preserve">¹,²Program Studi Magister Teknologi Informasi, Fakultas Teknologi Informasi dan Industri, Universitas Stikubank (UNISBANK) Semarang</w:t>
      </w:r>
    </w:p>
    <w:p>
      <w:pPr>
        <w:spacing w:after="20"/>
        <w:jc w:val="center"/>
      </w:pPr>
      <w:r>
        <w:rPr>
          <w:rFonts w:ascii="Times New Roman" w:cs="Times New Roman" w:eastAsia="Times New Roman" w:hAnsi="Times New Roman"/>
          <w:sz w:val="20"/>
          <w:szCs w:val="20"/>
        </w:rPr>
        <w:t xml:space="preserve">Jl. Tri Lomba Juang No. 1, Semarang - Jawa Tengah - Indonesia</w:t>
      </w:r>
    </w:p>
    <w:p>
      <w:pPr>
        <w:spacing w:after="200"/>
        <w:jc w:val="center"/>
      </w:pPr>
      <w:r>
        <w:rPr>
          <w:rFonts w:ascii="Times New Roman" w:cs="Times New Roman" w:eastAsia="Times New Roman" w:hAnsi="Times New Roman"/>
          <w:i/>
          <w:iCs/>
          <w:sz w:val="20"/>
          <w:szCs w:val="20"/>
        </w:rPr>
        <w:t xml:space="preserve">E-mail: mujibulhakim@gmail.com</w:t>
      </w:r>
    </w:p>
    <w:p>
      <w:pPr>
        <w:spacing w:after="60"/>
      </w:pPr>
      <w:r>
        <w:rPr>
          <w:rFonts w:ascii="Times New Roman" w:cs="Times New Roman" w:eastAsia="Times New Roman" w:hAnsi="Times New Roman"/>
          <w:b/>
          <w:bCs/>
          <w:sz w:val="20"/>
          <w:szCs w:val="20"/>
        </w:rPr>
        <w:t xml:space="preserve">ABSTRAK</w:t>
      </w:r>
    </w:p>
    <w:p>
      <w:pPr>
        <w:spacing w:after="100" w:line="240"/>
        <w:ind w:left="200" w:right="200"/>
        <w:jc w:val="both"/>
      </w:pPr>
      <w:r>
        <w:rPr>
          <w:rFonts w:ascii="Times New Roman" w:cs="Times New Roman" w:eastAsia="Times New Roman" w:hAnsi="Times New Roman"/>
          <w:sz w:val="20"/>
          <w:szCs w:val="20"/>
        </w:rPr>
        <w:t xml:space="preserve">Perguruan tinggi swasta menghadapi tantangan dalam memahami pergeseran karakteristik calon mahasiswa akibat dinamika sosial-ekonomi, termasuk pandemi COVID-19. Institut Teknologi dan Sains Nahdlatul Ulama (ITSNU) Pekalongan mencatat pola pendaftaran tidak linear selama 2019-2024, dari 146 menjadi puncak 680 pendaftar, yang mengindikasikan perubahan struktural pada segmen pendaftar yang belum terpetakan secara analitis. Penelitian ini bertujuan menganalisis segmentasi probabilistik calon mahasiswa, mengukur stabilitas dan structural break antarperiode, membangun sistem otomasi analisis berbasis large language model (LLM), serta menguji validitasnya melalui expert judgement. Penelitian menggunakan pendekatan Research and Development dengan kerangka CRISP-DM sepuluh tahap: ekstraksi fitur semantik menggunakan IndoBERT (768 dimensi), reduksi dimensi PCA, segmentasi probabilistik Gaussian Mixture Model (GMM) per periode, analisis time series berbasis Adjusted Rand Index (ARI), serta otomasi reasoning naratif melalui Hybrid Cognitive Pipeline (Llama 3.2 lokal dan OpenRouter cloud). Dataset mencakup 2.362 pendaftar periode 2019-2024. Hasil menunjukkan seluruh lima transisi antarperiode terkonfirmasi sebagai structural break (ARI &lt; 0,30), sementara cosine similarity embedding IndoBERT tetap stabil (rata-rata 0,8031), membuktikan bahwa perubahan klaster mencerminkan pergeseran populasi yang nyata dan bukan artefak model. Sistem otomasi LLM berhasil menghasilkan persona klaster, reasoning kausal, dan strategi rekrutmen terpersonalisasi untuk proyeksi 592 pendaftar tahun 2025, dengan skor validasi pakar rata-rata 4,0 dari skala 5,0 (valid/layak digunakan). Penelitian ini berkontribusi pada educational data mining melalui integrasi IndoBERT-GMM-LLM untuk segmentasi temporal data pendidikan yang dominan tekstual-kategorikal, sekaligus menghasilkan sistem pendukung keputusan rekrutmen yang dapat direplikasi setiap tahun akademik.</w:t>
      </w:r>
    </w:p>
    <w:p>
      <w:pPr>
        <w:spacing w:after="200"/>
        <w:ind w:left="200" w:right="200"/>
      </w:pPr>
      <w:r>
        <w:rPr>
          <w:rFonts w:ascii="Times New Roman" w:cs="Times New Roman" w:eastAsia="Times New Roman" w:hAnsi="Times New Roman"/>
          <w:b/>
          <w:bCs/>
          <w:sz w:val="20"/>
          <w:szCs w:val="20"/>
        </w:rPr>
        <w:t xml:space="preserve">Kata Kunci: </w:t>
      </w:r>
      <w:r>
        <w:rPr>
          <w:rFonts w:ascii="Times New Roman" w:cs="Times New Roman" w:eastAsia="Times New Roman" w:hAnsi="Times New Roman"/>
          <w:sz w:val="20"/>
          <w:szCs w:val="20"/>
        </w:rPr>
        <w:t xml:space="preserve">segmentasi probabilistik; Gaussian Mixture Model; IndoBERT; large language model; enrollment management</w:t>
      </w:r>
    </w:p>
    <w:p>
      <w:pPr>
        <w:spacing w:after="60"/>
      </w:pPr>
      <w:r>
        <w:rPr>
          <w:rFonts w:ascii="Times New Roman" w:cs="Times New Roman" w:eastAsia="Times New Roman" w:hAnsi="Times New Roman"/>
          <w:b/>
          <w:bCs/>
          <w:i/>
          <w:iCs/>
          <w:sz w:val="20"/>
          <w:szCs w:val="20"/>
        </w:rPr>
        <w:t xml:space="preserve">ABSTRACT</w:t>
      </w:r>
    </w:p>
    <w:p>
      <w:pPr>
        <w:spacing w:after="100" w:line="240"/>
        <w:ind w:left="200" w:right="200"/>
        <w:jc w:val="both"/>
      </w:pPr>
      <w:r>
        <w:rPr>
          <w:rFonts w:ascii="Times New Roman" w:cs="Times New Roman" w:eastAsia="Times New Roman" w:hAnsi="Times New Roman"/>
          <w:i/>
          <w:iCs/>
          <w:sz w:val="20"/>
          <w:szCs w:val="20"/>
        </w:rPr>
        <w:t xml:space="preserve">Private higher education institutions face challenges in understanding shifting prospective-student characteristics driven by socio-economic dynamics, including the COVID-19 pandemic. Institut Teknologi dan Sains Nahdlatul Ulama (ITSNU) Pekalongan recorded a non-linear enrollment pattern between 2019 and 2024, rising from 146 to a peak of 680 applicants, indicating structural shifts in applicant segments that had not yet been analytically mapped. This study aims to analyze the probabilistic segmentation of prospective students, measure cross-period stability and structural breaks, build a large language model (LLM)-based automated analysis system, and test its validity through expert judgement. The study applies a Research and Development approach within a ten-stage CRISP-DM framework: semantic feature extraction using IndoBERT (768 dimensions), PCA dimensionality reduction, per-period probabilistic segmentation with a Gaussian Mixture Model (GMM), Adjusted Rand Index (ARI)-based time-series analysis, and automated narrative reasoning through a Hybrid Cognitive Pipeline (local Llama 3.2 and cloud-based OpenRouter). The dataset comprises 2,362 applicants from 2019-2024. Results show that all five inter-period transitions were confirmed as structural breaks (ARI &lt; 0.30), while IndoBERT embedding cosine similarity remained stable (mean 0.8031), proving that the detected cluster changes reflect genuine population shifts rather than model artifacts. The LLM automation system successfully generated cluster personas, causal reasoning, and personalized recruitment strategies for a projected 592 applicants in 2025, with an average expert validation score of 4.0 out of 5.0 (valid/usable). This study contributes to educational data mining through an IndoBERT-GMM-LLM integration for temporal segmentation of predominantly textual-categorical educational data, while producing a recruitment decision-support system that can be replicated every academic year.</w:t>
      </w:r>
    </w:p>
    <w:p>
      <w:pPr>
        <w:ind w:left="200" w:right="200"/>
      </w:pPr>
      <w:r>
        <w:rPr>
          <w:rFonts w:ascii="Times New Roman" w:cs="Times New Roman" w:eastAsia="Times New Roman" w:hAnsi="Times New Roman"/>
          <w:b/>
          <w:bCs/>
          <w:i/>
          <w:iCs/>
          <w:sz w:val="20"/>
          <w:szCs w:val="20"/>
        </w:rPr>
        <w:t xml:space="preserve">Keyword: </w:t>
      </w:r>
      <w:r>
        <w:rPr>
          <w:rFonts w:ascii="Times New Roman" w:cs="Times New Roman" w:eastAsia="Times New Roman" w:hAnsi="Times New Roman"/>
          <w:i/>
          <w:iCs/>
          <w:sz w:val="20"/>
          <w:szCs w:val="20"/>
        </w:rPr>
        <w:t xml:space="preserve">probabilistic segmentation; Gaussian Mixture Model; IndoBERT; large language model; enrollment management</w:t>
      </w:r>
    </w:p>
    <w:p>
      <w:pPr>
        <w:sectPr>
          <w:type w:val="continuous"/>
          <w:pgSz w:w="11906" w:h="16838" w:orient="portrait"/>
          <w:pgMar w:top="1560" w:right="1418" w:bottom="1247" w:left="1418" w:header="708" w:footer="708" w:gutter="0"/>
          <w:pgNumType/>
          <w:docGrid w:linePitch="360"/>
        </w:sectPr>
      </w:pPr>
    </w:p>
    <w:p>
      <w:pPr>
        <w:spacing w:after="120" w:before="200" w:line="276"/>
        <w:jc w:val="left"/>
      </w:pPr>
      <w:r>
        <w:rPr>
          <w:rFonts w:ascii="Times New Roman" w:cs="Times New Roman" w:eastAsia="Times New Roman" w:hAnsi="Times New Roman"/>
          <w:b/>
          <w:bCs/>
          <w:sz w:val="24"/>
          <w:szCs w:val="24"/>
        </w:rPr>
        <w:t xml:space="preserve">PENDAHULUAN</w:t>
      </w:r>
    </w:p>
    <w:p>
      <w:pPr>
        <w:spacing w:after="120" w:line="276"/>
        <w:jc w:val="both"/>
      </w:pPr>
      <w:r>
        <w:rPr>
          <w:rFonts w:ascii="Times New Roman" w:cs="Times New Roman" w:eastAsia="Times New Roman" w:hAnsi="Times New Roman"/>
          <w:sz w:val="24"/>
          <w:szCs w:val="24"/>
        </w:rPr>
        <w:t xml:space="preserve">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mencatat tren pendaftar yang tidak linear selama enam periode 2019-2024: dari 146 pendaftar pada 2019 (pra-pandemi), meningkat menjadi 274 (2020) dan 301 (2021) pada masa pandemi, kemudian melonjak hingga puncak 680 pendaftar pada 2023, dengan total keseluruhan 2.362 pendaftar. Pola ini mengindikasikan perubahan mendasar pada komposisi segmen calon mahasiswa yang belum dipahami secara analitis.</w:t>
      </w:r>
    </w:p>
    <w:p>
      <w:pPr>
        <w:spacing w:after="120" w:line="276"/>
        <w:jc w:val="both"/>
      </w:pPr>
      <w:r>
        <w:rPr>
          <w:rFonts w:ascii="Times New Roman" w:cs="Times New Roman" w:eastAsia="Times New Roman" w:hAnsi="Times New Roman"/>
          <w:sz w:val="24"/>
          <w:szCs w:val="24"/>
        </w:rPr>
        <w:t xml:space="preserve">Pandemi COVID-19 secara fundamental mengubah kehidupan mahasiswa perguruan tinggi di seluruh dunia [1], mengekspos kesenjangan kesiapan digital institusi </w:t>
      </w:r>
      <w:r>
        <w:rPr>
          <w:rFonts w:ascii="Times New Roman" w:cs="Times New Roman" w:eastAsia="Times New Roman" w:hAnsi="Times New Roman"/>
          <w:sz w:val="24"/>
          <w:szCs w:val="24"/>
        </w:rPr>
        <w:t xml:space="preserve">[2], dan membentuk ulang cara penyampaian pendidikan secara struktural dan permanen </w:t>
      </w:r>
      <w:r>
        <w:rPr>
          <w:rFonts w:ascii="Times New Roman" w:cs="Times New Roman" w:eastAsia="Times New Roman" w:hAnsi="Times New Roman"/>
          <w:sz w:val="24"/>
          <w:szCs w:val="24"/>
        </w:rPr>
        <w:t xml:space="preserve">[3]. Kondisi tersebut menggarisbawahi urgensi sistem analisis rekrutmen yang bersifat prediktif dan adaptif terhadap perubahan dari waktu ke waktu.</w:t>
      </w:r>
    </w:p>
    <w:p>
      <w:pPr>
        <w:spacing w:after="120" w:line="276"/>
        <w:jc w:val="both"/>
      </w:pPr>
      <w:r>
        <w:rPr>
          <w:rFonts w:ascii="Times New Roman" w:cs="Times New Roman" w:eastAsia="Times New Roman" w:hAnsi="Times New Roman"/>
          <w:sz w:val="24"/>
          <w:szCs w:val="24"/>
        </w:rPr>
        <w:t xml:space="preserve">Tantangan metodologis utama pada kasus ini adalah data Penerimaan Mahasiswa Baru (PMB) yang bersifat dominan kategorikal dan tekstual (nama, sekolah, alamat, program studi, jalur masuk). Gaussian Mixture Model (GMM) sebagai model-based clustering terbukti mampu mengungkap heterogenitas data pendidikan lebih baik dibandingkan metode berbasis jarak konvensional </w:t>
      </w:r>
      <w:r>
        <w:rPr>
          <w:rFonts w:ascii="Times New Roman" w:cs="Times New Roman" w:eastAsia="Times New Roman" w:hAnsi="Times New Roman"/>
          <w:sz w:val="24"/>
          <w:szCs w:val="24"/>
        </w:rPr>
        <w:t xml:space="preserve">[4], sementara IndoBERT mampu mengekstraksi makna semantik dari teks Bahasa Indonesia </w:t>
      </w:r>
      <w:r>
        <w:rPr>
          <w:rFonts w:ascii="Times New Roman" w:cs="Times New Roman" w:eastAsia="Times New Roman" w:hAnsi="Times New Roman"/>
          <w:sz w:val="24"/>
          <w:szCs w:val="24"/>
        </w:rPr>
        <w:t xml:space="preserve">[5], dan representasi BERT terbukti unggul dibandingkan TF-IDF pada mayoritas metrik klasterisasi teks </w:t>
      </w:r>
      <w:r>
        <w:rPr>
          <w:rFonts w:ascii="Times New Roman" w:cs="Times New Roman" w:eastAsia="Times New Roman" w:hAnsi="Times New Roman"/>
          <w:sz w:val="24"/>
          <w:szCs w:val="24"/>
        </w:rPr>
        <w:t xml:space="preserve">[6]. Penelitian terdahulu pada domain pendaftaran dan segmentasi peserta didik di Indonesia masih didominasi pendekatan clustering konvensional berbasis fitur numerik atau kategorikal sederhana </w:t>
      </w: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[8]. Beberapa studi pada jurnal RABIT juga telah menerapkan K-Means untuk pengelompokan pendaftaran mahasiswa baru </w:t>
      </w:r>
      <w:r>
        <w:rPr>
          <w:rFonts w:ascii="Times New Roman" w:cs="Times New Roman" w:eastAsia="Times New Roman" w:hAnsi="Times New Roman"/>
          <w:sz w:val="24"/>
          <w:szCs w:val="24"/>
        </w:rPr>
        <w:t xml:space="preserve">[9] dan optimasi jumlah klaster berbasis Particle Swarm Optimization untuk pengelompokan UKT mahasiswa </w:t>
      </w:r>
      <w:r>
        <w:rPr>
          <w:rFonts w:ascii="Times New Roman" w:cs="Times New Roman" w:eastAsia="Times New Roman" w:hAnsi="Times New Roman"/>
          <w:sz w:val="24"/>
          <w:szCs w:val="24"/>
        </w:rPr>
        <w:t xml:space="preserve">[10], serta algoritma machine learning untuk pengelompokan siswa berdasarkan aspek akademik dan non-akademik </w:t>
      </w:r>
      <w:r>
        <w:rPr>
          <w:rFonts w:ascii="Times New Roman" w:cs="Times New Roman" w:eastAsia="Times New Roman" w:hAnsi="Times New Roman"/>
          <w:sz w:val="24"/>
          <w:szCs w:val="24"/>
        </w:rPr>
        <w:t xml:space="preserve">[11]. Namun, studi-studi tersebut umumnya bersifat cross-sectional pada satu titik waktu, menggunakan hard clustering (K-Means/K-Medoids) yang memaksa setiap individu ke dalam satu kategori absolut, serta belum mengintegrasikan ekstraksi fitur semantik berbasis bahasa (seperti IndoBERT) maupun otomasi reasoning berbasis large language model (LLM) untuk menerjemahkan hasil klaster menjadi strategi rekrutmen yang actionable.</w:t>
      </w:r>
    </w:p>
    <w:p>
      <w:pPr>
        <w:spacing w:after="120" w:line="276"/>
        <w:jc w:val="both"/>
      </w:pPr>
      <w:r>
        <w:rPr>
          <w:rFonts w:ascii="Times New Roman" w:cs="Times New Roman" w:eastAsia="Times New Roman" w:hAnsi="Times New Roman"/>
          <w:sz w:val="24"/>
          <w:szCs w:val="24"/>
        </w:rPr>
        <w:t xml:space="preserve">Penelitian ini mengintegrasikan IndoBERT, GMM time series, dan Hybrid Cognitive Pipeline (Llama 3.2 lokal untuk persona dan sanitasi data, serta model cloud untuk reasoning kausal dan ringkasan naratif) </w:t>
      </w:r>
      <w:r>
        <w:rPr>
          <w:rFonts w:ascii="Times New Roman" w:cs="Times New Roman" w:eastAsia="Times New Roman" w:hAnsi="Times New Roman"/>
          <w:sz w:val="24"/>
          <w:szCs w:val="24"/>
        </w:rPr>
        <w:t xml:space="preserve">[12] dalam satu hybrid intelligence pipeline yang belum pernah dilaporkan pada literatur educational data mining di Indonesia. Penelitian ini menjawab empat rumusan masalah: (1) karakteristik segmentasi probabilistik calon mahasiswa berbasis IndoBERT-GMM periode 2019-2024; (2) evolusi dan stabilitas klaster antarperiode dalam konteks structural break akibat pandemi; (3) optimalisasi sistem otomasi analisis LLM untuk enrollment management; dan (4) validitas hasil otomasi tersebut berdasarkan expert judgement. Tiga hipotesis diajukan: H1 - ARI &lt; 0,30 pada transisi 2019→2020 sebagai indikator structural break; H2 - cosine similarity rata-rata antarentitas identik &gt; 0,70 pada seluruh transisi, membuktikan stabilitas representasi IndoBERT; dan H3 - GMM menghasilkan posterior probability yang mendukung otomasi LLM dan profil segmen yang lebih realistis dibandingkan K-Means.</w:t>
      </w:r>
    </w:p>
    <w:p>
      <w:pPr>
        <w:spacing w:after="120" w:before="200" w:line="276"/>
        <w:jc w:val="left"/>
      </w:pPr>
      <w:r>
        <w:rPr>
          <w:rFonts w:ascii="Times New Roman" w:cs="Times New Roman" w:eastAsia="Times New Roman" w:hAnsi="Times New Roman"/>
          <w:b/>
          <w:bCs/>
          <w:sz w:val="24"/>
          <w:szCs w:val="24"/>
        </w:rPr>
        <w:t xml:space="preserve">METODE</w:t>
      </w:r>
    </w:p>
    <w:p>
      <w:pPr>
        <w:spacing w:after="120" w:line="276"/>
        <w:jc w:val="both"/>
      </w:pPr>
      <w:r>
        <w:rPr>
          <w:rFonts w:ascii="Times New Roman" w:cs="Times New Roman" w:eastAsia="Times New Roman" w:hAnsi="Times New Roman"/>
          <w:sz w:val="24"/>
          <w:szCs w:val="24"/>
        </w:rPr>
        <w:t xml:space="preserve">Penelitian ini menggunakan pendekatan Research and Development (R&amp;D) dengan metode kuantitatif berbasis data mining time series mengikuti kerangka CRISP-DM yang diadaptasi untuk konteks multi-periode </w:t>
      </w:r>
      <w:r>
        <w:rPr>
          <w:rFonts w:ascii="Times New Roman" w:cs="Times New Roman" w:eastAsia="Times New Roman" w:hAnsi="Times New Roman"/>
          <w:sz w:val="24"/>
          <w:szCs w:val="24"/>
        </w:rPr>
        <w:t xml:space="preserve">[13]. Pendekatan R&amp;D dipilih karena penelitian menghasilkan produk sistem berupa pipeline analitik otomatis yang dapat direplikasi dan divalidasi efektivitasnya, bukan sekadar temuan deskriptif. Produk yang dihasilkan mengintegrasikan sepuluh tahapan: (1) Business Understanding, (2) Data Collection, (3) Data Understanding, (4) Data Preparation batch enam periode, (5) Dimensionality Reduction (PCA), (6) Modeling (GMM per periode), (7) Time Series Analysis, (8) Evaluation Multi-Level, (9) Otomasi Analisis LLM, dan (10) Deployment strategi rekrutmen prediktif.</w:t>
      </w:r>
    </w:p>
    <w:p>
      <w:pPr>
        <w:spacing w:after="80" w:before="120" w:line="276"/>
        <w:jc w:val="left"/>
      </w:pPr>
      <w:r>
        <w:rPr>
          <w:rFonts w:ascii="Times New Roman" w:cs="Times New Roman" w:eastAsia="Times New Roman" w:hAnsi="Times New Roman"/>
          <w:b/>
          <w:bCs/>
          <w:i/>
          <w:iCs/>
          <w:sz w:val="24"/>
          <w:szCs w:val="24"/>
        </w:rPr>
        <w:t xml:space="preserve">Kerangka Kerja Penelitian</w:t>
      </w:r>
    </w:p>
    <w:p>
      <w:pPr>
        <w:spacing w:after="120" w:line="276"/>
        <w:jc w:val="both"/>
      </w:pPr>
      <w:r>
        <w:rPr>
          <w:rFonts w:ascii="Times New Roman" w:cs="Times New Roman" w:eastAsia="Times New Roman" w:hAnsi="Times New Roman"/>
          <w:sz w:val="24"/>
          <w:szCs w:val="24"/>
        </w:rPr>
        <w:t xml:space="preserve">Untuk mempermudah pengerjaan penelitian ini, disusun kerangka kerja penelitian sebagaimana ditampilkan pada Gambar 1 berikut ini.</w:t>
      </w:r>
    </w:p>
    <w:p>
      <w:pPr>
        <w:spacing w:after="40" w:before="100"/>
        <w:jc w:val="center"/>
      </w:pPr>
      <w:r>
        <w:drawing>
          <wp:inline distT="0" distB="0" distL="0" distR="0">
            <wp:extent cx="2476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137160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Gambar 1. Alur Penelitian Hybrid Pipeline IndoBERT-GMM-LLM Berbasis CRISP-DM</w:t>
      </w:r>
    </w:p>
    <w:p>
      <w:pPr>
        <w:spacing w:after="120" w:line="276"/>
        <w:jc w:val="both"/>
      </w:pPr>
      <w:r>
        <w:rPr>
          <w:rFonts w:ascii="Times New Roman" w:cs="Times New Roman" w:eastAsia="Times New Roman" w:hAnsi="Times New Roman"/>
          <w:sz w:val="24"/>
          <w:szCs w:val="24"/>
        </w:rPr>
        <w:t xml:space="preserve">Ekstraksi fitur semantik dilakukan menggunakan IndoBERT dengan frozen weights, menghasilkan representasi vektor 768 dimensi </w:t>
      </w:r>
      <w:r>
        <w:rPr>
          <w:rFonts w:ascii="Times New Roman" w:cs="Times New Roman" w:eastAsia="Times New Roman" w:hAnsi="Times New Roman"/>
          <w:sz w:val="24"/>
          <w:szCs w:val="24"/>
        </w:rPr>
        <w:t xml:space="preserve">[14]. Reduksi dimensi menggunakan Principal Component Analysis (PCA) yang di-fit pada data 2019 dan ditransformasikan ke seluruh periode agar berada pada ruang fitur yang sama </w:t>
      </w: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[16]. Segmentasi probabilistik menggunakan GMM diimplementasikan dengan Scikit-learn ( covariance_type full, init_params k-means, n_init 10, random_state 42) </w:t>
      </w:r>
      <w:r>
        <w:rPr>
          <w:rFonts w:ascii="Times New Roman" w:cs="Times New Roman" w:eastAsia="Times New Roman" w:hAnsi="Times New Roman"/>
          <w:sz w:val="24"/>
          <w:szCs w:val="24"/>
        </w:rPr>
        <w:t xml:space="preserve">[17]. Stabilitas dan structural break antarperiode diukur menggunakan Adjusted Rand Index (ARI), Jaccard, dan centroid drift </w:t>
      </w:r>
      <w:r>
        <w:rPr>
          <w:rFonts w:ascii="Times New Roman" w:cs="Times New Roman" w:eastAsia="Times New Roman" w:hAnsi="Times New Roman"/>
          <w:sz w:val="24"/>
          <w:szCs w:val="24"/>
        </w:rPr>
        <w:t xml:space="preserve">[18]. Otomasi analisis LLM mencakup empat fungsi: ekstraksi fitur semantik, generasi persona, reasoning tren kausal, dan ringkasan naratif laporan, menggunakan Hybrid Cognitive Pipeline </w:t>
      </w:r>
      <w:r>
        <w:rPr>
          <w:rFonts w:ascii="Times New Roman" w:cs="Times New Roman" w:eastAsia="Times New Roman" w:hAnsi="Times New Roman"/>
          <w:sz w:val="24"/>
          <w:szCs w:val="24"/>
        </w:rPr>
        <w:t xml:space="preserve">[19] dengan pendekatan reasoning bertahap </w:t>
      </w:r>
      <w:r>
        <w:rPr>
          <w:rFonts w:ascii="Times New Roman" w:cs="Times New Roman" w:eastAsia="Times New Roman" w:hAnsi="Times New Roman"/>
          <w:sz w:val="24"/>
          <w:szCs w:val="24"/>
        </w:rPr>
        <w:t xml:space="preserve">[20]: Llama 3.2 3B lokal via Ollama menangani persona dan sanitasi data (privacy gate), sedangkan model cloud menangani reasoning kausal dan ringkasan naratif dari metadata teragregasi. Hasil otomasi LLM selanjutnya divalidasi melalui kerangka Expert-in-the-Loop oleh dua pakar praktisi PMB ITSNU Pekalongan untuk memastikan akurasi, aplikabilitas, dan relevansi strategi terhadap kebijakan institusional.</w:t>
      </w:r>
    </w:p>
    <w:p>
      <w:pPr>
        <w:spacing w:after="120" w:before="200" w:line="276"/>
        <w:jc w:val="left"/>
      </w:pPr>
      <w:r>
        <w:rPr>
          <w:rFonts w:ascii="Times New Roman" w:cs="Times New Roman" w:eastAsia="Times New Roman" w:hAnsi="Times New Roman"/>
          <w:b/>
          <w:bCs/>
          <w:sz w:val="24"/>
          <w:szCs w:val="24"/>
        </w:rPr>
        <w:t xml:space="preserve">HASIL</w:t>
      </w:r>
    </w:p>
    <w:p>
      <w:pPr>
        <w:spacing w:after="80" w:before="120" w:line="276"/>
        <w:jc w:val="left"/>
      </w:pPr>
      <w:r>
        <w:rPr>
          <w:rFonts w:ascii="Times New Roman" w:cs="Times New Roman" w:eastAsia="Times New Roman" w:hAnsi="Times New Roman"/>
          <w:b/>
          <w:bCs/>
          <w:i/>
          <w:iCs/>
          <w:sz w:val="24"/>
          <w:szCs w:val="24"/>
        </w:rPr>
        <w:t xml:space="preserve">Deskripsi Data dan Segmentasi Probabilistik</w:t>
      </w:r>
    </w:p>
    <w:p>
      <w:pPr>
        <w:spacing w:after="120" w:line="276"/>
        <w:jc w:val="both"/>
      </w:pPr>
      <w:r>
        <w:rPr>
          <w:rFonts w:ascii="Times New Roman" w:cs="Times New Roman" w:eastAsia="Times New Roman" w:hAnsi="Times New Roman"/>
          <w:sz w:val="24"/>
          <w:szCs w:val="24"/>
        </w:rPr>
        <w:t xml:space="preserve">Dataset penelitian mencakup 2.362 rekaman data tervalidasi calon mahasiswa ITSNU Pekalongan pada enam periode akademik 2019-2024. Tabel 1 menyajikan distribusi jumlah pendaftar per tahun.</w:t>
      </w:r>
    </w:p>
    <w:p>
      <w:pPr>
        <w:spacing w:after="60" w:before="120"/>
        <w:jc w:val="left"/>
      </w:pPr>
      <w:r>
        <w:rPr>
          <w:rFonts w:ascii="Times New Roman" w:cs="Times New Roman" w:eastAsia="Times New Roman" w:hAnsi="Times New Roman"/>
          <w:b/>
          <w:bCs/>
          <w:sz w:val="20"/>
          <w:szCs w:val="20"/>
        </w:rPr>
        <w:t xml:space="preserve">Tabel 1. Distribusi Jumlah Pendaftar per Tahun dan Fase Temporal (2019-2024)</w:t>
      </w:r>
    </w:p>
    <w:tbl>
      <w:tblPr>
        <w:tblW w:type="dxa" w:w="6493"/>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tcBorders>
              <w:top w:val="single" w:color="000000" w:sz="4"/>
              <w:left w:val="none" w:color="FFFFFF" w:sz="0"/>
              <w:bottom w:val="none" w:color="FFFFFF" w:sz="0"/>
              <w:right w:val="none" w:color="FFFFFF" w:sz="0"/>
            </w:tcBorders>
          </w:tcPr>
          <w:p>
            <w:pPr>
              <w:jc w:val="center"/>
            </w:pPr>
            <w:r>
              <w:rPr>
                <w:rFonts w:ascii="Times New Roman" w:cs="Times New Roman" w:eastAsia="Times New Roman" w:hAnsi="Times New Roman"/>
                <w:b/>
                <w:bCs/>
                <w:sz w:val="20"/>
                <w:szCs w:val="20"/>
              </w:rPr>
              <w:t xml:space="preserve">Tahun</w:t>
            </w:r>
          </w:p>
        </w:tc>
        <w:tc>
          <w:tcPr>
            <w:tcW w:type="dxa" w:w="1900"/>
            <w:tcBorders>
              <w:top w:val="single" w:color="000000" w:sz="4"/>
              <w:left w:val="none" w:color="FFFFFF" w:sz="0"/>
              <w:bottom w:val="none" w:color="FFFFFF" w:sz="0"/>
              <w:right w:val="none" w:color="FFFFFF" w:sz="0"/>
            </w:tcBorders>
          </w:tcPr>
          <w:p>
            <w:pPr>
              <w:jc w:val="center"/>
            </w:pPr>
            <w:r>
              <w:rPr>
                <w:rFonts w:ascii="Times New Roman" w:cs="Times New Roman" w:eastAsia="Times New Roman" w:hAnsi="Times New Roman"/>
                <w:b/>
                <w:bCs/>
                <w:sz w:val="20"/>
                <w:szCs w:val="20"/>
              </w:rPr>
              <w:t xml:space="preserve">Fase</w:t>
            </w:r>
          </w:p>
        </w:tc>
        <w:tc>
          <w:tcPr>
            <w:tcW w:type="dxa" w:w="1300"/>
            <w:tcBorders>
              <w:top w:val="single" w:color="000000" w:sz="4"/>
              <w:left w:val="none" w:color="FFFFFF" w:sz="0"/>
              <w:bottom w:val="none" w:color="FFFFFF" w:sz="0"/>
              <w:right w:val="none" w:color="FFFFFF" w:sz="0"/>
            </w:tcBorders>
          </w:tcPr>
          <w:p>
            <w:pPr>
              <w:jc w:val="center"/>
            </w:pPr>
            <w:r>
              <w:rPr>
                <w:rFonts w:ascii="Times New Roman" w:cs="Times New Roman" w:eastAsia="Times New Roman" w:hAnsi="Times New Roman"/>
                <w:b/>
                <w:bCs/>
                <w:sz w:val="20"/>
                <w:szCs w:val="20"/>
              </w:rPr>
              <w:t xml:space="preserve">Jumlah</w:t>
            </w:r>
          </w:p>
        </w:tc>
        <w:tc>
          <w:tcPr>
            <w:tcW w:type="dxa" w:w="1793"/>
            <w:tcBorders>
              <w:top w:val="single" w:color="000000" w:sz="4"/>
              <w:left w:val="none" w:color="FFFFFF" w:sz="0"/>
              <w:bottom w:val="none" w:color="FFFFFF" w:sz="0"/>
              <w:right w:val="none" w:color="FFFFFF" w:sz="0"/>
            </w:tcBorders>
          </w:tcPr>
          <w:p>
            <w:pPr>
              <w:jc w:val="center"/>
            </w:pPr>
            <w:r>
              <w:rPr>
                <w:rFonts w:ascii="Times New Roman" w:cs="Times New Roman" w:eastAsia="Times New Roman" w:hAnsi="Times New Roman"/>
                <w:b/>
                <w:bCs/>
                <w:sz w:val="20"/>
                <w:szCs w:val="20"/>
              </w:rPr>
              <w:t xml:space="preserve">Perubahan (%)</w:t>
            </w:r>
          </w:p>
        </w:tc>
      </w:tr>
      <w:tr>
        <w:tc>
          <w:tcPr>
            <w:tcW w:type="dxa" w:w="1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2019</w:t>
            </w:r>
          </w:p>
        </w:tc>
        <w:tc>
          <w:tcPr>
            <w:tcW w:type="dxa" w:w="19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Pre-COVID</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146</w:t>
            </w:r>
          </w:p>
        </w:tc>
        <w:tc>
          <w:tcPr>
            <w:tcW w:type="dxa" w:w="1793"/>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baseline</w:t>
            </w:r>
          </w:p>
        </w:tc>
      </w:tr>
      <w:tr>
        <w:tc>
          <w:tcPr>
            <w:tcW w:type="dxa" w:w="1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2020</w:t>
            </w:r>
          </w:p>
        </w:tc>
        <w:tc>
          <w:tcPr>
            <w:tcW w:type="dxa" w:w="19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COVID Crisis</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274</w:t>
            </w:r>
          </w:p>
        </w:tc>
        <w:tc>
          <w:tcPr>
            <w:tcW w:type="dxa" w:w="1793"/>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+87,7%</w:t>
            </w:r>
          </w:p>
        </w:tc>
      </w:tr>
      <w:tr>
        <w:tc>
          <w:tcPr>
            <w:tcW w:type="dxa" w:w="1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2021</w:t>
            </w:r>
          </w:p>
        </w:tc>
        <w:tc>
          <w:tcPr>
            <w:tcW w:type="dxa" w:w="19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COVID Crisis</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301</w:t>
            </w:r>
          </w:p>
        </w:tc>
        <w:tc>
          <w:tcPr>
            <w:tcW w:type="dxa" w:w="1793"/>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+9,9%</w:t>
            </w:r>
          </w:p>
        </w:tc>
      </w:tr>
      <w:tr>
        <w:tc>
          <w:tcPr>
            <w:tcW w:type="dxa" w:w="1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2022</w:t>
            </w:r>
          </w:p>
        </w:tc>
        <w:tc>
          <w:tcPr>
            <w:tcW w:type="dxa" w:w="19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Recovery</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458</w:t>
            </w:r>
          </w:p>
        </w:tc>
        <w:tc>
          <w:tcPr>
            <w:tcW w:type="dxa" w:w="1793"/>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+52,2%</w:t>
            </w:r>
          </w:p>
        </w:tc>
      </w:tr>
      <w:tr>
        <w:tc>
          <w:tcPr>
            <w:tcW w:type="dxa" w:w="1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2023</w:t>
            </w:r>
          </w:p>
        </w:tc>
        <w:tc>
          <w:tcPr>
            <w:tcW w:type="dxa" w:w="19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Recovery</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680</w:t>
            </w:r>
          </w:p>
        </w:tc>
        <w:tc>
          <w:tcPr>
            <w:tcW w:type="dxa" w:w="1793"/>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+48,5%</w:t>
            </w:r>
          </w:p>
        </w:tc>
      </w:tr>
      <w:tr>
        <w:tc>
          <w:tcPr>
            <w:tcW w:type="dxa" w:w="15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2024</w:t>
            </w:r>
          </w:p>
        </w:tc>
        <w:tc>
          <w:tcPr>
            <w:tcW w:type="dxa" w:w="19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Recovery</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503</w:t>
            </w:r>
          </w:p>
        </w:tc>
        <w:tc>
          <w:tcPr>
            <w:tcW w:type="dxa" w:w="1793"/>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-26,0%</w:t>
            </w:r>
          </w:p>
        </w:tc>
      </w:tr>
    </w:tbl>
    <w:p>
      <w:pPr>
        <w:spacing w:after="40" w:before="120"/>
        <w:jc w:val="center"/>
      </w:pPr>
      <w:r>
        <w:drawing>
          <wp:inline distT="0" distB="0" distL="0" distR="0">
            <wp:extent cx="24765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495425"/>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Gambar 2. Distribusi Jumlah Pendaftar PMB ITSNU Pekalongan per Tahun (2019-2024)</w:t>
      </w:r>
    </w:p>
    <w:p>
      <w:pPr>
        <w:spacing w:after="120" w:line="276"/>
        <w:jc w:val="both"/>
      </w:pPr>
      <w:r>
        <w:rPr>
          <w:rFonts w:ascii="Times New Roman" w:cs="Times New Roman" w:eastAsia="Times New Roman" w:hAnsi="Times New Roman"/>
          <w:sz w:val="24"/>
          <w:szCs w:val="24"/>
        </w:rPr>
        <w:t xml:space="preserve">Pola distribusi tidak linear ini terkonfirmasi lebih lanjut melalui validasi embedding IndoBERT: cosine similarity rata-rata antarperiode sebesar 0,8031 (kisaran 0,7901-0,8128), seluruhnya berada di atas ambang 0,70, sehingga Hipotesis 2 (H2) terkonfirmasi - perubahan klaster yang terdeteksi mencerminkan perubahan substantif populasi pendaftar, bukan artefak teknis model. Analisis K-scan menghasilkan jumlah komponen optimal (K) yang bervariasi antara dua hingga enam per periode, dengan konsolidasi segmen yang semakin homogen dari enam klaster pada 2019 menjadi dua klaster pada 2023.</w:t>
      </w:r>
    </w:p>
    <w:p>
      <w:pPr>
        <w:spacing w:after="120" w:line="276"/>
        <w:jc w:val="both"/>
      </w:pPr>
      <w:r>
        <w:rPr>
          <w:rFonts w:ascii="Times New Roman" w:cs="Times New Roman" w:eastAsia="Times New Roman" w:hAnsi="Times New Roman"/>
          <w:sz w:val="24"/>
          <w:szCs w:val="24"/>
        </w:rPr>
        <w:t xml:space="preserve">Analisis stabilitas lintas waktu menggunakan ARI membuktikan bahwa seluruh lima transisi antarperiode (2019→2024) terkonfirmasi sebagai structural break dengan ARI &lt; 0,30, bahkan dua transisi menunjukkan disrupsi ekstrem dengan ARI negatif (transisi 2019→2020 dan 2022→2023). Temuan ini mengonfirmasi Hipotesis 1 (H1) melampaui ekspektasi awal, konsisten dengan dampak struktural pandemi yang bersifat lintas wilayah </w:t>
      </w:r>
      <w:r>
        <w:rPr>
          <w:rFonts w:ascii="Times New Roman" w:cs="Times New Roman" w:eastAsia="Times New Roman" w:hAnsi="Times New Roman"/>
          <w:sz w:val="24"/>
          <w:szCs w:val="24"/>
        </w:rPr>
        <w:t xml:space="preserve">[1]. Meskipun secara numerik K-Means menghasilkan Silhouette Score yang sedikit lebih tinggi, keunggulan GMM terletak pada posterior probability sebagai basis reasoning kausal LLM dan kemampuannya mendeteksi kemunculan segmen baru (Diploma Tiga Akuntansi pada 2024) yang tidak terdeteksi oleh pendekatan hard clustering, sehingga Hipotesis 3 (H3) terkonfirmasi secara kualitatif </w:t>
      </w:r>
      <w:r>
        <w:rPr>
          <w:rFonts w:ascii="Times New Roman" w:cs="Times New Roman" w:eastAsia="Times New Roman" w:hAnsi="Times New Roman"/>
          <w:sz w:val="24"/>
          <w:szCs w:val="24"/>
        </w:rPr>
        <w:t xml:space="preserve">[4].</w:t>
      </w:r>
    </w:p>
    <w:p>
      <w:pPr>
        <w:spacing w:after="80" w:before="120" w:line="276"/>
        <w:jc w:val="left"/>
      </w:pPr>
      <w:r>
        <w:rPr>
          <w:rFonts w:ascii="Times New Roman" w:cs="Times New Roman" w:eastAsia="Times New Roman" w:hAnsi="Times New Roman"/>
          <w:b/>
          <w:bCs/>
          <w:i/>
          <w:iCs/>
          <w:sz w:val="24"/>
          <w:szCs w:val="24"/>
        </w:rPr>
        <w:t xml:space="preserve">Otomasi LLM dan Strategi Rekrutmen</w:t>
      </w:r>
    </w:p>
    <w:p>
      <w:pPr>
        <w:spacing w:after="120" w:line="276"/>
        <w:jc w:val="both"/>
      </w:pPr>
      <w:r>
        <w:rPr>
          <w:rFonts w:ascii="Times New Roman" w:cs="Times New Roman" w:eastAsia="Times New Roman" w:hAnsi="Times New Roman"/>
          <w:sz w:val="24"/>
          <w:szCs w:val="24"/>
        </w:rPr>
        <w:t xml:space="preserve">Sistem otomasi LLM berhasil mengonversi output numerik GMM menjadi persona klaster, reasoning tren kausal, dan ringkasan naratif siap-manajemen secara otomatis, serta menghasilkan proyeksi 592 pendaftar untuk tahun 2025 berbasis tren fase Recovery. Strategi rekrutmen dipersonalisasi per klaster: klaster dengan pertumbuhan dominan program Informatika/Teknologi Informasi diarahkan pada kampanye digital (Instagram/TikTok Ads) dengan fokus wilayah Kabupaten Pekalongan, sedangkan klaster dengan tren menurun di Kota Pekalongan diarahkan pada pendekatan luring (brosur, pameran, radio komunitas) mengikuti kerangka segmentation-targeting-positioning </w:t>
      </w:r>
      <w:r>
        <w:rPr>
          <w:rFonts w:ascii="Times New Roman" w:cs="Times New Roman" w:eastAsia="Times New Roman" w:hAnsi="Times New Roman"/>
          <w:sz w:val="24"/>
          <w:szCs w:val="24"/>
        </w:rPr>
        <w:t xml:space="preserve">[21].</w:t>
      </w:r>
    </w:p>
    <w:p>
      <w:pPr>
        <w:spacing w:after="60" w:before="120"/>
        <w:jc w:val="left"/>
      </w:pPr>
      <w:r>
        <w:rPr>
          <w:rFonts w:ascii="Times New Roman" w:cs="Times New Roman" w:eastAsia="Times New Roman" w:hAnsi="Times New Roman"/>
          <w:b/>
          <w:bCs/>
          <w:sz w:val="20"/>
          <w:szCs w:val="20"/>
        </w:rPr>
        <w:t xml:space="preserve">Tabel 2. Rekapitulasi Skor Validasi Pakar (Expert-in-the-Loop)</w:t>
      </w:r>
    </w:p>
    <w:tbl>
      <w:tblPr>
        <w:tblW w:type="dxa" w:w="7493"/>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193"/>
            <w:tcBorders>
              <w:top w:val="single" w:color="000000" w:sz="4"/>
              <w:left w:val="none" w:color="FFFFFF" w:sz="0"/>
              <w:bottom w:val="none" w:color="FFFFFF" w:sz="0"/>
              <w:right w:val="none" w:color="FFFFFF" w:sz="0"/>
            </w:tcBorders>
          </w:tcPr>
          <w:p>
            <w:pPr>
              <w:jc w:val="center"/>
            </w:pPr>
            <w:r>
              <w:rPr>
                <w:rFonts w:ascii="Times New Roman" w:cs="Times New Roman" w:eastAsia="Times New Roman" w:hAnsi="Times New Roman"/>
                <w:b/>
                <w:bCs/>
                <w:sz w:val="20"/>
                <w:szCs w:val="20"/>
              </w:rPr>
              <w:t xml:space="preserve">Poin Penilaian</w:t>
            </w:r>
          </w:p>
        </w:tc>
        <w:tc>
          <w:tcPr>
            <w:tcW w:type="dxa" w:w="1300"/>
            <w:tcBorders>
              <w:top w:val="single" w:color="000000" w:sz="4"/>
              <w:left w:val="none" w:color="FFFFFF" w:sz="0"/>
              <w:bottom w:val="none" w:color="FFFFFF" w:sz="0"/>
              <w:right w:val="none" w:color="FFFFFF" w:sz="0"/>
            </w:tcBorders>
          </w:tcPr>
          <w:p>
            <w:pPr>
              <w:jc w:val="center"/>
            </w:pPr>
            <w:r>
              <w:rPr>
                <w:rFonts w:ascii="Times New Roman" w:cs="Times New Roman" w:eastAsia="Times New Roman" w:hAnsi="Times New Roman"/>
                <w:b/>
                <w:bCs/>
                <w:sz w:val="20"/>
                <w:szCs w:val="20"/>
              </w:rPr>
              <w:t xml:space="preserve">Pakar 1</w:t>
            </w:r>
          </w:p>
        </w:tc>
        <w:tc>
          <w:tcPr>
            <w:tcW w:type="dxa" w:w="1300"/>
            <w:tcBorders>
              <w:top w:val="single" w:color="000000" w:sz="4"/>
              <w:left w:val="none" w:color="FFFFFF" w:sz="0"/>
              <w:bottom w:val="none" w:color="FFFFFF" w:sz="0"/>
              <w:right w:val="none" w:color="FFFFFF" w:sz="0"/>
            </w:tcBorders>
          </w:tcPr>
          <w:p>
            <w:pPr>
              <w:jc w:val="center"/>
            </w:pPr>
            <w:r>
              <w:rPr>
                <w:rFonts w:ascii="Times New Roman" w:cs="Times New Roman" w:eastAsia="Times New Roman" w:hAnsi="Times New Roman"/>
                <w:b/>
                <w:bCs/>
                <w:sz w:val="20"/>
                <w:szCs w:val="20"/>
              </w:rPr>
              <w:t xml:space="preserve">Pakar 2</w:t>
            </w:r>
          </w:p>
        </w:tc>
        <w:tc>
          <w:tcPr>
            <w:tcW w:type="dxa" w:w="1700"/>
            <w:tcBorders>
              <w:top w:val="single" w:color="000000" w:sz="4"/>
              <w:left w:val="none" w:color="FFFFFF" w:sz="0"/>
              <w:bottom w:val="none" w:color="FFFFFF" w:sz="0"/>
              <w:right w:val="none" w:color="FFFFFF" w:sz="0"/>
            </w:tcBorders>
          </w:tcPr>
          <w:p>
            <w:pPr>
              <w:jc w:val="center"/>
            </w:pPr>
            <w:r>
              <w:rPr>
                <w:rFonts w:ascii="Times New Roman" w:cs="Times New Roman" w:eastAsia="Times New Roman" w:hAnsi="Times New Roman"/>
                <w:b/>
                <w:bCs/>
                <w:sz w:val="20"/>
                <w:szCs w:val="20"/>
              </w:rPr>
              <w:t xml:space="preserve">Rata-rata</w:t>
            </w:r>
          </w:p>
        </w:tc>
      </w:tr>
      <w:tr>
        <w:tc>
          <w:tcPr>
            <w:tcW w:type="dxa" w:w="3193"/>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Relevansi persona klaster</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5</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w:t>
            </w:r>
          </w:p>
        </w:tc>
        <w:tc>
          <w:tcPr>
            <w:tcW w:type="dxa" w:w="17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4,5</w:t>
            </w:r>
          </w:p>
        </w:tc>
      </w:tr>
      <w:tr>
        <w:tc>
          <w:tcPr>
            <w:tcW w:type="dxa" w:w="3193"/>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Feasibility rekomendasi channel</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w:t>
            </w:r>
          </w:p>
        </w:tc>
        <w:tc>
          <w:tcPr>
            <w:tcW w:type="dxa" w:w="17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4,0</w:t>
            </w:r>
          </w:p>
        </w:tc>
      </w:tr>
      <w:tr>
        <w:tc>
          <w:tcPr>
            <w:tcW w:type="dxa" w:w="3193"/>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Kelengkapan cakupan segmen</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3</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w:t>
            </w:r>
          </w:p>
        </w:tc>
        <w:tc>
          <w:tcPr>
            <w:tcW w:type="dxa" w:w="17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3,5</w:t>
            </w:r>
          </w:p>
        </w:tc>
      </w:tr>
      <w:tr>
        <w:tc>
          <w:tcPr>
            <w:tcW w:type="dxa" w:w="3193"/>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Kejelasan narasi &amp; reasoning</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w:t>
            </w:r>
          </w:p>
        </w:tc>
        <w:tc>
          <w:tcPr>
            <w:tcW w:type="dxa" w:w="13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w:t>
            </w:r>
          </w:p>
        </w:tc>
        <w:tc>
          <w:tcPr>
            <w:tcW w:type="dxa" w:w="17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val="false"/>
                <w:bCs w:val="false"/>
                <w:sz w:val="20"/>
                <w:szCs w:val="20"/>
              </w:rPr>
              <w:t xml:space="preserve">4,0</w:t>
            </w:r>
          </w:p>
        </w:tc>
      </w:tr>
    </w:tbl>
    <w:p>
      <w:pPr>
        <w:spacing w:after="120" w:line="276"/>
        <w:jc w:val="both"/>
      </w:pPr>
      <w:r>
        <w:rPr>
          <w:rFonts w:ascii="Times New Roman" w:cs="Times New Roman" w:eastAsia="Times New Roman" w:hAnsi="Times New Roman"/>
          <w:sz w:val="24"/>
          <w:szCs w:val="24"/>
        </w:rPr>
        <w:t xml:space="preserve">Validasi oleh dua pakar praktisi PMB ITSNU Pekalongan menghasilkan skor rata-rata keseluruhan 4,0 dari skala maksimal 5,0, sehingga sistem dinyatakan valid/layak digunakan sebagai instrumen pendukung keputusan (decision support system). Kedua pakar menekankan bahwa keputusan akhir tetap memerlukan pertimbangan kualitatif manajerial, seperti kebijakan insentif dan analisis kompetitor, di luar kapasitas komputasional sistem. Secara keseluruhan, sistem otomasi LLM hybrid mendemokratisasi akses insight data bagi tim rekrutmen non-teknis, sekaligus menjaga privasi data individual melalui privacy gate lokal sebelum metadata teragregasi diproses oleh model cloud.</w:t>
      </w:r>
    </w:p>
    <w:p>
      <w:pPr>
        <w:spacing w:after="120" w:before="200" w:line="276"/>
        <w:jc w:val="left"/>
      </w:pPr>
      <w:r>
        <w:rPr>
          <w:rFonts w:ascii="Times New Roman" w:cs="Times New Roman" w:eastAsia="Times New Roman" w:hAnsi="Times New Roman"/>
          <w:b/>
          <w:bCs/>
          <w:sz w:val="24"/>
          <w:szCs w:val="24"/>
        </w:rPr>
        <w:t xml:space="preserve">KESIMPULAN</w:t>
      </w:r>
    </w:p>
    <w:p>
      <w:pPr>
        <w:spacing w:after="120" w:line="276"/>
        <w:jc w:val="both"/>
      </w:pPr>
      <w:r>
        <w:rPr>
          <w:rFonts w:ascii="Times New Roman" w:cs="Times New Roman" w:eastAsia="Times New Roman" w:hAnsi="Times New Roman"/>
          <w:sz w:val="24"/>
          <w:szCs w:val="24"/>
        </w:rPr>
        <w:t xml:space="preserve">Penelitian ini berhasil mengisolasi karakteristik pendaftar mahasiswa baru ITSNU Pekalongan periode 2019-2024 secara multidimensional melalui integrasi IndoBERT dan Gaussian Mixture Model, serta mendemonstrasikan kapabilitas otomasi LLM dalam mengubah data kuantitatif kompleks menjadi narasi manajerial yang dapat ditindaklanjuti. Tiga kesimpulan utama diperoleh. Pertama, integrasi representasi vektor 768 dimensi IndoBERT dengan soft clustering GMM efektif memetakan profil calon mahasiswa secara presisi, dengan K optimal bervariasi 2-6 per periode dan konsolidasi segmen yang semakin homogen. Kedua, seluruh lima transisi antarperiode terkonfirmasi sebagai structural break (ARI &lt; 0,30), membuktikan bahwa asumsi segmentasi pasar yang statis pada pendidikan tinggi adalah keliru dan mengharuskan pembaruan segmentasi tahunan. Ketiga, Hybrid Cognitive Pipeline (Llama 3.2 lokal dan model cloud) berhasil menjembatani kesenjangan antara keluaran analisis data teknis dan perumusan strategi rekrutmen, dengan validasi pakar rata-rata 4,0 dari 5,0 yang mengonfirmasi kelayakan sistem sebagai instrumen pendukung keputusan.</w:t>
      </w:r>
    </w:p>
    <w:p>
      <w:pPr>
        <w:spacing w:after="120" w:line="276"/>
        <w:jc w:val="both"/>
      </w:pPr>
      <w:r>
        <w:rPr>
          <w:rFonts w:ascii="Times New Roman" w:cs="Times New Roman" w:eastAsia="Times New Roman" w:hAnsi="Times New Roman"/>
          <w:sz w:val="24"/>
          <w:szCs w:val="24"/>
        </w:rPr>
        <w:t xml:space="preserve">Bagi manajemen ITSNU Pekalongan, disarankan mengoperasionalkan proyeksi klaster 2025 sebagai basis penyusunan Rencana Kerja dan Anggaran promosi, dengan penyesuaian bauran komunikasi sesuai karakteristik tiap segmen. Bagi penelitian lanjutan, disarankan eksplorasi Dirichlet Process Mixture Model sebagai alternatif penentuan jumlah klaster secara otomatis, serta fine-tuning small language model secara on-premise untuk memperkuat kemandirian dan kerahasiaan institusional jangka panjang.</w:t>
      </w:r>
    </w:p>
    <w:p>
      <w:pPr>
        <w:spacing w:after="120" w:before="200" w:line="276"/>
        <w:jc w:val="left"/>
      </w:pPr>
      <w:r>
        <w:rPr>
          <w:rFonts w:ascii="Times New Roman" w:cs="Times New Roman" w:eastAsia="Times New Roman" w:hAnsi="Times New Roman"/>
          <w:b/>
          <w:bCs/>
          <w:sz w:val="24"/>
          <w:szCs w:val="24"/>
        </w:rPr>
        <w:t xml:space="preserve">DAFTAR PUSTAKA</w:t>
      </w:r>
    </w:p>
    <w:p>
      <w:pPr>
        <w:spacing w:after="100" w:line="240"/>
        <w:ind w:left="340" w:hanging="340"/>
        <w:jc w:val="both"/>
      </w:pPr>
      <w:r>
        <w:rPr>
          <w:rFonts w:ascii="Times New Roman" w:cs="Times New Roman" w:eastAsia="Times New Roman" w:hAnsi="Times New Roman"/>
          <w:sz w:val="20"/>
          <w:szCs w:val="20"/>
        </w:rPr>
        <w:t xml:space="preserve">[1] A. Aristovnik, D. Keržič, D. Ravšelj, N. Tomaževič, and L. Umek, "Impacts of the Covid-19 pandemic on life of higher education students: Global survey dataset from the first wave," Data in Brief, vol. 39, p. 107659, 2021.</w:t>
      </w:r>
    </w:p>
    <w:p>
      <w:pPr>
        <w:spacing w:after="100" w:line="240"/>
        <w:ind w:left="340" w:hanging="340"/>
        <w:jc w:val="both"/>
      </w:pPr>
      <w:r>
        <w:rPr>
          <w:rFonts w:ascii="Times New Roman" w:cs="Times New Roman" w:eastAsia="Times New Roman" w:hAnsi="Times New Roman"/>
          <w:sz w:val="20"/>
          <w:szCs w:val="20"/>
        </w:rPr>
        <w:t xml:space="preserve">[2] A. Cahyadi, Hendryadi, S. Widyastuti, and S. Suryani, "COVID-19, emergency remote teaching evaluation: The case of Indonesia," Educ. Inf. Technol., vol. 27, no. 2, pp. 2165-2179, 2021.</w:t>
      </w:r>
    </w:p>
    <w:p>
      <w:pPr>
        <w:spacing w:after="100" w:line="240"/>
        <w:ind w:left="340" w:hanging="340"/>
        <w:jc w:val="both"/>
      </w:pPr>
      <w:r>
        <w:rPr>
          <w:rFonts w:ascii="Times New Roman" w:cs="Times New Roman" w:eastAsia="Times New Roman" w:hAnsi="Times New Roman"/>
          <w:sz w:val="20"/>
          <w:szCs w:val="20"/>
        </w:rPr>
        <w:t xml:space="preserve">[3] G. R. El Said, "How did the COVID-19 pandemic affect higher education and the future of learning?," J. Educ. Learn., vol. 10, no. 6, pp. 52-63, 2021.</w:t>
      </w:r>
    </w:p>
    <w:p>
      <w:pPr>
        <w:spacing w:after="100" w:line="240"/>
        <w:ind w:left="340" w:hanging="340"/>
        <w:jc w:val="both"/>
      </w:pPr>
      <w:r>
        <w:rPr>
          <w:rFonts w:ascii="Times New Roman" w:cs="Times New Roman" w:eastAsia="Times New Roman" w:hAnsi="Times New Roman"/>
          <w:sz w:val="20"/>
          <w:szCs w:val="20"/>
        </w:rPr>
        <w:t xml:space="preserve">[4] L. Scrucca, C. Fraley, T. B. Murphy, and A. E. Raftery, "Model-based clustering," in Handbook of Cluster Analysis, CRC Press, 2024.</w:t>
      </w:r>
    </w:p>
    <w:p>
      <w:pPr>
        <w:spacing w:after="100" w:line="240"/>
        <w:ind w:left="340" w:hanging="340"/>
        <w:jc w:val="both"/>
      </w:pPr>
      <w:r>
        <w:rPr>
          <w:rFonts w:ascii="Times New Roman" w:cs="Times New Roman" w:eastAsia="Times New Roman" w:hAnsi="Times New Roman"/>
          <w:sz w:val="20"/>
          <w:szCs w:val="20"/>
        </w:rPr>
        <w:t xml:space="preserve">[5] F. Koto, A. Rahimi, J. H. Lau, and T. Baldwin, "IndoLEM and IndoBERT: A benchmark dataset and pre-trained language model for Indonesian NLP," in Proc. 28th COLING, 2020, pp. 757-770.</w:t>
      </w:r>
    </w:p>
    <w:p>
      <w:pPr>
        <w:spacing w:after="100" w:line="240"/>
        <w:ind w:left="340" w:hanging="340"/>
        <w:jc w:val="both"/>
      </w:pPr>
      <w:r>
        <w:rPr>
          <w:rFonts w:ascii="Times New Roman" w:cs="Times New Roman" w:eastAsia="Times New Roman" w:hAnsi="Times New Roman"/>
          <w:sz w:val="20"/>
          <w:szCs w:val="20"/>
        </w:rPr>
        <w:t xml:space="preserve">[6] L. Subakti, H. Murfi, and N. Hariadi, "The performance of BERT as data representation of text clustering," J. Big Data, vol. 9, no. 1, p. 15, 2022.</w:t>
      </w:r>
    </w:p>
    <w:p>
      <w:pPr>
        <w:spacing w:after="100" w:line="240"/>
        <w:ind w:left="340" w:hanging="340"/>
        <w:jc w:val="both"/>
      </w:pPr>
      <w:r>
        <w:rPr>
          <w:rFonts w:ascii="Times New Roman" w:cs="Times New Roman" w:eastAsia="Times New Roman" w:hAnsi="Times New Roman"/>
          <w:sz w:val="20"/>
          <w:szCs w:val="20"/>
        </w:rPr>
        <w:t xml:space="preserve">[7] M. Ahmadian, A. Fathoni, and H. Prasetyo, "Analisis segmentasi calon mahasiswa menggunakan algoritma clustering di perguruan tinggi swasta," J. Teknol. Inf. Ilmu Komput., vol. 11, no. 2, pp. 341-352, 2024.</w:t>
      </w:r>
    </w:p>
    <w:p>
      <w:pPr>
        <w:spacing w:after="100" w:line="240"/>
        <w:ind w:left="340" w:hanging="340"/>
        <w:jc w:val="both"/>
      </w:pPr>
      <w:r>
        <w:rPr>
          <w:rFonts w:ascii="Times New Roman" w:cs="Times New Roman" w:eastAsia="Times New Roman" w:hAnsi="Times New Roman"/>
          <w:sz w:val="20"/>
          <w:szCs w:val="20"/>
        </w:rPr>
        <w:t xml:space="preserve">[8] M. Imaduddin, A. Rahman, and B. Sulistyo, "Penerapan data mining untuk segmentasi mahasiswa baru berdasarkan karakteristik akademik dan demografis," J. Nas. Tek. Elektro Teknol. Inf., vol. 12, no. 3, pp. 198-207, 2023.</w:t>
      </w:r>
    </w:p>
    <w:p>
      <w:pPr>
        <w:spacing w:after="100" w:line="240"/>
        <w:ind w:left="340" w:hanging="340"/>
        <w:jc w:val="both"/>
      </w:pPr>
      <w:r>
        <w:rPr>
          <w:rFonts w:ascii="Times New Roman" w:cs="Times New Roman" w:eastAsia="Times New Roman" w:hAnsi="Times New Roman"/>
          <w:sz w:val="20"/>
          <w:szCs w:val="20"/>
        </w:rPr>
        <w:t xml:space="preserve">[9] M. H. Abdurrohman, E. Haerani, F. Syafria, and L. Oktavia, "Implementasi K-Means Clustering pada Data Pengelompokan Pendaftaran Mahasiswa Baru (Studi Kasus Universitas Abdurrab)," RABIT: J. Teknol. dan Sist. Inf. Univrab, vol. 9, no. 1, pp. 138-147, 2024, doi: 10.36341/rabit.v9i1.4255.</w:t>
      </w:r>
    </w:p>
    <w:p>
      <w:pPr>
        <w:spacing w:after="100" w:line="240"/>
        <w:ind w:left="340" w:hanging="340"/>
        <w:jc w:val="both"/>
      </w:pPr>
      <w:r>
        <w:rPr>
          <w:rFonts w:ascii="Times New Roman" w:cs="Times New Roman" w:eastAsia="Times New Roman" w:hAnsi="Times New Roman"/>
          <w:sz w:val="20"/>
          <w:szCs w:val="20"/>
        </w:rPr>
        <w:t xml:space="preserve">[10] I. Fazira, Z. Fitri, and Risawandi, "Optimasi Jumlah Cluster pada K-Means Clustering Menggunakan Particle Swarm Optimization untuk Pengelompokan UKT Mahasiswa," RABIT: J. Teknol. dan Sist. Inf. Univrab, vol. 10, no. 2, pp. 874-886, 2025.</w:t>
      </w:r>
    </w:p>
    <w:p>
      <w:pPr>
        <w:spacing w:after="100" w:line="240"/>
        <w:ind w:left="340" w:hanging="340"/>
        <w:jc w:val="both"/>
      </w:pPr>
      <w:r>
        <w:rPr>
          <w:rFonts w:ascii="Times New Roman" w:cs="Times New Roman" w:eastAsia="Times New Roman" w:hAnsi="Times New Roman"/>
          <w:sz w:val="20"/>
          <w:szCs w:val="20"/>
        </w:rPr>
        <w:t xml:space="preserve">[11] H. S. Aulia, M. Arifin, and D. L. Fithri, "Penerapan Algoritma Machine Learning untuk Pengelompokan Siswa Berdasarkan Aspek Akademik dan Non-Akademik," RABIT: J. Teknol. dan Sist. Inf. Univrab, vol. 11, no. 1, 2026.</w:t>
      </w:r>
    </w:p>
    <w:p>
      <w:pPr>
        <w:spacing w:after="100" w:line="240"/>
        <w:ind w:left="340" w:hanging="340"/>
        <w:jc w:val="both"/>
      </w:pPr>
      <w:r>
        <w:rPr>
          <w:rFonts w:ascii="Times New Roman" w:cs="Times New Roman" w:eastAsia="Times New Roman" w:hAnsi="Times New Roman"/>
          <w:sz w:val="20"/>
          <w:szCs w:val="20"/>
        </w:rPr>
        <w:t xml:space="preserve">[12] A. Grattafiori et al., "The Llama 3 herd of models," arXiv:2407.21783, 2024.</w:t>
      </w:r>
    </w:p>
    <w:p>
      <w:pPr>
        <w:spacing w:after="100" w:line="240"/>
        <w:ind w:left="340" w:hanging="340"/>
        <w:jc w:val="both"/>
      </w:pPr>
      <w:r>
        <w:rPr>
          <w:rFonts w:ascii="Times New Roman" w:cs="Times New Roman" w:eastAsia="Times New Roman" w:hAnsi="Times New Roman"/>
          <w:sz w:val="20"/>
          <w:szCs w:val="20"/>
        </w:rPr>
        <w:t xml:space="preserve">[13] G. Mariscal, Ó. Marbán, and C. Fernández, "A survey of data mining and knowledge discovery process models and methodologies," Knowl. Eng. Rev., vol. 25, no. 2, pp. 137-166, 2010.</w:t>
      </w:r>
    </w:p>
    <w:p>
      <w:pPr>
        <w:spacing w:after="100" w:line="240"/>
        <w:ind w:left="340" w:hanging="340"/>
        <w:jc w:val="both"/>
      </w:pPr>
      <w:r>
        <w:rPr>
          <w:rFonts w:ascii="Times New Roman" w:cs="Times New Roman" w:eastAsia="Times New Roman" w:hAnsi="Times New Roman"/>
          <w:sz w:val="20"/>
          <w:szCs w:val="20"/>
        </w:rPr>
        <w:t xml:space="preserve">[14] N. Reimers and I. Gurevych, "Sentence-BERT: Sentence embeddings using Siamese BERT-networks," in Proc. EMNLP-IJCNLP, 2019, pp. 3982-3992.</w:t>
      </w:r>
    </w:p>
    <w:p>
      <w:pPr>
        <w:spacing w:after="100" w:line="240"/>
        <w:ind w:left="340" w:hanging="340"/>
        <w:jc w:val="both"/>
      </w:pPr>
      <w:r>
        <w:rPr>
          <w:rFonts w:ascii="Times New Roman" w:cs="Times New Roman" w:eastAsia="Times New Roman" w:hAnsi="Times New Roman"/>
          <w:sz w:val="20"/>
          <w:szCs w:val="20"/>
        </w:rPr>
        <w:t xml:space="preserve">[15] I. T. Jolliffe and J. Cadima, "Principal component analysis: A review and recent developments," Philos. Trans. R. Soc. A, vol. 374, no. 2065, p. 20150202, 2016.</w:t>
      </w:r>
    </w:p>
    <w:p>
      <w:pPr>
        <w:spacing w:after="100" w:line="240"/>
        <w:ind w:left="340" w:hanging="340"/>
        <w:jc w:val="both"/>
      </w:pPr>
      <w:r>
        <w:rPr>
          <w:rFonts w:ascii="Times New Roman" w:cs="Times New Roman" w:eastAsia="Times New Roman" w:hAnsi="Times New Roman"/>
          <w:sz w:val="20"/>
          <w:szCs w:val="20"/>
        </w:rPr>
        <w:t xml:space="preserve">[16] S. George and S. Sumathy, "An enhanced principal component analysis for dimensionality reduction in educational data mining," Int. J. Intell. Syst. Appl. Eng., vol. 11, no. 3, pp. 245-256, 2023.</w:t>
      </w:r>
    </w:p>
    <w:p>
      <w:pPr>
        <w:spacing w:after="100" w:line="240"/>
        <w:ind w:left="340" w:hanging="340"/>
        <w:jc w:val="both"/>
      </w:pPr>
      <w:r>
        <w:rPr>
          <w:rFonts w:ascii="Times New Roman" w:cs="Times New Roman" w:eastAsia="Times New Roman" w:hAnsi="Times New Roman"/>
          <w:sz w:val="20"/>
          <w:szCs w:val="20"/>
        </w:rPr>
        <w:t xml:space="preserve">[17] F. Pedregosa et al., "Scikit-learn: Machine learning in Python," J. Mach. Learn. Res., vol. 12, pp. 2825-2830, 2011.</w:t>
      </w:r>
    </w:p>
    <w:p>
      <w:pPr>
        <w:spacing w:after="100" w:line="240"/>
        <w:ind w:left="340" w:hanging="340"/>
        <w:jc w:val="both"/>
      </w:pPr>
      <w:r>
        <w:rPr>
          <w:rFonts w:ascii="Times New Roman" w:cs="Times New Roman" w:eastAsia="Times New Roman" w:hAnsi="Times New Roman"/>
          <w:sz w:val="20"/>
          <w:szCs w:val="20"/>
        </w:rPr>
        <w:t xml:space="preserve">[18] L. Hubert and P. Arabie, "Comparing partitions," J. Classif., vol. 2, no. 1, pp. 193-218, 1985.</w:t>
      </w:r>
    </w:p>
    <w:p>
      <w:pPr>
        <w:spacing w:after="100" w:line="240"/>
        <w:ind w:left="340" w:hanging="340"/>
        <w:jc w:val="both"/>
      </w:pPr>
      <w:r>
        <w:rPr>
          <w:rFonts w:ascii="Times New Roman" w:cs="Times New Roman" w:eastAsia="Times New Roman" w:hAnsi="Times New Roman"/>
          <w:sz w:val="20"/>
          <w:szCs w:val="20"/>
        </w:rPr>
        <w:t xml:space="preserve">[19] Meta AI, "Introducing Llama 3.1: Our most capable models yet," Meta AI Blog, 2024.</w:t>
      </w:r>
    </w:p>
    <w:p>
      <w:pPr>
        <w:spacing w:after="100" w:line="240"/>
        <w:ind w:left="340" w:hanging="340"/>
        <w:jc w:val="both"/>
      </w:pPr>
      <w:r>
        <w:rPr>
          <w:rFonts w:ascii="Times New Roman" w:cs="Times New Roman" w:eastAsia="Times New Roman" w:hAnsi="Times New Roman"/>
          <w:sz w:val="20"/>
          <w:szCs w:val="20"/>
        </w:rPr>
        <w:t xml:space="preserve">[20] J. Wei et al., "Chain-of-thought prompting elicits reasoning in large language models," Adv. Neural Inf. Process. Syst., vol. 35, pp. 24824-24837, 2022.</w:t>
      </w:r>
    </w:p>
    <w:p>
      <w:pPr>
        <w:spacing w:after="100" w:line="240"/>
        <w:ind w:left="340" w:hanging="340"/>
        <w:jc w:val="both"/>
      </w:pPr>
      <w:r>
        <w:rPr>
          <w:rFonts w:ascii="Times New Roman" w:cs="Times New Roman" w:eastAsia="Times New Roman" w:hAnsi="Times New Roman"/>
          <w:sz w:val="20"/>
          <w:szCs w:val="20"/>
        </w:rPr>
        <w:t xml:space="preserve">[21] P. Kotler and K. L. Keller, Marketing Management, 15th ed. Pearson Education, 2016.</w:t>
      </w:r>
    </w:p>
    <w:sectPr>
      <w:type w:val="continuous"/>
      <w:pgSz w:w="11906" w:h="16838" w:orient="portrait"/>
      <w:pgMar w:top="1560" w:right="1418" w:bottom="1247" w:left="1418" w:header="708" w:footer="708" w:gutter="0"/>
      <w:pgNumType/>
      <w:cols w:space="284"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82f4f44973f857aff3c508053ec2e99fb63e1dd.jpg"/><Relationship Id="rId8" Type="http://schemas.openxmlformats.org/officeDocument/2006/relationships/image" Target="media/edb72556922d0b4e4774e500f4bea9e1ef6eedf3.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2026-07-06T01:39:19.112Z</dcterms:created>
  <dcterms:modified xsi:type="dcterms:W3CDTF">2026-07-06T01:39:19.124Z</dcterms:modified>
</cp:coreProperties>
</file>

<file path=docProps/custom.xml><?xml version="1.0" encoding="utf-8"?>
<Properties xmlns="http://schemas.openxmlformats.org/officeDocument/2006/custom-properties" xmlns:vt="http://schemas.openxmlformats.org/officeDocument/2006/docPropsVTypes"/>
</file>