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12"/>
        <w:tblW w:w="0" w:type="auto"/>
        <w:tblInd w:w="0" w:type="dxa"/>
        <w:tblLayout w:type="fixed"/>
        <w:tblCellMar>
          <w:top w:w="0" w:type="dxa"/>
          <w:left w:w="108" w:type="dxa"/>
          <w:bottom w:w="0" w:type="dxa"/>
          <w:right w:w="108" w:type="dxa"/>
        </w:tblCellMar>
      </w:tblPr>
      <w:tblGrid>
        <w:gridCol w:w="5508"/>
        <w:gridCol w:w="1260"/>
        <w:gridCol w:w="1800"/>
      </w:tblGrid>
      <w:tr>
        <w:tblPrEx>
          <w:tblCellMar>
            <w:top w:w="0" w:type="dxa"/>
            <w:left w:w="108" w:type="dxa"/>
            <w:bottom w:w="0" w:type="dxa"/>
            <w:right w:w="108" w:type="dxa"/>
          </w:tblCellMar>
        </w:tblPrEx>
        <w:tc>
          <w:tcPr>
            <w:tcW w:w="5508" w:type="dxa"/>
          </w:tcPr>
          <w:p>
            <w:pPr>
              <w:adjustRightInd w:val="0"/>
              <w:snapToGrid w:val="0"/>
              <w:spacing w:line="360" w:lineRule="auto"/>
              <w:rPr>
                <w:rFonts w:ascii="方正黑体_GBK" w:eastAsia="方正黑体_GBK"/>
                <w:sz w:val="32"/>
              </w:rPr>
            </w:pPr>
          </w:p>
        </w:tc>
        <w:tc>
          <w:tcPr>
            <w:tcW w:w="1260" w:type="dxa"/>
          </w:tcPr>
          <w:p>
            <w:pPr>
              <w:adjustRightInd w:val="0"/>
              <w:snapToGrid w:val="0"/>
              <w:spacing w:line="360" w:lineRule="auto"/>
              <w:ind w:left="-108"/>
              <w:jc w:val="center"/>
              <w:rPr>
                <w:rFonts w:ascii="仿宋_GB2312" w:eastAsia="仿宋_GB2312"/>
                <w:sz w:val="32"/>
              </w:rPr>
            </w:pPr>
          </w:p>
        </w:tc>
        <w:tc>
          <w:tcPr>
            <w:tcW w:w="1800" w:type="dxa"/>
          </w:tcPr>
          <w:p>
            <w:pPr>
              <w:adjustRightInd w:val="0"/>
              <w:snapToGrid w:val="0"/>
              <w:spacing w:line="360" w:lineRule="auto"/>
              <w:ind w:left="-48"/>
              <w:rPr>
                <w:rFonts w:ascii="仿宋_GB2312" w:eastAsia="仿宋_GB2312"/>
                <w:sz w:val="32"/>
              </w:rPr>
            </w:pPr>
          </w:p>
        </w:tc>
      </w:tr>
    </w:tbl>
    <w:p>
      <w:pPr>
        <w:adjustRightInd w:val="0"/>
        <w:snapToGrid w:val="0"/>
        <w:spacing w:line="360" w:lineRule="auto"/>
        <w:jc w:val="center"/>
        <w:rPr>
          <w:rFonts w:ascii="仿宋_GB2312" w:eastAsia="仿宋_GB2312"/>
          <w:spacing w:val="20"/>
          <w:sz w:val="52"/>
        </w:rPr>
      </w:pPr>
    </w:p>
    <w:p>
      <w:pPr>
        <w:adjustRightInd w:val="0"/>
        <w:snapToGrid w:val="0"/>
        <w:spacing w:line="460" w:lineRule="exact"/>
        <w:jc w:val="center"/>
        <w:rPr>
          <w:rFonts w:ascii="方正小标宋_GBK" w:eastAsia="方正小标宋_GBK"/>
          <w:spacing w:val="20"/>
          <w:sz w:val="44"/>
          <w:szCs w:val="44"/>
        </w:rPr>
      </w:pPr>
    </w:p>
    <w:p>
      <w:pPr>
        <w:adjustRightInd w:val="0"/>
        <w:snapToGrid w:val="0"/>
        <w:spacing w:line="276" w:lineRule="auto"/>
        <w:jc w:val="center"/>
        <w:outlineLvl w:val="0"/>
        <w:rPr>
          <w:rFonts w:ascii="仿宋_GB2312" w:eastAsia="仿宋_GB2312"/>
          <w:b/>
          <w:spacing w:val="20"/>
          <w:sz w:val="96"/>
          <w:szCs w:val="21"/>
        </w:rPr>
      </w:pPr>
      <w:bookmarkStart w:id="0" w:name="_Toc13501"/>
      <w:bookmarkStart w:id="1" w:name="_Toc30797"/>
      <w:bookmarkStart w:id="2" w:name="_Toc1261"/>
      <w:r>
        <w:rPr>
          <w:rFonts w:hint="eastAsia" w:ascii="方正小标宋_GBK" w:eastAsia="方正小标宋_GBK"/>
          <w:spacing w:val="20"/>
          <w:sz w:val="48"/>
          <w:szCs w:val="48"/>
        </w:rPr>
        <w:t>新基建下的区域公司级智慧能源管控技术研究与应用</w:t>
      </w:r>
      <w:bookmarkEnd w:id="0"/>
      <w:bookmarkEnd w:id="1"/>
      <w:bookmarkEnd w:id="2"/>
    </w:p>
    <w:p>
      <w:pPr>
        <w:adjustRightInd w:val="0"/>
        <w:snapToGrid w:val="0"/>
        <w:spacing w:line="360" w:lineRule="auto"/>
        <w:rPr>
          <w:rFonts w:ascii="仿宋_GB2312" w:eastAsia="仿宋_GB2312"/>
          <w:spacing w:val="20"/>
          <w:sz w:val="32"/>
        </w:rPr>
      </w:pPr>
    </w:p>
    <w:p>
      <w:pPr>
        <w:adjustRightInd w:val="0"/>
        <w:snapToGrid w:val="0"/>
        <w:spacing w:line="360" w:lineRule="auto"/>
        <w:rPr>
          <w:rFonts w:ascii="仿宋_GB2312" w:eastAsia="仿宋_GB2312"/>
          <w:spacing w:val="20"/>
          <w:sz w:val="32"/>
        </w:rPr>
      </w:pPr>
    </w:p>
    <w:p>
      <w:pPr>
        <w:adjustRightInd w:val="0"/>
        <w:snapToGrid w:val="0"/>
        <w:spacing w:line="360" w:lineRule="auto"/>
        <w:jc w:val="center"/>
        <w:rPr>
          <w:rFonts w:ascii="仿宋_GB2312" w:eastAsia="仿宋_GB2312"/>
          <w:spacing w:val="20"/>
          <w:sz w:val="32"/>
        </w:rPr>
      </w:pPr>
      <w:r>
        <w:rPr>
          <w:rFonts w:hint="eastAsia" w:ascii="仿宋_GB2312" w:eastAsia="仿宋_GB2312"/>
          <w:spacing w:val="20"/>
          <w:sz w:val="32"/>
        </w:rPr>
        <w:t>专题报告</w:t>
      </w:r>
      <w:r>
        <w:rPr>
          <w:rFonts w:ascii="仿宋_GB2312" w:eastAsia="仿宋_GB2312"/>
          <w:spacing w:val="20"/>
          <w:sz w:val="32"/>
        </w:rPr>
        <w:t>3</w:t>
      </w:r>
    </w:p>
    <w:p>
      <w:pPr>
        <w:adjustRightInd w:val="0"/>
        <w:snapToGrid w:val="0"/>
        <w:spacing w:line="360" w:lineRule="auto"/>
        <w:jc w:val="center"/>
        <w:outlineLvl w:val="0"/>
        <w:rPr>
          <w:rFonts w:ascii="黑体" w:hAnsi="黑体" w:eastAsia="黑体"/>
          <w:b/>
          <w:bCs/>
          <w:spacing w:val="20"/>
          <w:sz w:val="40"/>
          <w:szCs w:val="22"/>
        </w:rPr>
      </w:pPr>
      <w:bookmarkStart w:id="3" w:name="_Toc530"/>
      <w:bookmarkStart w:id="4" w:name="_Toc18113"/>
      <w:bookmarkStart w:id="5" w:name="_Toc23455"/>
      <w:r>
        <w:rPr>
          <w:rFonts w:hint="eastAsia" w:ascii="黑体" w:hAnsi="黑体" w:eastAsia="黑体"/>
          <w:b/>
          <w:bCs/>
          <w:spacing w:val="20"/>
          <w:sz w:val="40"/>
          <w:szCs w:val="22"/>
        </w:rPr>
        <w:t>电力全产业链综合服务支撑平台技术方案暨可行性分析报告</w:t>
      </w:r>
      <w:bookmarkEnd w:id="3"/>
      <w:bookmarkEnd w:id="4"/>
      <w:bookmarkEnd w:id="5"/>
    </w:p>
    <w:p>
      <w:pPr>
        <w:adjustRightInd w:val="0"/>
        <w:snapToGrid w:val="0"/>
        <w:spacing w:line="360" w:lineRule="auto"/>
        <w:jc w:val="center"/>
        <w:rPr>
          <w:rFonts w:ascii="仿宋_GB2312" w:eastAsia="仿宋_GB2312"/>
        </w:rPr>
      </w:pPr>
    </w:p>
    <w:p>
      <w:pPr>
        <w:adjustRightInd w:val="0"/>
        <w:snapToGrid w:val="0"/>
        <w:spacing w:line="360" w:lineRule="auto"/>
        <w:jc w:val="center"/>
        <w:rPr>
          <w:rFonts w:ascii="仿宋_GB2312" w:eastAsia="仿宋_GB2312"/>
        </w:rPr>
      </w:pPr>
    </w:p>
    <w:p>
      <w:pPr>
        <w:adjustRightInd w:val="0"/>
        <w:snapToGrid w:val="0"/>
        <w:spacing w:line="360" w:lineRule="auto"/>
        <w:jc w:val="center"/>
        <w:rPr>
          <w:rFonts w:ascii="仿宋_GB2312" w:eastAsia="仿宋_GB2312"/>
        </w:rPr>
      </w:pPr>
    </w:p>
    <w:p>
      <w:pPr>
        <w:adjustRightInd w:val="0"/>
        <w:snapToGrid w:val="0"/>
        <w:spacing w:line="360" w:lineRule="auto"/>
        <w:jc w:val="center"/>
        <w:rPr>
          <w:rFonts w:ascii="仿宋_GB2312" w:eastAsia="仿宋_GB2312"/>
        </w:rPr>
      </w:pPr>
    </w:p>
    <w:p>
      <w:pPr>
        <w:adjustRightInd w:val="0"/>
        <w:snapToGrid w:val="0"/>
        <w:spacing w:line="360" w:lineRule="auto"/>
        <w:jc w:val="center"/>
        <w:rPr>
          <w:rFonts w:ascii="仿宋_GB2312" w:eastAsia="仿宋_GB2312"/>
        </w:rPr>
      </w:pPr>
    </w:p>
    <w:p>
      <w:pPr>
        <w:jc w:val="center"/>
        <w:outlineLvl w:val="0"/>
        <w:rPr>
          <w:rFonts w:eastAsia="仿宋_GB2312"/>
          <w:color w:val="000000"/>
          <w:sz w:val="32"/>
          <w:szCs w:val="32"/>
        </w:rPr>
      </w:pPr>
      <w:bookmarkStart w:id="6" w:name="_Toc1045"/>
      <w:bookmarkStart w:id="7" w:name="_Toc22733"/>
      <w:bookmarkStart w:id="8" w:name="_Toc27739"/>
      <w:r>
        <w:rPr>
          <w:rFonts w:hint="eastAsia" w:eastAsia="仿宋_GB2312"/>
          <w:color w:val="000000"/>
          <w:sz w:val="32"/>
          <w:szCs w:val="32"/>
        </w:rPr>
        <w:t>中国华电集团有限公司福建分公司</w:t>
      </w:r>
      <w:bookmarkEnd w:id="6"/>
      <w:bookmarkEnd w:id="7"/>
      <w:bookmarkEnd w:id="8"/>
    </w:p>
    <w:p>
      <w:pPr>
        <w:jc w:val="center"/>
        <w:rPr>
          <w:rFonts w:eastAsia="仿宋_GB2312"/>
          <w:color w:val="000000"/>
          <w:sz w:val="32"/>
          <w:szCs w:val="32"/>
        </w:rPr>
      </w:pPr>
      <w:r>
        <w:rPr>
          <w:rFonts w:eastAsia="仿宋_GB2312"/>
          <w:color w:val="000000"/>
          <w:sz w:val="32"/>
          <w:szCs w:val="32"/>
        </w:rPr>
        <w:t>二</w:t>
      </w:r>
      <w:r>
        <w:rPr>
          <w:rFonts w:hint="eastAsia" w:ascii="宋体" w:hAnsi="宋体" w:cs="宋体"/>
          <w:color w:val="000000"/>
          <w:sz w:val="32"/>
          <w:szCs w:val="32"/>
        </w:rPr>
        <w:t>〇</w:t>
      </w:r>
      <w:r>
        <w:rPr>
          <w:rFonts w:hint="eastAsia" w:eastAsia="仿宋_GB2312"/>
          <w:color w:val="000000"/>
          <w:sz w:val="32"/>
          <w:szCs w:val="32"/>
        </w:rPr>
        <w:t>二二</w:t>
      </w:r>
      <w:r>
        <w:rPr>
          <w:rFonts w:eastAsia="仿宋_GB2312"/>
          <w:color w:val="000000"/>
          <w:sz w:val="32"/>
          <w:szCs w:val="32"/>
        </w:rPr>
        <w:t>年</w:t>
      </w:r>
      <w:r>
        <w:rPr>
          <w:rFonts w:hint="eastAsia" w:eastAsia="仿宋_GB2312"/>
          <w:color w:val="000000"/>
          <w:sz w:val="32"/>
          <w:szCs w:val="32"/>
          <w:lang w:val="en-US" w:eastAsia="zh-CN"/>
        </w:rPr>
        <w:t>六</w:t>
      </w:r>
      <w:r>
        <w:rPr>
          <w:rFonts w:eastAsia="仿宋_GB2312"/>
          <w:color w:val="000000"/>
          <w:sz w:val="32"/>
          <w:szCs w:val="32"/>
        </w:rPr>
        <w:t>月</w:t>
      </w:r>
    </w:p>
    <w:p>
      <w:pPr>
        <w:adjustRightInd w:val="0"/>
        <w:snapToGrid w:val="0"/>
        <w:spacing w:line="360" w:lineRule="auto"/>
        <w:jc w:val="center"/>
        <w:rPr>
          <w:rFonts w:ascii="仿宋_GB2312" w:eastAsia="仿宋_GB2312"/>
        </w:rPr>
      </w:pPr>
    </w:p>
    <w:p>
      <w:pPr>
        <w:adjustRightInd w:val="0"/>
        <w:snapToGrid w:val="0"/>
        <w:spacing w:line="360" w:lineRule="auto"/>
        <w:rPr>
          <w:rFonts w:ascii="仿宋_GB2312" w:eastAsia="仿宋_GB2312"/>
          <w:position w:val="16"/>
        </w:rPr>
      </w:pPr>
      <w:r>
        <w:rPr>
          <w:rFonts w:ascii="仿宋_GB2312" w:eastAsia="仿宋_GB2312"/>
          <w:position w:val="16"/>
          <w:sz w:val="32"/>
        </w:rPr>
        <w:t xml:space="preserve">            </w:t>
      </w:r>
      <w:r>
        <w:rPr>
          <w:rFonts w:ascii="仿宋_GB2312" w:eastAsia="仿宋_GB2312"/>
          <w:position w:val="16"/>
        </w:rPr>
        <w:t xml:space="preserve">       </w:t>
      </w:r>
    </w:p>
    <w:p>
      <w:pPr>
        <w:adjustRightInd w:val="0"/>
        <w:snapToGrid w:val="0"/>
        <w:spacing w:line="360" w:lineRule="auto"/>
        <w:rPr>
          <w:rFonts w:ascii="仿宋_GB2312" w:eastAsia="仿宋_GB2312"/>
          <w:position w:val="16"/>
        </w:rPr>
      </w:pPr>
    </w:p>
    <w:p>
      <w:pPr>
        <w:adjustRightInd w:val="0"/>
        <w:snapToGrid w:val="0"/>
        <w:spacing w:line="360" w:lineRule="auto"/>
        <w:rPr>
          <w:rFonts w:ascii="仿宋_GB2312" w:eastAsia="仿宋_GB2312"/>
          <w:position w:val="16"/>
        </w:rPr>
      </w:pPr>
    </w:p>
    <w:p>
      <w:pPr>
        <w:adjustRightInd w:val="0"/>
        <w:snapToGrid w:val="0"/>
        <w:spacing w:line="360" w:lineRule="auto"/>
        <w:rPr>
          <w:rFonts w:ascii="仿宋_GB2312" w:eastAsia="仿宋_GB2312"/>
          <w:position w:val="16"/>
        </w:rPr>
      </w:pPr>
    </w:p>
    <w:p>
      <w:pPr>
        <w:spacing w:before="0" w:beforeLines="0" w:after="0" w:afterLines="0" w:line="240" w:lineRule="auto"/>
        <w:ind w:left="0" w:leftChars="0" w:right="0" w:rightChars="0" w:firstLine="0" w:firstLineChars="0"/>
        <w:jc w:val="center"/>
        <w:rPr>
          <w:rFonts w:ascii="宋体" w:hAnsi="宋体" w:eastAsia="宋体" w:cs="Times New Roman"/>
          <w:kern w:val="2"/>
          <w:sz w:val="21"/>
          <w:lang w:val="en-US" w:eastAsia="zh-CN" w:bidi="ar-SA"/>
        </w:rPr>
        <w:sectPr>
          <w:headerReference r:id="rId3" w:type="default"/>
          <w:pgSz w:w="11906" w:h="16838"/>
          <w:pgMar w:top="1440" w:right="1797" w:bottom="1440" w:left="1797" w:header="851" w:footer="992" w:gutter="0"/>
          <w:cols w:space="720" w:num="1"/>
          <w:docGrid w:type="lines" w:linePitch="380" w:charSpace="0"/>
        </w:sectPr>
      </w:pPr>
    </w:p>
    <w:sdt>
      <w:sdtPr>
        <w:rPr>
          <w:rFonts w:ascii="宋体" w:hAnsi="宋体" w:eastAsia="宋体" w:cs="Times New Roman"/>
          <w:kern w:val="2"/>
          <w:sz w:val="21"/>
          <w:lang w:val="en-US" w:eastAsia="zh-CN" w:bidi="ar-SA"/>
        </w:rPr>
        <w:id w:val="147461885"/>
        <w15:color w:val="DBDBDB"/>
        <w:docPartObj>
          <w:docPartGallery w:val="Table of Contents"/>
          <w:docPartUnique/>
        </w:docPartObj>
      </w:sdtPr>
      <w:sdtEndPr>
        <w:rPr>
          <w:rFonts w:ascii="宋体" w:hAnsi="宋体" w:eastAsia="宋体" w:cs="Times New Roman"/>
          <w:b/>
          <w:kern w:val="2"/>
          <w:sz w:val="21"/>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8312"/>
            </w:tabs>
          </w:pPr>
          <w:r>
            <w:fldChar w:fldCharType="begin"/>
          </w:r>
          <w:r>
            <w:instrText xml:space="preserve">TOC \o "1-2" \h \u </w:instrText>
          </w:r>
          <w:r>
            <w:fldChar w:fldCharType="separate"/>
          </w:r>
          <w:r>
            <w:fldChar w:fldCharType="begin"/>
          </w:r>
          <w:r>
            <w:instrText xml:space="preserve"> HYPERLINK \l _Toc26716 </w:instrText>
          </w:r>
          <w:r>
            <w:fldChar w:fldCharType="separate"/>
          </w:r>
          <w:r>
            <w:rPr>
              <w:rFonts w:hint="eastAsia"/>
              <w:szCs w:val="30"/>
              <w:lang w:val="en-US" w:eastAsia="zh-CN"/>
            </w:rPr>
            <w:t>一、</w:t>
          </w:r>
          <w:r>
            <w:rPr>
              <w:rFonts w:hint="eastAsia"/>
              <w:szCs w:val="30"/>
            </w:rPr>
            <w:t>背景和意义</w:t>
          </w:r>
          <w:r>
            <w:tab/>
          </w:r>
          <w:r>
            <w:fldChar w:fldCharType="begin"/>
          </w:r>
          <w:r>
            <w:instrText xml:space="preserve"> PAGEREF _Toc26716 \h </w:instrText>
          </w:r>
          <w:r>
            <w:fldChar w:fldCharType="separate"/>
          </w:r>
          <w:r>
            <w:t>1</w:t>
          </w:r>
          <w:r>
            <w:fldChar w:fldCharType="end"/>
          </w:r>
          <w:r>
            <w:fldChar w:fldCharType="end"/>
          </w:r>
        </w:p>
        <w:p>
          <w:pPr>
            <w:pStyle w:val="9"/>
            <w:tabs>
              <w:tab w:val="right" w:leader="dot" w:pos="8312"/>
            </w:tabs>
          </w:pPr>
          <w:r>
            <w:fldChar w:fldCharType="begin"/>
          </w:r>
          <w:r>
            <w:instrText xml:space="preserve"> HYPERLINK \l _Toc25512 </w:instrText>
          </w:r>
          <w:r>
            <w:fldChar w:fldCharType="separate"/>
          </w:r>
          <w:r>
            <w:rPr>
              <w:rFonts w:hint="eastAsia"/>
              <w:szCs w:val="30"/>
              <w:lang w:val="en-US" w:eastAsia="zh-CN"/>
            </w:rPr>
            <w:t>二、</w:t>
          </w:r>
          <w:r>
            <w:rPr>
              <w:rFonts w:hint="eastAsia"/>
              <w:szCs w:val="30"/>
            </w:rPr>
            <w:t>国内外现状和趋势</w:t>
          </w:r>
          <w:r>
            <w:tab/>
          </w:r>
          <w:r>
            <w:fldChar w:fldCharType="begin"/>
          </w:r>
          <w:r>
            <w:instrText xml:space="preserve"> PAGEREF _Toc25512 \h </w:instrText>
          </w:r>
          <w:r>
            <w:fldChar w:fldCharType="separate"/>
          </w:r>
          <w:r>
            <w:t>3</w:t>
          </w:r>
          <w:r>
            <w:fldChar w:fldCharType="end"/>
          </w:r>
          <w:r>
            <w:fldChar w:fldCharType="end"/>
          </w:r>
        </w:p>
        <w:p>
          <w:pPr>
            <w:pStyle w:val="10"/>
            <w:tabs>
              <w:tab w:val="right" w:leader="dot" w:pos="8312"/>
            </w:tabs>
          </w:pPr>
          <w:r>
            <w:fldChar w:fldCharType="begin"/>
          </w:r>
          <w:r>
            <w:instrText xml:space="preserve"> HYPERLINK \l _Toc30217 </w:instrText>
          </w:r>
          <w:r>
            <w:fldChar w:fldCharType="separate"/>
          </w:r>
          <w:r>
            <w:rPr>
              <w:rFonts w:hint="eastAsia" w:ascii="黑体" w:hAnsi="黑体" w:eastAsia="黑体" w:cs="黑体"/>
              <w:szCs w:val="28"/>
              <w:lang w:val="en-US" w:eastAsia="zh-CN"/>
            </w:rPr>
            <w:t>2.1价值链概念与发展现状</w:t>
          </w:r>
          <w:r>
            <w:tab/>
          </w:r>
          <w:r>
            <w:fldChar w:fldCharType="begin"/>
          </w:r>
          <w:r>
            <w:instrText xml:space="preserve"> PAGEREF _Toc30217 \h </w:instrText>
          </w:r>
          <w:r>
            <w:fldChar w:fldCharType="separate"/>
          </w:r>
          <w:r>
            <w:t>3</w:t>
          </w:r>
          <w:r>
            <w:fldChar w:fldCharType="end"/>
          </w:r>
          <w:r>
            <w:fldChar w:fldCharType="end"/>
          </w:r>
        </w:p>
        <w:p>
          <w:pPr>
            <w:pStyle w:val="10"/>
            <w:tabs>
              <w:tab w:val="right" w:leader="dot" w:pos="8312"/>
            </w:tabs>
          </w:pPr>
          <w:r>
            <w:fldChar w:fldCharType="begin"/>
          </w:r>
          <w:r>
            <w:instrText xml:space="preserve"> HYPERLINK \l _Toc31628 </w:instrText>
          </w:r>
          <w:r>
            <w:fldChar w:fldCharType="separate"/>
          </w:r>
          <w:r>
            <w:rPr>
              <w:rFonts w:hint="eastAsia" w:ascii="黑体" w:hAnsi="黑体" w:eastAsia="黑体" w:cs="黑体"/>
              <w:szCs w:val="28"/>
              <w:lang w:val="en-US" w:eastAsia="zh-CN"/>
            </w:rPr>
            <w:t>2.2 新电改形势下的市场交易模式</w:t>
          </w:r>
          <w:r>
            <w:tab/>
          </w:r>
          <w:r>
            <w:fldChar w:fldCharType="begin"/>
          </w:r>
          <w:r>
            <w:instrText xml:space="preserve"> PAGEREF _Toc31628 \h </w:instrText>
          </w:r>
          <w:r>
            <w:fldChar w:fldCharType="separate"/>
          </w:r>
          <w:r>
            <w:t>6</w:t>
          </w:r>
          <w:r>
            <w:fldChar w:fldCharType="end"/>
          </w:r>
          <w:r>
            <w:fldChar w:fldCharType="end"/>
          </w:r>
        </w:p>
        <w:p>
          <w:pPr>
            <w:pStyle w:val="10"/>
            <w:tabs>
              <w:tab w:val="right" w:leader="dot" w:pos="8312"/>
            </w:tabs>
          </w:pPr>
          <w:r>
            <w:fldChar w:fldCharType="begin"/>
          </w:r>
          <w:r>
            <w:instrText xml:space="preserve"> HYPERLINK \l _Toc6339 </w:instrText>
          </w:r>
          <w:r>
            <w:fldChar w:fldCharType="separate"/>
          </w:r>
          <w:r>
            <w:rPr>
              <w:rFonts w:hint="eastAsia" w:ascii="黑体" w:hAnsi="黑体" w:eastAsia="黑体" w:cs="黑体"/>
              <w:szCs w:val="28"/>
              <w:lang w:val="en-US" w:eastAsia="zh-CN"/>
            </w:rPr>
            <w:t>2.3 国内外电力交易市场现状</w:t>
          </w:r>
          <w:r>
            <w:tab/>
          </w:r>
          <w:r>
            <w:fldChar w:fldCharType="begin"/>
          </w:r>
          <w:r>
            <w:instrText xml:space="preserve"> PAGEREF _Toc6339 \h </w:instrText>
          </w:r>
          <w:r>
            <w:fldChar w:fldCharType="separate"/>
          </w:r>
          <w:r>
            <w:t>8</w:t>
          </w:r>
          <w:r>
            <w:fldChar w:fldCharType="end"/>
          </w:r>
          <w:r>
            <w:fldChar w:fldCharType="end"/>
          </w:r>
        </w:p>
        <w:p>
          <w:pPr>
            <w:pStyle w:val="10"/>
            <w:tabs>
              <w:tab w:val="right" w:leader="dot" w:pos="8312"/>
            </w:tabs>
          </w:pPr>
          <w:r>
            <w:fldChar w:fldCharType="begin"/>
          </w:r>
          <w:r>
            <w:instrText xml:space="preserve"> HYPERLINK \l _Toc19660 </w:instrText>
          </w:r>
          <w:r>
            <w:fldChar w:fldCharType="separate"/>
          </w:r>
          <w:r>
            <w:rPr>
              <w:rFonts w:hint="eastAsia" w:ascii="黑体" w:hAnsi="黑体" w:eastAsia="黑体" w:cs="黑体"/>
              <w:szCs w:val="28"/>
              <w:lang w:val="en-US" w:eastAsia="zh-CN"/>
            </w:rPr>
            <w:t xml:space="preserve">2.4 </w:t>
          </w:r>
          <w:r>
            <w:rPr>
              <w:rFonts w:hint="eastAsia" w:ascii="黑体" w:hAnsi="黑体" w:eastAsia="黑体" w:cs="黑体"/>
              <w:szCs w:val="28"/>
            </w:rPr>
            <w:t>华电现状</w:t>
          </w:r>
          <w:r>
            <w:tab/>
          </w:r>
          <w:r>
            <w:fldChar w:fldCharType="begin"/>
          </w:r>
          <w:r>
            <w:instrText xml:space="preserve"> PAGEREF _Toc19660 \h </w:instrText>
          </w:r>
          <w:r>
            <w:fldChar w:fldCharType="separate"/>
          </w:r>
          <w:r>
            <w:t>13</w:t>
          </w:r>
          <w:r>
            <w:fldChar w:fldCharType="end"/>
          </w:r>
          <w:r>
            <w:fldChar w:fldCharType="end"/>
          </w:r>
        </w:p>
        <w:p>
          <w:pPr>
            <w:pStyle w:val="9"/>
            <w:tabs>
              <w:tab w:val="right" w:leader="dot" w:pos="8312"/>
            </w:tabs>
          </w:pPr>
          <w:r>
            <w:fldChar w:fldCharType="begin"/>
          </w:r>
          <w:r>
            <w:instrText xml:space="preserve"> HYPERLINK \l _Toc3797 </w:instrText>
          </w:r>
          <w:r>
            <w:fldChar w:fldCharType="separate"/>
          </w:r>
          <w:r>
            <w:rPr>
              <w:rFonts w:hint="eastAsia"/>
              <w:szCs w:val="30"/>
              <w:lang w:val="en-US" w:eastAsia="zh-CN"/>
            </w:rPr>
            <w:t>三、建设</w:t>
          </w:r>
          <w:r>
            <w:rPr>
              <w:rFonts w:hint="eastAsia"/>
              <w:szCs w:val="30"/>
            </w:rPr>
            <w:t>内容</w:t>
          </w:r>
          <w:r>
            <w:tab/>
          </w:r>
          <w:r>
            <w:fldChar w:fldCharType="begin"/>
          </w:r>
          <w:r>
            <w:instrText xml:space="preserve"> PAGEREF _Toc3797 \h </w:instrText>
          </w:r>
          <w:r>
            <w:fldChar w:fldCharType="separate"/>
          </w:r>
          <w:r>
            <w:t>17</w:t>
          </w:r>
          <w:r>
            <w:fldChar w:fldCharType="end"/>
          </w:r>
          <w:r>
            <w:fldChar w:fldCharType="end"/>
          </w:r>
        </w:p>
        <w:p>
          <w:pPr>
            <w:pStyle w:val="10"/>
            <w:tabs>
              <w:tab w:val="right" w:leader="dot" w:pos="8312"/>
            </w:tabs>
          </w:pPr>
          <w:r>
            <w:fldChar w:fldCharType="begin"/>
          </w:r>
          <w:r>
            <w:instrText xml:space="preserve"> HYPERLINK \l _Toc27325 </w:instrText>
          </w:r>
          <w:r>
            <w:fldChar w:fldCharType="separate"/>
          </w:r>
          <w:r>
            <w:rPr>
              <w:rFonts w:hint="eastAsia" w:ascii="黑体" w:hAnsi="黑体" w:eastAsia="黑体" w:cs="黑体"/>
              <w:szCs w:val="28"/>
              <w:lang w:val="en-US" w:eastAsia="zh-CN"/>
            </w:rPr>
            <w:t>3.1 新电改形势下的中长期电力市场化交易优化研究</w:t>
          </w:r>
          <w:r>
            <w:tab/>
          </w:r>
          <w:r>
            <w:fldChar w:fldCharType="begin"/>
          </w:r>
          <w:r>
            <w:instrText xml:space="preserve"> PAGEREF _Toc27325 \h </w:instrText>
          </w:r>
          <w:r>
            <w:fldChar w:fldCharType="separate"/>
          </w:r>
          <w:r>
            <w:t>17</w:t>
          </w:r>
          <w:r>
            <w:fldChar w:fldCharType="end"/>
          </w:r>
          <w:r>
            <w:fldChar w:fldCharType="end"/>
          </w:r>
        </w:p>
        <w:p>
          <w:pPr>
            <w:pStyle w:val="10"/>
            <w:tabs>
              <w:tab w:val="right" w:leader="dot" w:pos="8312"/>
            </w:tabs>
          </w:pPr>
          <w:r>
            <w:fldChar w:fldCharType="begin"/>
          </w:r>
          <w:r>
            <w:instrText xml:space="preserve"> HYPERLINK \l _Toc31660 </w:instrText>
          </w:r>
          <w:r>
            <w:fldChar w:fldCharType="separate"/>
          </w:r>
          <w:r>
            <w:rPr>
              <w:rFonts w:hint="eastAsia" w:ascii="黑体" w:hAnsi="黑体" w:eastAsia="黑体" w:cs="黑体"/>
              <w:szCs w:val="28"/>
              <w:lang w:val="en-US" w:eastAsia="zh-CN"/>
            </w:rPr>
            <w:t>3.2 数据驱动的供应链管理、优化与增值业务研究</w:t>
          </w:r>
          <w:r>
            <w:tab/>
          </w:r>
          <w:r>
            <w:fldChar w:fldCharType="begin"/>
          </w:r>
          <w:r>
            <w:instrText xml:space="preserve"> PAGEREF _Toc31660 \h </w:instrText>
          </w:r>
          <w:r>
            <w:fldChar w:fldCharType="separate"/>
          </w:r>
          <w:r>
            <w:t>17</w:t>
          </w:r>
          <w:r>
            <w:fldChar w:fldCharType="end"/>
          </w:r>
          <w:r>
            <w:fldChar w:fldCharType="end"/>
          </w:r>
        </w:p>
        <w:p>
          <w:pPr>
            <w:pStyle w:val="10"/>
            <w:tabs>
              <w:tab w:val="right" w:leader="dot" w:pos="8312"/>
            </w:tabs>
          </w:pPr>
          <w:r>
            <w:fldChar w:fldCharType="begin"/>
          </w:r>
          <w:r>
            <w:instrText xml:space="preserve"> HYPERLINK \l _Toc31450 </w:instrText>
          </w:r>
          <w:r>
            <w:fldChar w:fldCharType="separate"/>
          </w:r>
          <w:r>
            <w:rPr>
              <w:rFonts w:hint="eastAsia" w:ascii="黑体" w:hAnsi="黑体" w:eastAsia="黑体" w:cs="黑体"/>
              <w:szCs w:val="28"/>
              <w:lang w:val="en-US" w:eastAsia="zh-CN"/>
            </w:rPr>
            <w:t>3.3撰写《电力全产业链综合服务支撑平台推进方案暨可行性分析》报告</w:t>
          </w:r>
          <w:r>
            <w:tab/>
          </w:r>
          <w:r>
            <w:fldChar w:fldCharType="begin"/>
          </w:r>
          <w:r>
            <w:instrText xml:space="preserve"> PAGEREF _Toc31450 \h </w:instrText>
          </w:r>
          <w:r>
            <w:fldChar w:fldCharType="separate"/>
          </w:r>
          <w:r>
            <w:t>18</w:t>
          </w:r>
          <w:r>
            <w:fldChar w:fldCharType="end"/>
          </w:r>
          <w:r>
            <w:fldChar w:fldCharType="end"/>
          </w:r>
        </w:p>
        <w:p>
          <w:pPr>
            <w:pStyle w:val="9"/>
            <w:tabs>
              <w:tab w:val="right" w:leader="dot" w:pos="8312"/>
            </w:tabs>
          </w:pPr>
          <w:r>
            <w:fldChar w:fldCharType="begin"/>
          </w:r>
          <w:r>
            <w:instrText xml:space="preserve"> HYPERLINK \l _Toc18321 </w:instrText>
          </w:r>
          <w:r>
            <w:fldChar w:fldCharType="separate"/>
          </w:r>
          <w:r>
            <w:rPr>
              <w:rFonts w:hint="eastAsia"/>
              <w:szCs w:val="30"/>
              <w:lang w:val="en-US" w:eastAsia="zh-CN"/>
            </w:rPr>
            <w:t>四、技术路线</w:t>
          </w:r>
          <w:r>
            <w:tab/>
          </w:r>
          <w:r>
            <w:fldChar w:fldCharType="begin"/>
          </w:r>
          <w:r>
            <w:instrText xml:space="preserve"> PAGEREF _Toc18321 \h </w:instrText>
          </w:r>
          <w:r>
            <w:fldChar w:fldCharType="separate"/>
          </w:r>
          <w:r>
            <w:t>19</w:t>
          </w:r>
          <w:r>
            <w:fldChar w:fldCharType="end"/>
          </w:r>
          <w:r>
            <w:fldChar w:fldCharType="end"/>
          </w:r>
        </w:p>
        <w:p>
          <w:pPr>
            <w:pStyle w:val="10"/>
            <w:tabs>
              <w:tab w:val="right" w:leader="dot" w:pos="8312"/>
            </w:tabs>
          </w:pPr>
          <w:r>
            <w:fldChar w:fldCharType="begin"/>
          </w:r>
          <w:r>
            <w:instrText xml:space="preserve"> HYPERLINK \l _Toc8728 </w:instrText>
          </w:r>
          <w:r>
            <w:fldChar w:fldCharType="separate"/>
          </w:r>
          <w:r>
            <w:rPr>
              <w:rFonts w:hint="eastAsia" w:ascii="黑体" w:hAnsi="黑体" w:eastAsia="黑体" w:cs="黑体"/>
              <w:szCs w:val="28"/>
              <w:lang w:val="en-US" w:eastAsia="zh-CN"/>
            </w:rPr>
            <w:t>4.1 考虑发电权交易的中长期电能量市场交易机制</w:t>
          </w:r>
          <w:r>
            <w:tab/>
          </w:r>
          <w:r>
            <w:fldChar w:fldCharType="begin"/>
          </w:r>
          <w:r>
            <w:instrText xml:space="preserve"> PAGEREF _Toc8728 \h </w:instrText>
          </w:r>
          <w:r>
            <w:fldChar w:fldCharType="separate"/>
          </w:r>
          <w:r>
            <w:t>19</w:t>
          </w:r>
          <w:r>
            <w:fldChar w:fldCharType="end"/>
          </w:r>
          <w:r>
            <w:fldChar w:fldCharType="end"/>
          </w:r>
        </w:p>
        <w:p>
          <w:pPr>
            <w:pStyle w:val="10"/>
            <w:tabs>
              <w:tab w:val="right" w:leader="dot" w:pos="8312"/>
            </w:tabs>
          </w:pPr>
          <w:r>
            <w:fldChar w:fldCharType="begin"/>
          </w:r>
          <w:r>
            <w:instrText xml:space="preserve"> HYPERLINK \l _Toc12844 </w:instrText>
          </w:r>
          <w:r>
            <w:fldChar w:fldCharType="separate"/>
          </w:r>
          <w:r>
            <w:rPr>
              <w:rFonts w:hint="eastAsia" w:ascii="黑体" w:hAnsi="黑体" w:eastAsia="黑体" w:cs="黑体"/>
              <w:szCs w:val="28"/>
              <w:lang w:val="en-US" w:eastAsia="zh-CN"/>
            </w:rPr>
            <w:t>4.2 电力远期合同-现货市场联合运营机制</w:t>
          </w:r>
          <w:r>
            <w:tab/>
          </w:r>
          <w:r>
            <w:fldChar w:fldCharType="begin"/>
          </w:r>
          <w:r>
            <w:instrText xml:space="preserve"> PAGEREF _Toc12844 \h </w:instrText>
          </w:r>
          <w:r>
            <w:fldChar w:fldCharType="separate"/>
          </w:r>
          <w:r>
            <w:t>25</w:t>
          </w:r>
          <w:r>
            <w:fldChar w:fldCharType="end"/>
          </w:r>
          <w:r>
            <w:fldChar w:fldCharType="end"/>
          </w:r>
        </w:p>
        <w:p>
          <w:pPr>
            <w:pStyle w:val="10"/>
            <w:tabs>
              <w:tab w:val="right" w:leader="dot" w:pos="8312"/>
            </w:tabs>
          </w:pPr>
          <w:r>
            <w:fldChar w:fldCharType="begin"/>
          </w:r>
          <w:r>
            <w:instrText xml:space="preserve"> HYPERLINK \l _Toc15844 </w:instrText>
          </w:r>
          <w:r>
            <w:fldChar w:fldCharType="separate"/>
          </w:r>
          <w:r>
            <w:rPr>
              <w:rFonts w:hint="eastAsia" w:ascii="黑体" w:hAnsi="黑体" w:eastAsia="黑体" w:cs="黑体"/>
              <w:szCs w:val="28"/>
              <w:lang w:val="en-US" w:eastAsia="zh-CN"/>
            </w:rPr>
            <w:t>4.3 新电改形势下的华电火电厂营销策略优化</w:t>
          </w:r>
          <w:r>
            <w:tab/>
          </w:r>
          <w:r>
            <w:fldChar w:fldCharType="begin"/>
          </w:r>
          <w:r>
            <w:instrText xml:space="preserve"> PAGEREF _Toc15844 \h </w:instrText>
          </w:r>
          <w:r>
            <w:fldChar w:fldCharType="separate"/>
          </w:r>
          <w:r>
            <w:t>31</w:t>
          </w:r>
          <w:r>
            <w:fldChar w:fldCharType="end"/>
          </w:r>
          <w:r>
            <w:fldChar w:fldCharType="end"/>
          </w:r>
        </w:p>
        <w:p>
          <w:pPr>
            <w:pStyle w:val="10"/>
            <w:tabs>
              <w:tab w:val="right" w:leader="dot" w:pos="8312"/>
            </w:tabs>
          </w:pPr>
          <w:r>
            <w:fldChar w:fldCharType="begin"/>
          </w:r>
          <w:r>
            <w:instrText xml:space="preserve"> HYPERLINK \l _Toc22038 </w:instrText>
          </w:r>
          <w:r>
            <w:fldChar w:fldCharType="separate"/>
          </w:r>
          <w:r>
            <w:rPr>
              <w:rFonts w:hint="eastAsia" w:ascii="黑体" w:hAnsi="黑体" w:eastAsia="黑体" w:cs="黑体"/>
              <w:szCs w:val="28"/>
              <w:lang w:val="en-US" w:eastAsia="zh-CN"/>
            </w:rPr>
            <w:t>4.4 数据驱动的供应链管理、优化与增值业务研究</w:t>
          </w:r>
          <w:r>
            <w:tab/>
          </w:r>
          <w:r>
            <w:fldChar w:fldCharType="begin"/>
          </w:r>
          <w:r>
            <w:instrText xml:space="preserve"> PAGEREF _Toc22038 \h </w:instrText>
          </w:r>
          <w:r>
            <w:fldChar w:fldCharType="separate"/>
          </w:r>
          <w:r>
            <w:t>34</w:t>
          </w:r>
          <w:r>
            <w:fldChar w:fldCharType="end"/>
          </w:r>
          <w:r>
            <w:fldChar w:fldCharType="end"/>
          </w:r>
        </w:p>
        <w:p>
          <w:pPr>
            <w:pStyle w:val="9"/>
            <w:tabs>
              <w:tab w:val="right" w:leader="dot" w:pos="8312"/>
            </w:tabs>
          </w:pPr>
          <w:r>
            <w:fldChar w:fldCharType="begin"/>
          </w:r>
          <w:r>
            <w:instrText xml:space="preserve"> HYPERLINK \l _Toc19938 </w:instrText>
          </w:r>
          <w:r>
            <w:fldChar w:fldCharType="separate"/>
          </w:r>
          <w:r>
            <w:rPr>
              <w:rFonts w:hint="eastAsia"/>
              <w:szCs w:val="30"/>
              <w:lang w:val="en-US" w:eastAsia="zh-CN"/>
            </w:rPr>
            <w:t>五、 总结</w:t>
          </w:r>
          <w:r>
            <w:tab/>
          </w:r>
          <w:r>
            <w:fldChar w:fldCharType="begin"/>
          </w:r>
          <w:r>
            <w:instrText xml:space="preserve"> PAGEREF _Toc19938 \h </w:instrText>
          </w:r>
          <w:r>
            <w:fldChar w:fldCharType="separate"/>
          </w:r>
          <w:r>
            <w:t>39</w:t>
          </w:r>
          <w:r>
            <w:fldChar w:fldCharType="end"/>
          </w:r>
          <w:r>
            <w:fldChar w:fldCharType="end"/>
          </w:r>
        </w:p>
        <w:p>
          <w:r>
            <w:fldChar w:fldCharType="end"/>
          </w:r>
        </w:p>
      </w:sdtContent>
    </w:sdt>
    <w:p>
      <w:pPr>
        <w:adjustRightInd w:val="0"/>
        <w:snapToGrid w:val="0"/>
        <w:spacing w:line="360" w:lineRule="auto"/>
        <w:outlineLvl w:val="0"/>
        <w:rPr>
          <w:rStyle w:val="18"/>
          <w:rFonts w:hint="eastAsia"/>
          <w:sz w:val="30"/>
          <w:szCs w:val="30"/>
          <w:lang w:val="en-US" w:eastAsia="zh-CN"/>
        </w:rPr>
        <w:sectPr>
          <w:footerReference r:id="rId4" w:type="default"/>
          <w:pgSz w:w="11906" w:h="16838"/>
          <w:pgMar w:top="1440" w:right="1797" w:bottom="1440" w:left="1797" w:header="851" w:footer="992" w:gutter="0"/>
          <w:pgNumType w:start="1"/>
          <w:cols w:space="720" w:num="1"/>
          <w:docGrid w:type="lines" w:linePitch="380" w:charSpace="0"/>
        </w:sectPr>
      </w:pPr>
      <w:bookmarkStart w:id="30" w:name="_GoBack"/>
      <w:bookmarkEnd w:id="30"/>
    </w:p>
    <w:p>
      <w:pPr>
        <w:adjustRightInd w:val="0"/>
        <w:snapToGrid w:val="0"/>
        <w:spacing w:line="360" w:lineRule="auto"/>
        <w:outlineLvl w:val="0"/>
        <w:rPr>
          <w:rFonts w:ascii="仿宋_GB2312" w:eastAsia="仿宋_GB2312"/>
          <w:b/>
          <w:sz w:val="30"/>
        </w:rPr>
      </w:pPr>
      <w:bookmarkStart w:id="9" w:name="_Toc26716"/>
      <w:r>
        <w:rPr>
          <w:rStyle w:val="18"/>
          <w:rFonts w:hint="eastAsia"/>
          <w:sz w:val="30"/>
          <w:szCs w:val="30"/>
          <w:lang w:val="en-US" w:eastAsia="zh-CN"/>
        </w:rPr>
        <w:t>一、</w:t>
      </w:r>
      <w:r>
        <w:rPr>
          <w:rStyle w:val="18"/>
          <w:rFonts w:hint="eastAsia"/>
          <w:sz w:val="30"/>
          <w:szCs w:val="30"/>
        </w:rPr>
        <w:t>背景和意义</w:t>
      </w:r>
      <w:bookmarkEnd w:id="9"/>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全产业链涵盖生产与采购、贸易与物流、加工与深加工、品牌建立、产品销售等多个环节构成的完整的产业链系统。全产业链</w:t>
      </w:r>
      <w:r>
        <w:rPr>
          <w:rFonts w:hint="eastAsia" w:ascii="宋体" w:hAnsi="宋体" w:cs="宋体"/>
          <w:sz w:val="24"/>
          <w:szCs w:val="24"/>
          <w:lang w:val="en-US" w:eastAsia="zh-CN"/>
        </w:rPr>
        <w:t>协同</w:t>
      </w:r>
      <w:r>
        <w:rPr>
          <w:rFonts w:hint="eastAsia" w:ascii="宋体" w:hAnsi="宋体" w:eastAsia="宋体" w:cs="宋体"/>
          <w:sz w:val="24"/>
          <w:szCs w:val="24"/>
        </w:rPr>
        <w:t>实质上是企业通过组织内部的管理协调来替代市场机制进行商品交换和资源配置的方式。发电企业一方面与电网侧实时对接动态发电业务需求</w:t>
      </w:r>
      <w:r>
        <w:rPr>
          <w:rFonts w:hint="eastAsia" w:ascii="宋体" w:hAnsi="宋体" w:cs="宋体"/>
          <w:sz w:val="24"/>
          <w:szCs w:val="24"/>
          <w:lang w:eastAsia="zh-CN"/>
        </w:rPr>
        <w:t>，</w:t>
      </w:r>
      <w:r>
        <w:rPr>
          <w:rFonts w:hint="eastAsia" w:ascii="宋体" w:hAnsi="宋体" w:cs="宋体"/>
          <w:sz w:val="24"/>
          <w:szCs w:val="24"/>
          <w:lang w:val="en-US" w:eastAsia="zh-CN"/>
        </w:rPr>
        <w:t>产业链包括新型电力交易市场下的电力交易与营销，</w:t>
      </w:r>
      <w:r>
        <w:rPr>
          <w:rFonts w:hint="eastAsia" w:ascii="宋体" w:hAnsi="宋体" w:eastAsia="宋体" w:cs="宋体"/>
          <w:sz w:val="24"/>
          <w:szCs w:val="24"/>
        </w:rPr>
        <w:t>发电机组</w:t>
      </w:r>
      <w:r>
        <w:rPr>
          <w:rFonts w:hint="eastAsia" w:ascii="宋体" w:hAnsi="宋体" w:cs="宋体"/>
          <w:sz w:val="24"/>
          <w:szCs w:val="24"/>
          <w:lang w:val="en-US" w:eastAsia="zh-CN"/>
        </w:rPr>
        <w:t>生产过程的提效降本等范畴</w:t>
      </w:r>
      <w:r>
        <w:rPr>
          <w:rFonts w:hint="eastAsia" w:ascii="宋体" w:hAnsi="宋体" w:eastAsia="宋体" w:cs="宋体"/>
          <w:sz w:val="24"/>
          <w:szCs w:val="24"/>
        </w:rPr>
        <w:t>；</w:t>
      </w:r>
      <w:r>
        <w:rPr>
          <w:rFonts w:hint="eastAsia" w:ascii="宋体" w:hAnsi="宋体" w:cs="宋体"/>
          <w:sz w:val="24"/>
          <w:szCs w:val="24"/>
          <w:lang w:val="en-US" w:eastAsia="zh-CN"/>
        </w:rPr>
        <w:t>另</w:t>
      </w:r>
      <w:r>
        <w:rPr>
          <w:rFonts w:hint="eastAsia" w:ascii="宋体" w:hAnsi="宋体" w:eastAsia="宋体" w:cs="宋体"/>
          <w:sz w:val="24"/>
          <w:szCs w:val="24"/>
        </w:rPr>
        <w:t>一方面</w:t>
      </w:r>
      <w:r>
        <w:rPr>
          <w:rFonts w:hint="eastAsia" w:ascii="宋体" w:hAnsi="宋体" w:cs="宋体"/>
          <w:sz w:val="24"/>
          <w:szCs w:val="24"/>
          <w:lang w:eastAsia="zh-CN"/>
        </w:rPr>
        <w:t>，</w:t>
      </w:r>
      <w:r>
        <w:rPr>
          <w:rFonts w:hint="eastAsia" w:ascii="宋体" w:hAnsi="宋体" w:cs="宋体"/>
          <w:sz w:val="24"/>
          <w:szCs w:val="24"/>
          <w:lang w:val="en-US" w:eastAsia="zh-CN"/>
        </w:rPr>
        <w:t>发电企业</w:t>
      </w:r>
      <w:r>
        <w:rPr>
          <w:rFonts w:hint="eastAsia" w:ascii="宋体" w:hAnsi="宋体" w:eastAsia="宋体" w:cs="宋体"/>
          <w:sz w:val="24"/>
          <w:szCs w:val="24"/>
        </w:rPr>
        <w:t>开展矿产资源、设备配件等相关产业贸易</w:t>
      </w:r>
      <w:r>
        <w:rPr>
          <w:rFonts w:hint="eastAsia" w:ascii="宋体" w:hAnsi="宋体" w:cs="宋体"/>
          <w:sz w:val="24"/>
          <w:szCs w:val="24"/>
          <w:lang w:eastAsia="zh-CN"/>
        </w:rPr>
        <w:t>，</w:t>
      </w:r>
      <w:r>
        <w:rPr>
          <w:rFonts w:hint="eastAsia" w:ascii="宋体" w:hAnsi="宋体" w:cs="宋体"/>
          <w:sz w:val="24"/>
          <w:szCs w:val="24"/>
          <w:lang w:val="en-US" w:eastAsia="zh-CN"/>
        </w:rPr>
        <w:t>产业链包括</w:t>
      </w:r>
      <w:r>
        <w:rPr>
          <w:rFonts w:hint="eastAsia" w:ascii="宋体" w:hAnsi="宋体" w:eastAsia="宋体" w:cs="宋体"/>
          <w:sz w:val="24"/>
          <w:szCs w:val="24"/>
        </w:rPr>
        <w:t>上下游供应链</w:t>
      </w:r>
      <w:r>
        <w:rPr>
          <w:rFonts w:hint="eastAsia" w:ascii="宋体" w:hAnsi="宋体" w:cs="宋体"/>
          <w:sz w:val="24"/>
          <w:szCs w:val="24"/>
          <w:lang w:val="en-US" w:eastAsia="zh-CN"/>
        </w:rPr>
        <w:t>资源</w:t>
      </w:r>
      <w:r>
        <w:rPr>
          <w:rFonts w:hint="eastAsia" w:ascii="宋体" w:hAnsi="宋体" w:eastAsia="宋体" w:cs="宋体"/>
          <w:sz w:val="24"/>
          <w:szCs w:val="24"/>
        </w:rPr>
        <w:t>配置</w:t>
      </w:r>
      <w:r>
        <w:rPr>
          <w:rFonts w:hint="eastAsia" w:ascii="宋体" w:hAnsi="宋体" w:cs="宋体"/>
          <w:sz w:val="24"/>
          <w:szCs w:val="24"/>
          <w:lang w:eastAsia="zh-CN"/>
        </w:rPr>
        <w:t>、</w:t>
      </w:r>
      <w:r>
        <w:rPr>
          <w:rFonts w:hint="eastAsia" w:ascii="宋体" w:hAnsi="宋体" w:cs="宋体"/>
          <w:sz w:val="24"/>
          <w:szCs w:val="24"/>
          <w:lang w:val="en-US" w:eastAsia="zh-CN"/>
        </w:rPr>
        <w:t>数据融合与优化</w:t>
      </w:r>
      <w:r>
        <w:rPr>
          <w:rFonts w:hint="eastAsia" w:ascii="宋体" w:hAnsi="宋体" w:eastAsia="宋体" w:cs="宋体"/>
          <w:sz w:val="24"/>
          <w:szCs w:val="24"/>
        </w:rPr>
        <w:t>管理。因此，发电企业对内、对外的数据融合联通，通过上下游供应链协同、信息高效传递，能够提高资源的合理分配效率，提升行业的盈利与抗风险能力，促进价值链各环节间战略有机协同，共同推动产业升级。</w:t>
      </w:r>
      <w:r>
        <w:rPr>
          <w:rFonts w:hint="eastAsia" w:ascii="宋体" w:hAnsi="宋体" w:cs="宋体"/>
          <w:sz w:val="24"/>
          <w:szCs w:val="24"/>
          <w:lang w:val="en-US" w:eastAsia="zh-CN"/>
        </w:rPr>
        <w:t>此外，</w:t>
      </w:r>
      <w:r>
        <w:rPr>
          <w:rFonts w:hint="eastAsia" w:ascii="宋体" w:hAnsi="宋体" w:eastAsia="宋体" w:cs="宋体"/>
          <w:sz w:val="24"/>
          <w:szCs w:val="24"/>
        </w:rPr>
        <w:t>在产业链数据融合基础上</w:t>
      </w:r>
      <w:r>
        <w:rPr>
          <w:rFonts w:hint="eastAsia" w:ascii="宋体" w:hAnsi="宋体" w:cs="宋体"/>
          <w:sz w:val="24"/>
          <w:szCs w:val="24"/>
          <w:lang w:val="en-US" w:eastAsia="zh-CN"/>
        </w:rPr>
        <w:t>引入金融服务板块，</w:t>
      </w:r>
      <w:r>
        <w:rPr>
          <w:rFonts w:hint="eastAsia" w:ascii="宋体" w:hAnsi="宋体" w:eastAsia="宋体" w:cs="宋体"/>
          <w:sz w:val="24"/>
          <w:szCs w:val="24"/>
        </w:rPr>
        <w:t>建设供应链金融平台，提供全产业链金融服务新方法</w:t>
      </w:r>
      <w:r>
        <w:rPr>
          <w:rFonts w:hint="eastAsia" w:ascii="宋体" w:hAnsi="宋体" w:cs="宋体"/>
          <w:sz w:val="24"/>
          <w:szCs w:val="24"/>
          <w:lang w:eastAsia="zh-CN"/>
        </w:rPr>
        <w:t>、</w:t>
      </w:r>
      <w:r>
        <w:rPr>
          <w:rFonts w:hint="eastAsia" w:ascii="宋体" w:hAnsi="宋体" w:cs="宋体"/>
          <w:sz w:val="24"/>
          <w:szCs w:val="24"/>
          <w:lang w:val="en-US" w:eastAsia="zh-CN"/>
        </w:rPr>
        <w:t>新平台、新模式</w:t>
      </w:r>
      <w:r>
        <w:rPr>
          <w:rFonts w:hint="eastAsia" w:ascii="宋体" w:hAnsi="宋体" w:eastAsia="宋体" w:cs="宋体"/>
          <w:sz w:val="24"/>
          <w:szCs w:val="24"/>
        </w:rPr>
        <w:t>。</w:t>
      </w:r>
      <w:r>
        <w:rPr>
          <w:rFonts w:hint="eastAsia" w:ascii="宋体" w:hAnsi="宋体" w:cs="宋体"/>
          <w:sz w:val="24"/>
          <w:szCs w:val="24"/>
          <w:lang w:val="en-US" w:eastAsia="zh-CN"/>
        </w:rPr>
        <w:t>全产业链协同</w:t>
      </w:r>
      <w:r>
        <w:rPr>
          <w:rFonts w:hint="eastAsia" w:ascii="宋体" w:hAnsi="宋体" w:eastAsia="宋体" w:cs="宋体"/>
          <w:sz w:val="24"/>
          <w:szCs w:val="24"/>
        </w:rPr>
        <w:t>以“价值共生”为中心，从生态战略、平台赋能和价值共创三个维度结合人工智能、物联网</w:t>
      </w:r>
      <w:r>
        <w:rPr>
          <w:rFonts w:hint="eastAsia" w:ascii="宋体" w:hAnsi="宋体" w:cs="宋体"/>
          <w:sz w:val="24"/>
          <w:szCs w:val="24"/>
          <w:lang w:eastAsia="zh-CN"/>
        </w:rPr>
        <w:t>、</w:t>
      </w:r>
      <w:r>
        <w:rPr>
          <w:rFonts w:hint="eastAsia" w:ascii="宋体" w:hAnsi="宋体" w:eastAsia="宋体" w:cs="宋体"/>
          <w:sz w:val="24"/>
          <w:szCs w:val="24"/>
        </w:rPr>
        <w:t>大数据</w:t>
      </w:r>
      <w:r>
        <w:rPr>
          <w:rFonts w:hint="eastAsia" w:ascii="宋体" w:hAnsi="宋体" w:cs="宋体"/>
          <w:sz w:val="24"/>
          <w:szCs w:val="24"/>
          <w:lang w:eastAsia="zh-CN"/>
        </w:rPr>
        <w:t>、</w:t>
      </w:r>
      <w:r>
        <w:rPr>
          <w:rFonts w:hint="eastAsia" w:ascii="宋体" w:hAnsi="宋体" w:cs="宋体"/>
          <w:sz w:val="24"/>
          <w:szCs w:val="24"/>
          <w:lang w:val="en-US" w:eastAsia="zh-CN"/>
        </w:rPr>
        <w:t>区块链</w:t>
      </w:r>
      <w:r>
        <w:rPr>
          <w:rFonts w:hint="eastAsia" w:ascii="宋体" w:hAnsi="宋体" w:eastAsia="宋体" w:cs="宋体"/>
          <w:sz w:val="24"/>
          <w:szCs w:val="24"/>
        </w:rPr>
        <w:t>等技术打造平台生态圈，具有重要的科研与应用价值。</w:t>
      </w:r>
    </w:p>
    <w:p>
      <w:pPr>
        <w:adjustRightInd w:val="0"/>
        <w:snapToGrid w:val="0"/>
        <w:spacing w:line="360" w:lineRule="auto"/>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从理论意义上来看，目前国内外对于发电企业成本管理的相关研究相对较多，但借助</w:t>
      </w:r>
      <w:r>
        <w:rPr>
          <w:rFonts w:hint="eastAsia" w:ascii="宋体" w:hAnsi="宋体" w:cs="宋体"/>
          <w:b w:val="0"/>
          <w:bCs/>
          <w:sz w:val="24"/>
          <w:szCs w:val="24"/>
          <w:lang w:val="en-US" w:eastAsia="zh-CN"/>
        </w:rPr>
        <w:t>全产业链</w:t>
      </w:r>
      <w:r>
        <w:rPr>
          <w:rFonts w:hint="eastAsia" w:ascii="宋体" w:hAnsi="宋体" w:eastAsia="宋体" w:cs="宋体"/>
          <w:b w:val="0"/>
          <w:bCs/>
          <w:sz w:val="24"/>
          <w:szCs w:val="24"/>
        </w:rPr>
        <w:t>理论于发电企业展开相应</w:t>
      </w:r>
      <w:r>
        <w:rPr>
          <w:rFonts w:hint="eastAsia" w:ascii="宋体" w:hAnsi="宋体" w:cs="宋体"/>
          <w:b w:val="0"/>
          <w:bCs/>
          <w:sz w:val="24"/>
          <w:szCs w:val="24"/>
          <w:lang w:val="en-US" w:eastAsia="zh-CN"/>
        </w:rPr>
        <w:t>电力销售</w:t>
      </w:r>
      <w:r>
        <w:rPr>
          <w:rFonts w:hint="eastAsia" w:ascii="宋体" w:hAnsi="宋体" w:cs="宋体"/>
          <w:b w:val="0"/>
          <w:bCs/>
          <w:sz w:val="24"/>
          <w:szCs w:val="24"/>
          <w:lang w:eastAsia="zh-CN"/>
        </w:rPr>
        <w:t>、</w:t>
      </w:r>
      <w:r>
        <w:rPr>
          <w:rFonts w:hint="eastAsia" w:ascii="宋体" w:hAnsi="宋体" w:cs="宋体"/>
          <w:b w:val="0"/>
          <w:bCs/>
          <w:sz w:val="24"/>
          <w:szCs w:val="24"/>
          <w:lang w:val="en-US" w:eastAsia="zh-CN"/>
        </w:rPr>
        <w:t>生产优化、</w:t>
      </w:r>
      <w:r>
        <w:rPr>
          <w:rFonts w:hint="eastAsia" w:ascii="宋体" w:hAnsi="宋体" w:eastAsia="宋体" w:cs="宋体"/>
          <w:b w:val="0"/>
          <w:bCs/>
          <w:sz w:val="24"/>
          <w:szCs w:val="24"/>
        </w:rPr>
        <w:t>成本管理方面的研究相对较少，且没有系统的研究体系。本</w:t>
      </w:r>
      <w:r>
        <w:rPr>
          <w:rFonts w:hint="eastAsia" w:ascii="宋体" w:hAnsi="宋体" w:cs="宋体"/>
          <w:b w:val="0"/>
          <w:bCs/>
          <w:sz w:val="24"/>
          <w:szCs w:val="24"/>
          <w:lang w:val="en-US" w:eastAsia="zh-CN"/>
        </w:rPr>
        <w:t>项目</w:t>
      </w:r>
      <w:r>
        <w:rPr>
          <w:rFonts w:hint="eastAsia" w:ascii="宋体" w:hAnsi="宋体" w:eastAsia="宋体" w:cs="宋体"/>
          <w:b w:val="0"/>
          <w:bCs/>
          <w:sz w:val="24"/>
          <w:szCs w:val="24"/>
        </w:rPr>
        <w:t>基于</w:t>
      </w:r>
      <w:r>
        <w:rPr>
          <w:rFonts w:hint="eastAsia" w:ascii="宋体" w:hAnsi="宋体" w:cs="宋体"/>
          <w:b w:val="0"/>
          <w:bCs/>
          <w:sz w:val="24"/>
          <w:szCs w:val="24"/>
          <w:lang w:val="en-US" w:eastAsia="zh-CN"/>
        </w:rPr>
        <w:t>产业链</w:t>
      </w:r>
      <w:r>
        <w:rPr>
          <w:rFonts w:hint="eastAsia" w:ascii="宋体" w:hAnsi="宋体" w:eastAsia="宋体" w:cs="宋体"/>
          <w:b w:val="0"/>
          <w:bCs/>
          <w:sz w:val="24"/>
          <w:szCs w:val="24"/>
        </w:rPr>
        <w:t>相关理论应用于</w:t>
      </w:r>
      <w:r>
        <w:rPr>
          <w:rFonts w:hint="eastAsia" w:ascii="宋体" w:hAnsi="宋体" w:cs="宋体"/>
          <w:b w:val="0"/>
          <w:bCs/>
          <w:sz w:val="24"/>
          <w:szCs w:val="24"/>
          <w:lang w:val="en-US" w:eastAsia="zh-CN"/>
        </w:rPr>
        <w:t>新电改</w:t>
      </w:r>
      <w:r>
        <w:rPr>
          <w:rFonts w:hint="eastAsia" w:ascii="宋体" w:hAnsi="宋体" w:eastAsia="宋体" w:cs="宋体"/>
          <w:b w:val="0"/>
          <w:bCs/>
          <w:sz w:val="24"/>
          <w:szCs w:val="24"/>
        </w:rPr>
        <w:t>形势下</w:t>
      </w:r>
      <w:r>
        <w:rPr>
          <w:rFonts w:hint="eastAsia" w:ascii="宋体" w:hAnsi="宋体" w:cs="宋体"/>
          <w:b w:val="0"/>
          <w:bCs/>
          <w:sz w:val="24"/>
          <w:szCs w:val="24"/>
          <w:lang w:val="en-US" w:eastAsia="zh-CN"/>
        </w:rPr>
        <w:t>的华电集团区域公司电力交易、生产过程优化、供应链管理以及供应链金融等环节</w:t>
      </w:r>
      <w:r>
        <w:rPr>
          <w:rFonts w:hint="eastAsia" w:ascii="宋体" w:hAnsi="宋体" w:eastAsia="宋体" w:cs="宋体"/>
          <w:b w:val="0"/>
          <w:bCs/>
          <w:sz w:val="24"/>
          <w:szCs w:val="24"/>
        </w:rPr>
        <w:t>，</w:t>
      </w:r>
      <w:r>
        <w:rPr>
          <w:rFonts w:hint="eastAsia" w:ascii="宋体" w:hAnsi="宋体" w:cs="宋体"/>
          <w:b w:val="0"/>
          <w:bCs/>
          <w:sz w:val="24"/>
          <w:szCs w:val="24"/>
          <w:lang w:val="en-US" w:eastAsia="zh-CN"/>
        </w:rPr>
        <w:t>探讨</w:t>
      </w:r>
      <w:r>
        <w:rPr>
          <w:rFonts w:hint="eastAsia" w:ascii="宋体" w:hAnsi="宋体" w:eastAsia="宋体" w:cs="宋体"/>
          <w:b w:val="0"/>
          <w:bCs/>
          <w:sz w:val="24"/>
          <w:szCs w:val="24"/>
        </w:rPr>
        <w:t>关键作业环节的成本可控点，可以更深入的了解成本管理的本质及作用，基于</w:t>
      </w:r>
      <w:r>
        <w:rPr>
          <w:rFonts w:hint="eastAsia" w:ascii="宋体" w:hAnsi="宋体" w:cs="宋体"/>
          <w:b w:val="0"/>
          <w:bCs/>
          <w:sz w:val="24"/>
          <w:szCs w:val="24"/>
          <w:lang w:val="en-US" w:eastAsia="zh-CN"/>
        </w:rPr>
        <w:t>产业链</w:t>
      </w:r>
      <w:r>
        <w:rPr>
          <w:rFonts w:hint="eastAsia" w:ascii="宋体" w:hAnsi="宋体" w:eastAsia="宋体" w:cs="宋体"/>
          <w:b w:val="0"/>
          <w:bCs/>
          <w:sz w:val="24"/>
          <w:szCs w:val="24"/>
        </w:rPr>
        <w:t>分析为成本管理的研究提供相对较清晰、逻辑性较强的研究思路。从现实意义上来看，电力能源是国民经济发展的基石，而发电行业本身却面临着严峻的现实问题：</w:t>
      </w:r>
      <w:r>
        <w:rPr>
          <w:rFonts w:hint="eastAsia" w:ascii="宋体" w:hAnsi="宋体" w:cs="宋体"/>
          <w:b w:val="0"/>
          <w:bCs/>
          <w:sz w:val="24"/>
          <w:szCs w:val="24"/>
          <w:lang w:val="en-US" w:eastAsia="zh-CN"/>
        </w:rPr>
        <w:t>新电改下的电力竞争压力，电价与供应链</w:t>
      </w:r>
      <w:r>
        <w:rPr>
          <w:rFonts w:hint="eastAsia" w:ascii="宋体" w:hAnsi="宋体" w:eastAsia="宋体" w:cs="宋体"/>
          <w:b w:val="0"/>
          <w:bCs/>
          <w:sz w:val="24"/>
          <w:szCs w:val="24"/>
        </w:rPr>
        <w:t>价格</w:t>
      </w:r>
      <w:r>
        <w:rPr>
          <w:rFonts w:hint="eastAsia" w:ascii="宋体" w:hAnsi="宋体" w:cs="宋体"/>
          <w:b w:val="0"/>
          <w:bCs/>
          <w:sz w:val="24"/>
          <w:szCs w:val="24"/>
          <w:lang w:val="en-US" w:eastAsia="zh-CN"/>
        </w:rPr>
        <w:t>动态波动不成比例等</w:t>
      </w:r>
      <w:r>
        <w:rPr>
          <w:rFonts w:hint="eastAsia" w:ascii="宋体" w:hAnsi="宋体" w:eastAsia="宋体" w:cs="宋体"/>
          <w:b w:val="0"/>
          <w:bCs/>
          <w:sz w:val="24"/>
          <w:szCs w:val="24"/>
        </w:rPr>
        <w:t>。本</w:t>
      </w:r>
      <w:r>
        <w:rPr>
          <w:rFonts w:hint="eastAsia" w:ascii="宋体" w:hAnsi="宋体" w:cs="宋体"/>
          <w:b w:val="0"/>
          <w:bCs/>
          <w:sz w:val="24"/>
          <w:szCs w:val="24"/>
          <w:lang w:val="en-US" w:eastAsia="zh-CN"/>
        </w:rPr>
        <w:t>报告</w:t>
      </w:r>
      <w:r>
        <w:rPr>
          <w:rFonts w:hint="eastAsia" w:ascii="宋体" w:hAnsi="宋体" w:eastAsia="宋体" w:cs="宋体"/>
          <w:b w:val="0"/>
          <w:bCs/>
          <w:sz w:val="24"/>
          <w:szCs w:val="24"/>
        </w:rPr>
        <w:t>对</w:t>
      </w:r>
      <w:r>
        <w:rPr>
          <w:rFonts w:hint="eastAsia" w:ascii="宋体" w:hAnsi="宋体" w:cs="宋体"/>
          <w:b w:val="0"/>
          <w:bCs/>
          <w:sz w:val="24"/>
          <w:szCs w:val="24"/>
          <w:lang w:val="en-US" w:eastAsia="zh-CN"/>
        </w:rPr>
        <w:t>华电集团</w:t>
      </w:r>
      <w:r>
        <w:rPr>
          <w:rFonts w:hint="eastAsia" w:ascii="宋体" w:hAnsi="宋体" w:eastAsia="宋体" w:cs="宋体"/>
          <w:b w:val="0"/>
          <w:bCs/>
          <w:sz w:val="24"/>
          <w:szCs w:val="24"/>
        </w:rPr>
        <w:t>发电厂</w:t>
      </w:r>
      <w:r>
        <w:rPr>
          <w:rFonts w:hint="eastAsia" w:ascii="宋体" w:hAnsi="宋体" w:cs="宋体"/>
          <w:b w:val="0"/>
          <w:bCs/>
          <w:sz w:val="24"/>
          <w:szCs w:val="24"/>
          <w:lang w:val="en-US" w:eastAsia="zh-CN"/>
        </w:rPr>
        <w:t>现状展开</w:t>
      </w:r>
      <w:r>
        <w:rPr>
          <w:rFonts w:hint="eastAsia" w:ascii="宋体" w:hAnsi="宋体" w:eastAsia="宋体" w:cs="宋体"/>
          <w:b w:val="0"/>
          <w:bCs/>
          <w:sz w:val="24"/>
          <w:szCs w:val="24"/>
        </w:rPr>
        <w:t>横向及纵向</w:t>
      </w:r>
      <w:r>
        <w:rPr>
          <w:rFonts w:hint="eastAsia" w:ascii="宋体" w:hAnsi="宋体" w:cs="宋体"/>
          <w:b w:val="0"/>
          <w:bCs/>
          <w:sz w:val="24"/>
          <w:szCs w:val="24"/>
          <w:lang w:val="en-US" w:eastAsia="zh-CN"/>
        </w:rPr>
        <w:t>调研</w:t>
      </w:r>
      <w:r>
        <w:rPr>
          <w:rFonts w:hint="eastAsia" w:ascii="宋体" w:hAnsi="宋体" w:eastAsia="宋体" w:cs="宋体"/>
          <w:b w:val="0"/>
          <w:bCs/>
          <w:sz w:val="24"/>
          <w:szCs w:val="24"/>
        </w:rPr>
        <w:t>分析，</w:t>
      </w:r>
      <w:r>
        <w:rPr>
          <w:rFonts w:hint="eastAsia" w:ascii="宋体" w:hAnsi="宋体" w:cs="宋体"/>
          <w:b w:val="0"/>
          <w:bCs/>
          <w:sz w:val="24"/>
          <w:szCs w:val="24"/>
          <w:lang w:val="en-US" w:eastAsia="zh-CN"/>
        </w:rPr>
        <w:t>给出</w:t>
      </w:r>
      <w:r>
        <w:rPr>
          <w:rFonts w:hint="eastAsia" w:ascii="宋体" w:hAnsi="宋体" w:eastAsia="宋体" w:cs="宋体"/>
          <w:b w:val="0"/>
          <w:bCs/>
          <w:sz w:val="24"/>
          <w:szCs w:val="24"/>
        </w:rPr>
        <w:t>成本管理中关键环节的成本可控点，进而针对市场竞争环境以及降低生产成本方面提出切实有效的</w:t>
      </w:r>
      <w:r>
        <w:rPr>
          <w:rFonts w:hint="eastAsia" w:ascii="宋体" w:hAnsi="宋体" w:cs="宋体"/>
          <w:b w:val="0"/>
          <w:bCs/>
          <w:sz w:val="24"/>
          <w:szCs w:val="24"/>
          <w:lang w:val="en-US" w:eastAsia="zh-CN"/>
        </w:rPr>
        <w:t>研究领域与可行性建设路径</w:t>
      </w:r>
      <w:r>
        <w:rPr>
          <w:rFonts w:hint="eastAsia" w:ascii="宋体" w:hAnsi="宋体" w:cs="宋体"/>
          <w:b w:val="0"/>
          <w:bCs/>
          <w:sz w:val="24"/>
          <w:szCs w:val="24"/>
          <w:lang w:eastAsia="zh-CN"/>
        </w:rPr>
        <w:t>，</w:t>
      </w:r>
      <w:r>
        <w:rPr>
          <w:rFonts w:hint="eastAsia" w:ascii="宋体" w:hAnsi="宋体" w:cs="宋体"/>
          <w:b w:val="0"/>
          <w:bCs/>
          <w:sz w:val="24"/>
          <w:szCs w:val="24"/>
          <w:lang w:val="en-US" w:eastAsia="zh-CN"/>
        </w:rPr>
        <w:t>为</w:t>
      </w:r>
      <w:r>
        <w:rPr>
          <w:rFonts w:hint="eastAsia" w:ascii="宋体" w:hAnsi="宋体" w:eastAsia="宋体" w:cs="宋体"/>
          <w:b w:val="0"/>
          <w:bCs/>
          <w:sz w:val="24"/>
          <w:szCs w:val="24"/>
        </w:rPr>
        <w:t>有针对性地</w:t>
      </w:r>
      <w:r>
        <w:rPr>
          <w:rFonts w:hint="eastAsia" w:ascii="宋体" w:hAnsi="宋体" w:cs="宋体"/>
          <w:b w:val="0"/>
          <w:bCs/>
          <w:sz w:val="24"/>
          <w:szCs w:val="24"/>
          <w:lang w:val="en-US" w:eastAsia="zh-CN"/>
        </w:rPr>
        <w:t>后续研究、</w:t>
      </w:r>
      <w:r>
        <w:rPr>
          <w:rFonts w:hint="eastAsia" w:ascii="宋体" w:hAnsi="宋体" w:eastAsia="宋体" w:cs="宋体"/>
          <w:b w:val="0"/>
          <w:bCs/>
          <w:sz w:val="24"/>
          <w:szCs w:val="24"/>
        </w:rPr>
        <w:t>优化</w:t>
      </w:r>
      <w:r>
        <w:rPr>
          <w:rFonts w:hint="eastAsia" w:ascii="宋体" w:hAnsi="宋体" w:cs="宋体"/>
          <w:b w:val="0"/>
          <w:bCs/>
          <w:sz w:val="24"/>
          <w:szCs w:val="24"/>
          <w:lang w:val="en-US" w:eastAsia="zh-CN"/>
        </w:rPr>
        <w:t>改进打好基础</w:t>
      </w:r>
      <w:r>
        <w:rPr>
          <w:rFonts w:hint="eastAsia" w:ascii="宋体" w:hAnsi="宋体" w:eastAsia="宋体" w:cs="宋体"/>
          <w:b w:val="0"/>
          <w:bCs/>
          <w:sz w:val="24"/>
          <w:szCs w:val="24"/>
        </w:rPr>
        <w:t>。</w:t>
      </w: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adjustRightInd w:val="0"/>
        <w:snapToGrid w:val="0"/>
        <w:spacing w:line="360" w:lineRule="auto"/>
        <w:ind w:firstLine="480" w:firstLineChars="200"/>
        <w:rPr>
          <w:rFonts w:hint="eastAsia" w:ascii="宋体" w:hAnsi="宋体" w:eastAsia="宋体" w:cs="宋体"/>
          <w:b w:val="0"/>
          <w:bCs/>
          <w:sz w:val="24"/>
          <w:szCs w:val="24"/>
        </w:rPr>
      </w:pPr>
    </w:p>
    <w:p>
      <w:pPr>
        <w:pStyle w:val="2"/>
        <w:numPr>
          <w:ilvl w:val="0"/>
          <w:numId w:val="0"/>
        </w:numPr>
        <w:bidi w:val="0"/>
        <w:ind w:leftChars="0" w:firstLine="420" w:firstLineChars="0"/>
        <w:rPr>
          <w:rFonts w:hint="eastAsia"/>
          <w:sz w:val="30"/>
          <w:szCs w:val="30"/>
        </w:rPr>
      </w:pPr>
      <w:bookmarkStart w:id="10" w:name="_Toc25512"/>
      <w:r>
        <w:rPr>
          <w:rFonts w:hint="eastAsia"/>
          <w:sz w:val="30"/>
          <w:szCs w:val="30"/>
          <w:lang w:val="en-US" w:eastAsia="zh-CN"/>
        </w:rPr>
        <w:t>二、</w:t>
      </w:r>
      <w:r>
        <w:rPr>
          <w:rFonts w:hint="eastAsia"/>
          <w:sz w:val="30"/>
          <w:szCs w:val="30"/>
        </w:rPr>
        <w:t>国内外现状和趋势</w:t>
      </w:r>
      <w:bookmarkEnd w:id="10"/>
    </w:p>
    <w:p>
      <w:pPr>
        <w:pStyle w:val="3"/>
        <w:bidi w:val="0"/>
        <w:ind w:firstLine="420" w:firstLineChars="0"/>
        <w:rPr>
          <w:rFonts w:hint="eastAsia" w:ascii="黑体" w:hAnsi="黑体" w:eastAsia="黑体" w:cs="黑体"/>
          <w:sz w:val="28"/>
          <w:szCs w:val="28"/>
          <w:lang w:val="en-US"/>
        </w:rPr>
      </w:pPr>
      <w:bookmarkStart w:id="11" w:name="_Toc30217"/>
      <w:bookmarkStart w:id="12" w:name="_Hlk98229037"/>
      <w:r>
        <w:rPr>
          <w:rFonts w:hint="eastAsia" w:ascii="黑体" w:hAnsi="黑体" w:eastAsia="黑体" w:cs="黑体"/>
          <w:sz w:val="28"/>
          <w:szCs w:val="28"/>
          <w:lang w:val="en-US" w:eastAsia="zh-CN"/>
        </w:rPr>
        <w:t>2.1价值链概念与发展现状</w:t>
      </w:r>
      <w:bookmarkEnd w:id="11"/>
    </w:p>
    <w:p>
      <w:pPr>
        <w:tabs>
          <w:tab w:val="left" w:pos="785"/>
        </w:tabs>
        <w:adjustRightInd w:val="0"/>
        <w:snapToGrid w:val="0"/>
        <w:spacing w:line="360" w:lineRule="auto"/>
        <w:ind w:firstLine="480" w:firstLineChars="200"/>
        <w:rPr>
          <w:rFonts w:ascii="宋体" w:hAnsi="宋体" w:cs="宋体"/>
          <w:sz w:val="24"/>
          <w:szCs w:val="24"/>
        </w:rPr>
      </w:pPr>
      <w:r>
        <w:rPr>
          <w:rFonts w:hint="eastAsia" w:ascii="宋体" w:hAnsi="宋体" w:cs="宋体"/>
          <w:sz w:val="24"/>
          <w:szCs w:val="24"/>
          <w:lang w:val="en-US" w:eastAsia="zh-CN"/>
        </w:rPr>
        <w:t>全产业链更多对应的概念与提法是管理学的“价值链”。</w:t>
      </w:r>
      <w:r>
        <w:rPr>
          <w:rFonts w:hint="eastAsia" w:ascii="宋体" w:hAnsi="宋体" w:cs="宋体"/>
          <w:sz w:val="24"/>
          <w:szCs w:val="24"/>
        </w:rPr>
        <w:t>迈克尔·波特（1985）提出了管理会计的“价值链”方法，在他看来,任何一项企业进行的生产与经营相关的活动，都能够被当作为一次对价值的进一步创造过程，而生产经营过程就是一个动态的“价值链”，通过对价值链及各项作业活动的分析，可以反映企业的发展战略及实施情况。企业整个价值链的综合竞争力对企业竞争力起着决定性的作用。价值链分析是指对一系列的投入、转出和产出等经营活动的集合，每一项活动都会产生相对于最终产品的增值行为，从而提高企业的竞争能力。价值链分析关注于产品生产的各个环节，即整个</w:t>
      </w:r>
      <w:r>
        <w:rPr>
          <w:rFonts w:hint="eastAsia" w:ascii="宋体" w:hAnsi="宋体" w:cs="宋体"/>
          <w:sz w:val="24"/>
          <w:szCs w:val="24"/>
          <w:lang w:val="en-US" w:eastAsia="zh-CN"/>
        </w:rPr>
        <w:t>产业链</w:t>
      </w:r>
      <w:r>
        <w:rPr>
          <w:rFonts w:hint="eastAsia" w:ascii="宋体" w:hAnsi="宋体" w:cs="宋体"/>
          <w:sz w:val="24"/>
          <w:szCs w:val="24"/>
        </w:rPr>
        <w:t>，从产品的采购、生产到最后的销售其中的各环节。利用价值链分析可以帮助企业识别其自身的竞争优势，挖掘可降低成本之处，以及更好地协调企业与上游供应商及下游顾客，甚至行业中的竞争者间的关系。企业生产经营过程的各价值活动单位构成企业价值链，因此若以企业独立个体为参照物，其价值链可分为：内部价值链、纵向价值链、横向价值链。</w:t>
      </w:r>
    </w:p>
    <w:p>
      <w:pPr>
        <w:tabs>
          <w:tab w:val="left" w:pos="785"/>
        </w:tabs>
        <w:adjustRightInd w:val="0"/>
        <w:snapToGrid w:val="0"/>
        <w:spacing w:line="360" w:lineRule="auto"/>
        <w:ind w:firstLine="480" w:firstLineChars="200"/>
        <w:outlineLvl w:val="2"/>
        <w:rPr>
          <w:rFonts w:ascii="宋体" w:hAnsi="宋体" w:cs="宋体"/>
          <w:sz w:val="24"/>
          <w:szCs w:val="24"/>
        </w:rPr>
      </w:pPr>
      <w:bookmarkStart w:id="13" w:name="_Toc6489"/>
      <w:r>
        <w:rPr>
          <w:rFonts w:hint="eastAsia" w:ascii="宋体" w:hAnsi="宋体" w:cs="宋体"/>
          <w:sz w:val="24"/>
          <w:szCs w:val="24"/>
        </w:rPr>
        <w:t>（1）内部价值链</w:t>
      </w:r>
      <w:bookmarkEnd w:id="13"/>
    </w:p>
    <w:p>
      <w:pPr>
        <w:tabs>
          <w:tab w:val="left" w:pos="785"/>
        </w:tabs>
        <w:adjustRightInd w:val="0"/>
        <w:snapToGrid w:val="0"/>
        <w:spacing w:line="360" w:lineRule="auto"/>
        <w:ind w:firstLine="480" w:firstLineChars="200"/>
        <w:rPr>
          <w:rFonts w:ascii="宋体" w:hAnsi="宋体" w:cs="宋体"/>
          <w:sz w:val="24"/>
          <w:szCs w:val="24"/>
        </w:rPr>
      </w:pPr>
      <w:r>
        <w:rPr>
          <w:rFonts w:hint="eastAsia" w:ascii="宋体" w:hAnsi="宋体" w:cs="宋体"/>
          <w:sz w:val="24"/>
          <w:szCs w:val="24"/>
        </w:rPr>
        <w:t>内部价值链是指企业内部各战略单元的价值链，主要由企业生产经营的主体基本活动和辅助主体经营的各个职能部门组成的辅助活动组成。内部价值链分析是将企业内各项作业活动对应的耗用的成本及产生的价值相对比，以找出低效或不增值作业。企业可根据实际情况，进行调整，消除或优化低效作业，提高该项作业的作业效率，从而合理有效降低企业成本。</w:t>
      </w:r>
    </w:p>
    <w:p>
      <w:pPr>
        <w:tabs>
          <w:tab w:val="left" w:pos="785"/>
        </w:tabs>
        <w:adjustRightInd w:val="0"/>
        <w:snapToGrid w:val="0"/>
        <w:spacing w:line="360" w:lineRule="auto"/>
        <w:ind w:firstLine="480" w:firstLineChars="200"/>
        <w:outlineLvl w:val="2"/>
        <w:rPr>
          <w:rFonts w:ascii="宋体" w:hAnsi="宋体" w:cs="宋体"/>
          <w:sz w:val="24"/>
          <w:szCs w:val="24"/>
        </w:rPr>
      </w:pPr>
      <w:bookmarkStart w:id="14" w:name="_Toc22696"/>
      <w:r>
        <w:rPr>
          <w:rFonts w:hint="eastAsia" w:ascii="宋体" w:hAnsi="宋体" w:cs="宋体"/>
          <w:sz w:val="24"/>
          <w:szCs w:val="24"/>
        </w:rPr>
        <w:t>（2）纵向价值链</w:t>
      </w:r>
      <w:bookmarkEnd w:id="14"/>
    </w:p>
    <w:p>
      <w:pPr>
        <w:tabs>
          <w:tab w:val="left" w:pos="785"/>
        </w:tabs>
        <w:adjustRightInd w:val="0"/>
        <w:snapToGrid w:val="0"/>
        <w:spacing w:line="360" w:lineRule="auto"/>
        <w:ind w:firstLine="480" w:firstLineChars="200"/>
        <w:rPr>
          <w:rFonts w:ascii="宋体" w:hAnsi="宋体" w:cs="宋体"/>
          <w:sz w:val="24"/>
          <w:szCs w:val="24"/>
        </w:rPr>
      </w:pPr>
      <w:r>
        <w:rPr>
          <w:rFonts w:hint="eastAsia" w:ascii="宋体" w:hAnsi="宋体" w:cs="宋体"/>
          <w:sz w:val="24"/>
          <w:szCs w:val="24"/>
        </w:rPr>
        <w:t>企业在整个生产运作中，从最开始的购买原料，一直到最终的成型产品，这之间的所有的价值的行程及价值的转移环节而形成的链式关系。纵向价值链分析可以帮助企业发现与上游供应商及下游购买商间存在的问题，通过纵向价值链的优化整合，建立战略联盟实现共同成本最低、利益最大化的目的。</w:t>
      </w:r>
    </w:p>
    <w:p>
      <w:pPr>
        <w:tabs>
          <w:tab w:val="left" w:pos="785"/>
        </w:tabs>
        <w:adjustRightInd w:val="0"/>
        <w:snapToGrid w:val="0"/>
        <w:spacing w:line="360" w:lineRule="auto"/>
        <w:ind w:firstLine="480" w:firstLineChars="200"/>
        <w:outlineLvl w:val="2"/>
        <w:rPr>
          <w:rFonts w:ascii="宋体" w:hAnsi="宋体" w:cs="宋体"/>
          <w:sz w:val="24"/>
          <w:szCs w:val="24"/>
        </w:rPr>
      </w:pPr>
      <w:bookmarkStart w:id="15" w:name="_Toc12277"/>
      <w:r>
        <w:rPr>
          <w:rFonts w:hint="eastAsia" w:ascii="宋体" w:hAnsi="宋体" w:cs="宋体"/>
          <w:sz w:val="24"/>
          <w:szCs w:val="24"/>
        </w:rPr>
        <w:t>（3）横向价值链</w:t>
      </w:r>
      <w:bookmarkEnd w:id="15"/>
    </w:p>
    <w:p>
      <w:pPr>
        <w:tabs>
          <w:tab w:val="left" w:pos="785"/>
        </w:tabs>
        <w:adjustRightInd w:val="0"/>
        <w:snapToGrid w:val="0"/>
        <w:spacing w:line="360" w:lineRule="auto"/>
        <w:ind w:firstLine="480" w:firstLineChars="200"/>
        <w:rPr>
          <w:rFonts w:ascii="宋体" w:hAnsi="宋体" w:cs="宋体"/>
          <w:sz w:val="24"/>
          <w:szCs w:val="24"/>
        </w:rPr>
      </w:pPr>
      <w:r>
        <w:rPr>
          <w:rFonts w:hint="eastAsia" w:ascii="宋体" w:hAnsi="宋体" w:cs="宋体"/>
          <w:sz w:val="24"/>
          <w:szCs w:val="24"/>
        </w:rPr>
        <w:t>将企业视为一个整体，对所有的纵向价值链平行排列，将每个纵向价值链的同等的位置进行组合，从而形成新的企业的内在联系链条。通过与竞争对手进行比较，以确定自身相对于竞争对手成本上的优劣势，以决策用于战胜对手的策略，扬长避短。</w:t>
      </w:r>
    </w:p>
    <w:p>
      <w:pPr>
        <w:tabs>
          <w:tab w:val="left" w:pos="785"/>
        </w:tabs>
        <w:adjustRightInd w:val="0"/>
        <w:snapToGrid w:val="0"/>
        <w:spacing w:line="360" w:lineRule="auto"/>
        <w:ind w:firstLine="480" w:firstLineChars="200"/>
        <w:rPr>
          <w:rFonts w:ascii="宋体" w:hAnsi="宋体" w:cs="宋体"/>
          <w:sz w:val="24"/>
          <w:szCs w:val="24"/>
        </w:rPr>
      </w:pPr>
      <w:r>
        <w:rPr>
          <w:rFonts w:hint="eastAsia" w:ascii="宋体" w:hAnsi="宋体" w:cs="宋体"/>
          <w:sz w:val="24"/>
          <w:szCs w:val="24"/>
        </w:rPr>
        <w:t>价值链观点不断被完善。John K shank(1993）针对价值链相关理论展开了一系列拓展研究，提出了外部价值链理论，在一定程度上使相应的价值链理论机制逐步优化与完善。而 Peter（1993）对价值链也进行了新的定义，他认为价值链可以用于对企业上下游分析，将价值链拓展到包括外部供应商及顾客的价值链。21 世纪，价值链理论渐渐成为企业多元化发展的指导思想，借助于供应商、生产商及买方市场的价值链构成价值系统应运而生，学者们关注的焦点也逐渐转向整个价值系统。Grigorescu（2015）曾明确指出凭借价值链分析企业内部成本结构以及成本对公司战略影响，管理者通过价值链可以把一个公司战略性分为不同活动，同时管理者可利用对价值链的分析降低成本。Sreeramhe和Gupta（2018）认为价值链上不同活动的合作绩效对价值链影响不同，决策者可利用重新配置相互作用要素，提高不同活动之间的合作绩效，从而提高价值链上的所有活动价值，以提升企业价值。</w:t>
      </w:r>
    </w:p>
    <w:p>
      <w:pPr>
        <w:tabs>
          <w:tab w:val="left" w:pos="785"/>
        </w:tabs>
        <w:adjustRightInd w:val="0"/>
        <w:snapToGrid w:val="0"/>
        <w:spacing w:line="360" w:lineRule="auto"/>
        <w:ind w:firstLine="480" w:firstLineChars="200"/>
        <w:rPr>
          <w:rFonts w:ascii="宋体" w:hAnsi="宋体" w:cs="宋体"/>
          <w:sz w:val="24"/>
          <w:szCs w:val="24"/>
        </w:rPr>
      </w:pPr>
      <w:r>
        <w:rPr>
          <w:rFonts w:hint="eastAsia" w:ascii="宋体" w:hAnsi="宋体" w:cs="宋体"/>
          <w:sz w:val="24"/>
          <w:szCs w:val="24"/>
        </w:rPr>
        <w:t>国内价值链的相关研究相比国外研究较晚，陈柯（2001）将价值链具体归结为企业凭借其内在联系融合而成的一系列生产经营活动。杨林（2002）指出了传统价值链理论的主要缺陷，提出虚拟价值链理论适用于现代企业竞争环境。21 世纪，我国首次提出价值链会计理论，胡曲应（2010）运用价值链于会计理论研究中，开辟了价值链研究的新视角。岑磊（2012）将相应的价值链具体归结为从产品研制到销售完成所形成的一条活动成本链，企业内部相关价值链的优化升级具体涵盖了产品研制以及营销等阶段。胡璇（2015）认为价值链成本管理是对传统成本管理的继承和发展，是一种跨企业的成本管理理论，关注企业内部的同时，强调企业外部价值链。王慧丽（2016）认为价值链视角下的成本管理能帮助企业保持稳定发展，对我国企业在成本管理方面具有参考价值。许多学者将价值链与成本管理相结合起来研究，基于价值链对企业的成本管理进行分析，分析出当前成本管理中的缺陷，探讨成本管理优化措施。于富生、邸丛枝（2004）基于价值链的理念，对企业成本管理有了深层次的思考，界定了基于价值链相关定义的成本管理思路，完善了相应的成本管理机制，进而确保企业成本进一步下降，增强企业优势。王秋燕、刘娟和宁哲（2006）借助价值链展开相对较为详细的成本管理探究，运用价值链分析其成本周期，分析成本构成的影响因素，按阶段进行成本管理方法选择，以战略高度降低成本。晁新忠（2011）认为实现价值链成本管理的有效利用，可以通过以下两点实现：一是改善价值链中的价值流动，二是减少价值链运行中资源耗损。熊英（2013）就现阶段企业成本核算方式展开了一系列探讨，有效凭借价值链针对相应成本进行剖析，并针对具体实际状况提出了宝贵意见。李齐飞（2015）认为，通过价值链分析能进一步辨别增值以及非增值作业，明晰各项作业间潜在联系，使整体价值链得到优化，外部价值链的分析能帮助企业明确在整条价值链上的地位，用以判定企业的优势，提高效率，达到降低成本的目标。张铎和孙文静（2016）提出基于价值链的成本管理方法能弥补传统意义上的成本管理的缺陷。从战略角度分析企业内外部价值链，从而开展价值链的成本管理模式，以实现总成本最优，提升企业的长期竞争优势。王芸和习羽（2018）提出企业的成本管理应综合考虑内部价值链上各个环节的协调发展与紧密联系，不仅仅局限于对产品生产过程中的成本进行管理。同时，企业应在降低无效成本的同时适当增加有效收入，降低无效的价值链增值环节的同时增加高价值增值环节的比重。</w:t>
      </w:r>
    </w:p>
    <w:p>
      <w:pPr>
        <w:tabs>
          <w:tab w:val="left" w:pos="785"/>
        </w:tabs>
        <w:adjustRightInd w:val="0"/>
        <w:snapToGrid w:val="0"/>
        <w:spacing w:line="360" w:lineRule="auto"/>
        <w:ind w:firstLine="720" w:firstLineChars="300"/>
        <w:rPr>
          <w:rFonts w:ascii="宋体" w:hAnsi="宋体" w:cs="宋体"/>
          <w:sz w:val="24"/>
          <w:szCs w:val="24"/>
        </w:rPr>
      </w:pPr>
      <w:r>
        <w:rPr>
          <w:rFonts w:hint="eastAsia" w:ascii="宋体" w:hAnsi="宋体" w:cs="宋体"/>
          <w:sz w:val="24"/>
          <w:szCs w:val="24"/>
        </w:rPr>
        <w:t>在电力行业，相关学者将价值链成本管理思想进行研究与运用，戴立新（2007）站在企业战略管理角度，运用价值链管理的先进思想于火力发电企业，并总结出低成本竞争战略。陈海妹（2008）提出火电企业应在价值链分析的基础上，引入作业成本分析，进行成本管理研究。金琪（2009）则是在作业成本管理基础上，分析各项作业，并优化各作业链，对火力发电企业成本管理研究具有现实意义。火力发电企业经营面临着巨大压力，潘海涛（2011）就火电企业的材料供应、电力生产与销售、设备维护维修等作业环节进行了相应的价值链分析及优化措施的确立。徐海莉（2012）运用价值链成本管理展开切实有有效分析，进一步探究出某高耗能企业成本相对过高的原因，对该企业今后的成本把控具有一定的指导意义。在当前新形势下，潘宇（2017）主要针对火电企业的发电运行流程进行梳理，研究分析如何运用价值链理论对火电企业进行有针对性的分析。</w:t>
      </w:r>
      <w:r>
        <w:rPr>
          <w:rFonts w:hint="eastAsia" w:ascii="宋体" w:hAnsi="宋体" w:cs="宋体"/>
          <w:sz w:val="24"/>
          <w:szCs w:val="24"/>
          <w:lang w:val="en-US" w:eastAsia="zh-CN"/>
        </w:rPr>
        <w:t>另一方面</w:t>
      </w:r>
      <w:r>
        <w:rPr>
          <w:rFonts w:hint="eastAsia" w:ascii="宋体" w:hAnsi="宋体" w:cs="宋体"/>
          <w:sz w:val="24"/>
          <w:szCs w:val="22"/>
        </w:rPr>
        <w:t>，全价值链的优化不仅包括整体优化，也包括链内节点的功能、性能与效率优化。麦肯锡服务过的一家国内领先电厂为例，其平均供电煤耗数据业内领先，但各机组的供电煤耗波动却超过5%。通过原燃料综合效益优化，该电厂实现了精益配煤掺烧：通过大数据模型并结合机组现状，准确识别市场上适合该型锅炉的煤炭组合的定价套利空间，从而实现买煤、验煤、储煤、掺配等四大环节的优化以及整体经济效益的提升。国电方家庄电厂通过实时采集发电机出口和发电煤矿数据，采用线性回归实现动态测算，解决了"目前按照年度计算的曲线无法跟踪</w:t>
      </w:r>
      <w:r>
        <w:rPr>
          <w:rFonts w:hint="eastAsia" w:ascii="宋体" w:hAnsi="宋体" w:cs="宋体"/>
          <w:sz w:val="24"/>
          <w:szCs w:val="24"/>
        </w:rPr>
        <w:t>工况的情况，结果和当前工况偏差较大，无法真实反映机组成本，不能满足报价决策需求"等问题。以动态煤耗曲线为基础，结合数据建模理论，构建了“锅炉边际成本、边际贡献、盈亏平衡分析等经营分析模型”，快速计算经营指标，为报价和成本结构优化提供了数据支撑。</w:t>
      </w:r>
    </w:p>
    <w:p>
      <w:pPr>
        <w:tabs>
          <w:tab w:val="left" w:pos="785"/>
        </w:tabs>
        <w:adjustRightInd w:val="0"/>
        <w:snapToGrid w:val="0"/>
        <w:spacing w:line="360" w:lineRule="auto"/>
        <w:ind w:firstLine="480" w:firstLineChars="200"/>
        <w:rPr>
          <w:rFonts w:ascii="宋体" w:hAnsi="宋体" w:cs="宋体"/>
          <w:sz w:val="24"/>
          <w:szCs w:val="24"/>
        </w:rPr>
      </w:pPr>
    </w:p>
    <w:p>
      <w:pPr>
        <w:pStyle w:val="3"/>
        <w:bidi w:val="0"/>
        <w:ind w:firstLine="420" w:firstLineChars="0"/>
        <w:rPr>
          <w:rFonts w:hint="eastAsia" w:ascii="黑体" w:hAnsi="黑体" w:eastAsia="黑体" w:cs="黑体"/>
          <w:sz w:val="28"/>
          <w:szCs w:val="28"/>
          <w:lang w:val="en-US" w:eastAsia="zh-CN"/>
        </w:rPr>
      </w:pPr>
      <w:bookmarkStart w:id="16" w:name="_Toc31628"/>
      <w:r>
        <w:rPr>
          <w:rFonts w:hint="eastAsia" w:ascii="黑体" w:hAnsi="黑体" w:eastAsia="黑体" w:cs="黑体"/>
          <w:sz w:val="28"/>
          <w:szCs w:val="28"/>
          <w:lang w:val="en-US" w:eastAsia="zh-CN"/>
        </w:rPr>
        <w:t>2.2 新电改形势下的市场交易模式</w:t>
      </w:r>
      <w:bookmarkEnd w:id="16"/>
    </w:p>
    <w:p>
      <w:pPr>
        <w:numPr>
          <w:ilvl w:val="0"/>
          <w:numId w:val="0"/>
        </w:numPr>
        <w:adjustRightInd w:val="0"/>
        <w:snapToGrid w:val="0"/>
        <w:spacing w:line="360" w:lineRule="auto"/>
        <w:ind w:left="425"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纵观国内外电力体制改革的实践来看，目前都处于探索和完善的阶段，国情</w:t>
      </w:r>
    </w:p>
    <w:p>
      <w:pPr>
        <w:numPr>
          <w:ilvl w:val="0"/>
          <w:numId w:val="0"/>
        </w:numPr>
        <w:adjustRightInd w:val="0"/>
        <w:snapToGrid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政策各异，成熟度和改革进程也尽不相同</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根据</w:t>
      </w:r>
      <w:r>
        <w:rPr>
          <w:rFonts w:hint="eastAsia" w:ascii="宋体" w:hAnsi="宋体" w:cs="宋体"/>
          <w:sz w:val="24"/>
          <w:szCs w:val="24"/>
          <w:lang w:val="en-US" w:eastAsia="zh-CN"/>
        </w:rPr>
        <w:t>国内外</w:t>
      </w:r>
      <w:r>
        <w:rPr>
          <w:rFonts w:hint="eastAsia" w:ascii="宋体" w:hAnsi="宋体" w:eastAsia="宋体" w:cs="宋体"/>
          <w:sz w:val="24"/>
          <w:szCs w:val="24"/>
          <w:lang w:val="en-US" w:eastAsia="zh-CN"/>
        </w:rPr>
        <w:t>电力市场的发展改革经验，</w:t>
      </w:r>
      <w:r>
        <w:rPr>
          <w:rFonts w:hint="eastAsia" w:ascii="宋体" w:hAnsi="宋体" w:cs="宋体"/>
          <w:sz w:val="24"/>
          <w:szCs w:val="24"/>
          <w:lang w:val="en-US" w:eastAsia="zh-CN"/>
        </w:rPr>
        <w:t>主要发展出以下三种市场交易模式。</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2.2.1 发电侧竞争的电力市场交易模式</w:t>
      </w:r>
    </w:p>
    <w:p>
      <w:pPr>
        <w:numPr>
          <w:ilvl w:val="0"/>
          <w:numId w:val="0"/>
        </w:numPr>
        <w:adjustRightInd w:val="0"/>
        <w:snapToGrid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电侧竞争的电力市场是一种允许发电商之间互相良性竞争参与市场发电的电力市场模式。它逐渐实现发电厂与电网公司的相互独立经营，打破了垄断性电网的结构，是电力改革标志性的转变。此市场类型具体交易形式如图</w:t>
      </w:r>
      <w:r>
        <w:rPr>
          <w:rFonts w:hint="eastAsia" w:ascii="宋体" w:hAnsi="宋体" w:cs="宋体"/>
          <w:sz w:val="24"/>
          <w:szCs w:val="24"/>
          <w:lang w:val="en-US" w:eastAsia="zh-CN"/>
        </w:rPr>
        <w:t>2-1</w:t>
      </w:r>
      <w:r>
        <w:rPr>
          <w:rFonts w:hint="eastAsia" w:ascii="宋体" w:hAnsi="宋体" w:eastAsia="宋体" w:cs="宋体"/>
          <w:sz w:val="24"/>
          <w:szCs w:val="24"/>
          <w:lang w:val="en-US" w:eastAsia="zh-CN"/>
        </w:rPr>
        <w:t>所示：</w:t>
      </w:r>
    </w:p>
    <w:p>
      <w:pPr>
        <w:numPr>
          <w:ilvl w:val="0"/>
          <w:numId w:val="0"/>
        </w:numPr>
        <w:adjustRightInd w:val="0"/>
        <w:snapToGrid w:val="0"/>
        <w:spacing w:line="360" w:lineRule="auto"/>
        <w:jc w:val="center"/>
      </w:pPr>
      <w:r>
        <w:drawing>
          <wp:inline distT="0" distB="0" distL="114300" distR="114300">
            <wp:extent cx="3946525" cy="2609215"/>
            <wp:effectExtent l="0" t="0" r="3175" b="6985"/>
            <wp:docPr id="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2"/>
                    <pic:cNvPicPr>
                      <a:picLocks noChangeAspect="1"/>
                    </pic:cNvPicPr>
                  </pic:nvPicPr>
                  <pic:blipFill>
                    <a:blip r:embed="rId7"/>
                    <a:stretch>
                      <a:fillRect/>
                    </a:stretch>
                  </pic:blipFill>
                  <pic:spPr>
                    <a:xfrm>
                      <a:off x="0" y="0"/>
                      <a:ext cx="3946525" cy="2609215"/>
                    </a:xfrm>
                    <a:prstGeom prst="rect">
                      <a:avLst/>
                    </a:prstGeom>
                    <a:noFill/>
                    <a:ln>
                      <a:noFill/>
                    </a:ln>
                  </pic:spPr>
                </pic:pic>
              </a:graphicData>
            </a:graphic>
          </wp:inline>
        </w:drawing>
      </w:r>
    </w:p>
    <w:p>
      <w:pPr>
        <w:tabs>
          <w:tab w:val="left" w:pos="785"/>
        </w:tabs>
        <w:adjustRightInd w:val="0"/>
        <w:snapToGrid w:val="0"/>
        <w:spacing w:line="360" w:lineRule="auto"/>
        <w:ind w:firstLine="480" w:firstLineChars="200"/>
        <w:jc w:val="center"/>
        <w:rPr>
          <w:rFonts w:hint="default" w:ascii="宋体" w:hAnsi="宋体" w:cs="宋体"/>
          <w:sz w:val="24"/>
          <w:szCs w:val="24"/>
          <w:lang w:val="en-US" w:eastAsia="zh-CN"/>
        </w:rPr>
      </w:pPr>
      <w:r>
        <w:rPr>
          <w:rFonts w:hint="eastAsia" w:ascii="宋体" w:hAnsi="宋体" w:cs="宋体"/>
          <w:sz w:val="24"/>
          <w:szCs w:val="24"/>
          <w:lang w:val="en-US" w:eastAsia="zh-CN"/>
        </w:rPr>
        <w:t>图2-1 发电侧供应市场交易模式</w:t>
      </w:r>
    </w:p>
    <w:p>
      <w:pPr>
        <w:numPr>
          <w:ilvl w:val="0"/>
          <w:numId w:val="0"/>
        </w:numPr>
        <w:adjustRightInd w:val="0"/>
        <w:snapToGrid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有以下两个特点：1）上下游公司都被电网公司坚决垄断购售权，但国家相关部门会严格监管垄断价格；2）发电侧开放，即发电商之间存在一定程度的竞争。此市场类型实施较为简单，适用于技术设备、人员素质以及运行管理尚未完备的电力市场建设初期阶段。</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2.2.2 批发竞争市场交易模式</w:t>
      </w:r>
    </w:p>
    <w:p>
      <w:pPr>
        <w:numPr>
          <w:ilvl w:val="0"/>
          <w:numId w:val="0"/>
        </w:numPr>
        <w:adjustRightInd w:val="0"/>
        <w:snapToGrid w:val="0"/>
        <w:spacing w:line="360" w:lineRule="auto"/>
        <w:ind w:firstLine="420" w:firstLineChars="0"/>
        <w:rPr>
          <w:rFonts w:hint="eastAsia" w:ascii="仿宋_GB2312" w:eastAsia="仿宋_GB2312"/>
          <w:sz w:val="24"/>
          <w:szCs w:val="24"/>
          <w:lang w:val="en-US" w:eastAsia="zh-CN"/>
        </w:rPr>
      </w:pPr>
      <w:r>
        <w:rPr>
          <w:rFonts w:hint="eastAsia" w:ascii="宋体" w:hAnsi="宋体" w:eastAsia="宋体" w:cs="宋体"/>
          <w:sz w:val="24"/>
          <w:szCs w:val="24"/>
          <w:lang w:val="en-US" w:eastAsia="zh-CN"/>
        </w:rPr>
        <w:t>输电网开放，出现多个集中性购买者的电力市场通常称为批发竞争市场。在这样的市场结构下，配电公司可以与发电公司直接交易，不再经过电网公司这个中间商，因此其最大特点之一是避免了中间商赚差价。批发竞争市场模式中，发电公司与配电公司，大规模用户与发电公司都可以直接交易。虽然在很大程度上增加了电力市场的竞争性，但是配电公司与用户之间最重要的一点是：下游受到上游公司的垄断配电和售电。具体交易方式如图</w:t>
      </w:r>
      <w:r>
        <w:rPr>
          <w:rFonts w:hint="eastAsia" w:ascii="宋体" w:hAnsi="宋体" w:cs="宋体"/>
          <w:sz w:val="24"/>
          <w:szCs w:val="24"/>
          <w:lang w:val="en-US" w:eastAsia="zh-CN"/>
        </w:rPr>
        <w:t>2-2所示</w:t>
      </w:r>
      <w:r>
        <w:rPr>
          <w:rFonts w:hint="eastAsia" w:ascii="宋体" w:hAnsi="宋体" w:eastAsia="宋体" w:cs="宋体"/>
          <w:sz w:val="24"/>
          <w:szCs w:val="24"/>
          <w:lang w:val="en-US" w:eastAsia="zh-CN"/>
        </w:rPr>
        <w:t>：</w:t>
      </w:r>
    </w:p>
    <w:p>
      <w:pPr>
        <w:numPr>
          <w:ilvl w:val="0"/>
          <w:numId w:val="0"/>
        </w:numPr>
        <w:adjustRightInd w:val="0"/>
        <w:snapToGrid w:val="0"/>
        <w:spacing w:line="360" w:lineRule="auto"/>
        <w:jc w:val="center"/>
      </w:pPr>
      <w:r>
        <w:drawing>
          <wp:inline distT="0" distB="0" distL="114300" distR="114300">
            <wp:extent cx="5099050" cy="2152650"/>
            <wp:effectExtent l="0" t="0" r="2540" b="1905"/>
            <wp:docPr id="1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
                    <pic:cNvPicPr>
                      <a:picLocks noChangeAspect="1"/>
                    </pic:cNvPicPr>
                  </pic:nvPicPr>
                  <pic:blipFill>
                    <a:blip r:embed="rId8"/>
                    <a:stretch>
                      <a:fillRect/>
                    </a:stretch>
                  </pic:blipFill>
                  <pic:spPr>
                    <a:xfrm>
                      <a:off x="0" y="0"/>
                      <a:ext cx="5099050" cy="2152650"/>
                    </a:xfrm>
                    <a:prstGeom prst="rect">
                      <a:avLst/>
                    </a:prstGeom>
                    <a:noFill/>
                    <a:ln>
                      <a:noFill/>
                    </a:ln>
                  </pic:spPr>
                </pic:pic>
              </a:graphicData>
            </a:graphic>
          </wp:inline>
        </w:drawing>
      </w:r>
    </w:p>
    <w:p>
      <w:pPr>
        <w:tabs>
          <w:tab w:val="left" w:pos="785"/>
        </w:tabs>
        <w:adjustRightInd w:val="0"/>
        <w:snapToGrid w:val="0"/>
        <w:spacing w:line="360" w:lineRule="auto"/>
        <w:ind w:firstLine="480" w:firstLineChars="200"/>
        <w:jc w:val="center"/>
        <w:rPr>
          <w:rFonts w:hint="eastAsia" w:ascii="宋体" w:hAnsi="宋体" w:cs="宋体"/>
          <w:sz w:val="24"/>
          <w:szCs w:val="24"/>
          <w:lang w:val="en-US" w:eastAsia="zh-CN"/>
        </w:rPr>
      </w:pPr>
      <w:r>
        <w:rPr>
          <w:rFonts w:hint="eastAsia" w:ascii="宋体" w:hAnsi="宋体" w:cs="宋体"/>
          <w:sz w:val="24"/>
          <w:szCs w:val="24"/>
          <w:lang w:val="en-US" w:eastAsia="zh-CN"/>
        </w:rPr>
        <w:t>图2-2 批发市场交易模式</w:t>
      </w:r>
    </w:p>
    <w:p>
      <w:pPr>
        <w:numPr>
          <w:ilvl w:val="0"/>
          <w:numId w:val="0"/>
        </w:numPr>
        <w:adjustRightInd w:val="0"/>
        <w:snapToGrid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其特点如下：1）发电公司间的竞争更加激烈，通过供需作用确定的电量价格更透明、公开，避免了中间商赚差价；2）小用户仍无法选择供应商，因此电力零售价格仍然需要严格的监督。</w:t>
      </w:r>
      <w:r>
        <w:rPr>
          <w:rFonts w:hint="eastAsia" w:ascii="宋体" w:hAnsi="宋体" w:cs="宋体"/>
          <w:sz w:val="24"/>
          <w:szCs w:val="24"/>
          <w:lang w:val="en-US" w:eastAsia="zh-CN"/>
        </w:rPr>
        <w:t>本模式</w:t>
      </w:r>
      <w:r>
        <w:rPr>
          <w:rFonts w:hint="eastAsia" w:ascii="宋体" w:hAnsi="宋体" w:eastAsia="宋体" w:cs="宋体"/>
          <w:sz w:val="24"/>
          <w:szCs w:val="24"/>
          <w:lang w:val="en-US" w:eastAsia="zh-CN"/>
        </w:rPr>
        <w:t>适用于发电侧市场已实现竞争化，并适时开放配电市场竞争的电力市场中级阶段，有利于降低电价。</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2.2.3 零售竞争市场交易模式</w:t>
      </w:r>
    </w:p>
    <w:p>
      <w:pPr>
        <w:numPr>
          <w:ilvl w:val="0"/>
          <w:numId w:val="0"/>
        </w:numPr>
        <w:adjustRightInd w:val="0"/>
        <w:snapToGrid w:val="0"/>
        <w:spacing w:line="360" w:lineRule="auto"/>
        <w:ind w:firstLine="420" w:firstLineChars="0"/>
        <w:jc w:val="both"/>
        <w:rPr>
          <w:rFonts w:hint="default"/>
          <w:sz w:val="24"/>
          <w:szCs w:val="24"/>
          <w:lang w:val="en-US" w:eastAsia="zh-CN"/>
        </w:rPr>
      </w:pPr>
      <w:r>
        <w:rPr>
          <w:rFonts w:hint="default"/>
          <w:sz w:val="24"/>
          <w:szCs w:val="24"/>
          <w:lang w:val="en-US" w:eastAsia="zh-CN"/>
        </w:rPr>
        <w:t>零售竞争市场是双边开放的电力市场</w:t>
      </w:r>
      <w:r>
        <w:rPr>
          <w:rFonts w:hint="eastAsia"/>
          <w:sz w:val="24"/>
          <w:szCs w:val="24"/>
          <w:lang w:val="en-US" w:eastAsia="zh-CN"/>
        </w:rPr>
        <w:t>，即</w:t>
      </w:r>
      <w:r>
        <w:rPr>
          <w:rFonts w:hint="default"/>
          <w:sz w:val="24"/>
          <w:szCs w:val="24"/>
          <w:lang w:val="en-US" w:eastAsia="zh-CN"/>
        </w:rPr>
        <w:t>在发电侧、售电侧均开放的竞争市场模式</w:t>
      </w:r>
      <w:r>
        <w:rPr>
          <w:rFonts w:hint="eastAsia"/>
          <w:sz w:val="24"/>
          <w:szCs w:val="24"/>
          <w:lang w:val="en-US" w:eastAsia="zh-CN"/>
        </w:rPr>
        <w:t>下</w:t>
      </w:r>
      <w:r>
        <w:rPr>
          <w:rFonts w:hint="default"/>
          <w:sz w:val="24"/>
          <w:szCs w:val="24"/>
          <w:lang w:val="en-US" w:eastAsia="zh-CN"/>
        </w:rPr>
        <w:t>在用户侧引入市场竞争机制。此类型的市场主体为中小型发电企业公司、零售商、用户。其输电企业网络和其他配电企业网络向各类发电企业用户平等地开放。具体交易方式如图</w:t>
      </w:r>
      <w:r>
        <w:rPr>
          <w:rFonts w:hint="eastAsia"/>
          <w:sz w:val="24"/>
          <w:szCs w:val="24"/>
          <w:lang w:val="en-US" w:eastAsia="zh-CN"/>
        </w:rPr>
        <w:t>2-3</w:t>
      </w:r>
      <w:r>
        <w:rPr>
          <w:rFonts w:hint="default"/>
          <w:sz w:val="24"/>
          <w:szCs w:val="24"/>
          <w:lang w:val="en-US" w:eastAsia="zh-CN"/>
        </w:rPr>
        <w:t>所示：</w:t>
      </w:r>
    </w:p>
    <w:p>
      <w:pPr>
        <w:tabs>
          <w:tab w:val="left" w:pos="785"/>
        </w:tabs>
        <w:adjustRightInd w:val="0"/>
        <w:snapToGrid w:val="0"/>
        <w:spacing w:line="360" w:lineRule="auto"/>
        <w:jc w:val="center"/>
      </w:pPr>
      <w:r>
        <w:drawing>
          <wp:inline distT="0" distB="0" distL="114300" distR="114300">
            <wp:extent cx="4857750" cy="2355850"/>
            <wp:effectExtent l="0" t="0" r="6350" b="635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4"/>
                    <pic:cNvPicPr>
                      <a:picLocks noChangeAspect="1"/>
                    </pic:cNvPicPr>
                  </pic:nvPicPr>
                  <pic:blipFill>
                    <a:blip r:embed="rId9"/>
                    <a:stretch>
                      <a:fillRect/>
                    </a:stretch>
                  </pic:blipFill>
                  <pic:spPr>
                    <a:xfrm>
                      <a:off x="0" y="0"/>
                      <a:ext cx="4857750" cy="2355850"/>
                    </a:xfrm>
                    <a:prstGeom prst="rect">
                      <a:avLst/>
                    </a:prstGeom>
                    <a:noFill/>
                    <a:ln>
                      <a:noFill/>
                    </a:ln>
                  </pic:spPr>
                </pic:pic>
              </a:graphicData>
            </a:graphic>
          </wp:inline>
        </w:drawing>
      </w:r>
    </w:p>
    <w:p>
      <w:pPr>
        <w:tabs>
          <w:tab w:val="left" w:pos="785"/>
        </w:tabs>
        <w:adjustRightInd w:val="0"/>
        <w:snapToGrid w:val="0"/>
        <w:spacing w:line="360" w:lineRule="auto"/>
        <w:ind w:firstLine="480" w:firstLineChars="200"/>
        <w:jc w:val="center"/>
        <w:rPr>
          <w:rFonts w:hint="default" w:ascii="宋体" w:hAnsi="宋体" w:cs="宋体"/>
          <w:sz w:val="24"/>
          <w:szCs w:val="24"/>
          <w:lang w:val="en-US" w:eastAsia="zh-CN"/>
        </w:rPr>
      </w:pPr>
      <w:r>
        <w:rPr>
          <w:rFonts w:hint="eastAsia" w:ascii="宋体" w:hAnsi="宋体" w:cs="宋体"/>
          <w:sz w:val="24"/>
          <w:szCs w:val="24"/>
          <w:lang w:val="en-US" w:eastAsia="zh-CN"/>
        </w:rPr>
        <w:t>图2-3 零售竞争市场交易模式</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其特点如下：1)电力市场垄断的电力业务主要目的在于提供输电、配电及网络服务，输电费用需严格监管；2)零售竞争的电价由市场竞争确定。适用于此时的电力服务市场的技术支持系统性能先进、功能齐全,市场信息畅通,生产者对电力服务市场的信息充分掌握和了解的阶段是电力服务市场的终极竞争阶段。</w:t>
      </w:r>
    </w:p>
    <w:p>
      <w:pPr>
        <w:pStyle w:val="3"/>
        <w:bidi w:val="0"/>
        <w:ind w:firstLine="420" w:firstLineChars="0"/>
        <w:rPr>
          <w:rFonts w:hint="eastAsia" w:ascii="黑体" w:hAnsi="黑体" w:eastAsia="黑体" w:cs="黑体"/>
          <w:sz w:val="28"/>
          <w:szCs w:val="28"/>
          <w:lang w:val="en-US" w:eastAsia="zh-CN"/>
        </w:rPr>
      </w:pPr>
      <w:bookmarkStart w:id="17" w:name="_Toc6339"/>
      <w:r>
        <w:rPr>
          <w:rFonts w:hint="eastAsia" w:ascii="黑体" w:hAnsi="黑体" w:eastAsia="黑体" w:cs="黑体"/>
          <w:sz w:val="28"/>
          <w:szCs w:val="28"/>
          <w:lang w:val="en-US" w:eastAsia="zh-CN"/>
        </w:rPr>
        <w:t>2.3 国内外电力交易市场现状</w:t>
      </w:r>
      <w:bookmarkEnd w:id="17"/>
    </w:p>
    <w:p>
      <w:pPr>
        <w:tabs>
          <w:tab w:val="left" w:pos="785"/>
        </w:tabs>
        <w:adjustRightInd w:val="0"/>
        <w:snapToGrid w:val="0"/>
        <w:spacing w:line="360" w:lineRule="auto"/>
        <w:ind w:firstLine="480" w:firstLineChars="200"/>
        <w:rPr>
          <w:rFonts w:hint="eastAsia" w:ascii="黑体" w:hAnsi="黑体" w:eastAsia="黑体" w:cs="黑体"/>
          <w:b/>
          <w:bCs/>
          <w:sz w:val="24"/>
          <w:szCs w:val="24"/>
          <w:lang w:val="en-US" w:eastAsia="zh-CN"/>
        </w:rPr>
      </w:pPr>
      <w:r>
        <w:rPr>
          <w:rFonts w:hint="eastAsia" w:ascii="宋体" w:hAnsi="宋体" w:cs="宋体"/>
          <w:sz w:val="24"/>
          <w:szCs w:val="24"/>
          <w:lang w:val="en-US" w:eastAsia="zh-CN"/>
        </w:rPr>
        <w:t>国外典型电力市场模式大致可以分为集中式电力市场模式和分散式电力市场模式两种，美国、加拿大、澳大利亚等地采用集中式电力市场模式，欧洲各国基本采用分散式电力市场模式。从中长期市场与现货市场衔接的角度来看，两种市场模式的主要区别在于：集中式电力市场的现货市场是全部电量竞价，中长期合同只能为财务合同；而分散式电力市场的现货市场是部分电量竞价，中长期合同可以是财务合同也可以是实物合同。与我国先开展中长期交易再建立现货市场不同，国外典型电力市场大多是在经济调度的基础上先建立现货市场，然后再相应开展与之协调的中长期交易。</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2.3.1 欧洲电力市场</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欧洲电力市场中，电力交易机构与电力调度机构一般分设。电力交易所作为电力交易机构，主要运营日前市场和日内市场，部分电力交易所也会针对标准化交易产品组织中长期交易。</w:t>
      </w:r>
    </w:p>
    <w:p>
      <w:pPr>
        <w:tabs>
          <w:tab w:val="left" w:pos="785"/>
        </w:tabs>
        <w:adjustRightInd w:val="0"/>
        <w:snapToGrid w:val="0"/>
        <w:spacing w:line="360" w:lineRule="auto"/>
        <w:ind w:firstLine="482" w:firstLineChars="200"/>
        <w:rPr>
          <w:rFonts w:hint="eastAsia" w:ascii="宋体" w:hAnsi="宋体" w:cs="宋体"/>
          <w:b/>
          <w:bCs/>
          <w:sz w:val="24"/>
          <w:szCs w:val="24"/>
        </w:rPr>
      </w:pPr>
      <w:r>
        <w:rPr>
          <w:rFonts w:hint="eastAsia" w:ascii="宋体" w:hAnsi="宋体" w:cs="宋体"/>
          <w:b/>
          <w:bCs/>
          <w:sz w:val="24"/>
          <w:szCs w:val="24"/>
          <w:lang w:eastAsia="zh-CN"/>
        </w:rPr>
        <w:t>（</w:t>
      </w:r>
      <w:r>
        <w:rPr>
          <w:rFonts w:hint="eastAsia" w:ascii="宋体" w:hAnsi="宋体" w:cs="宋体"/>
          <w:b/>
          <w:bCs/>
          <w:sz w:val="24"/>
          <w:szCs w:val="24"/>
          <w:lang w:val="en-US" w:eastAsia="zh-CN"/>
        </w:rPr>
        <w:t>1</w:t>
      </w:r>
      <w:r>
        <w:rPr>
          <w:rFonts w:hint="eastAsia" w:ascii="宋体" w:hAnsi="宋体" w:cs="宋体"/>
          <w:b/>
          <w:bCs/>
          <w:sz w:val="24"/>
          <w:szCs w:val="24"/>
          <w:lang w:eastAsia="zh-CN"/>
        </w:rPr>
        <w:t>）</w:t>
      </w:r>
      <w:r>
        <w:rPr>
          <w:rFonts w:hint="eastAsia" w:ascii="宋体" w:hAnsi="宋体" w:cs="宋体"/>
          <w:b/>
          <w:bCs/>
          <w:sz w:val="24"/>
          <w:szCs w:val="24"/>
        </w:rPr>
        <w:t>中长期交易</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电力现货交易所组织的中长期交易均为实物交易，交割位置即为相应的价区或系统，不同的交易产品主要根据交割周期和交割时段划分。</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IPEX</w:t>
      </w:r>
      <w:r>
        <w:rPr>
          <w:rFonts w:hint="eastAsia" w:ascii="宋体" w:hAnsi="宋体" w:cs="宋体"/>
          <w:sz w:val="24"/>
          <w:szCs w:val="24"/>
        </w:rPr>
        <w:t>为保加利亚电力市场开设的标准化合约中，交割周期包括年度、半年、季度、月度、月度工作日、月度周末、周、周工作日、周末和日</w:t>
      </w:r>
      <w:r>
        <w:rPr>
          <w:rFonts w:hint="eastAsia" w:ascii="宋体" w:hAnsi="宋体" w:cs="宋体"/>
          <w:sz w:val="24"/>
          <w:szCs w:val="24"/>
          <w:lang w:val="en-US" w:eastAsia="zh-CN"/>
        </w:rPr>
        <w:t>10</w:t>
      </w:r>
      <w:r>
        <w:rPr>
          <w:rFonts w:hint="eastAsia" w:ascii="宋体" w:hAnsi="宋体" w:cs="宋体"/>
          <w:sz w:val="24"/>
          <w:szCs w:val="24"/>
        </w:rPr>
        <w:t>种，交割时段包括基荷、峰荷、长峰荷和非峰荷４种，共有</w:t>
      </w:r>
      <w:r>
        <w:rPr>
          <w:rFonts w:hint="eastAsia" w:ascii="宋体" w:hAnsi="宋体" w:cs="宋体"/>
          <w:sz w:val="24"/>
          <w:szCs w:val="24"/>
          <w:lang w:val="en-US" w:eastAsia="zh-CN"/>
        </w:rPr>
        <w:t>40</w:t>
      </w:r>
      <w:r>
        <w:rPr>
          <w:rFonts w:hint="eastAsia" w:ascii="宋体" w:hAnsi="宋体" w:cs="宋体"/>
          <w:sz w:val="24"/>
          <w:szCs w:val="24"/>
        </w:rPr>
        <w:t>种标准化合约峰荷时段为欧洲中部时间的</w:t>
      </w:r>
      <w:r>
        <w:rPr>
          <w:rFonts w:hint="eastAsia" w:ascii="宋体" w:hAnsi="宋体" w:cs="宋体"/>
          <w:sz w:val="24"/>
          <w:szCs w:val="24"/>
          <w:lang w:val="en-US" w:eastAsia="zh-CN"/>
        </w:rPr>
        <w:t>8：00-18：00</w:t>
      </w:r>
      <w:r>
        <w:rPr>
          <w:rFonts w:hint="eastAsia" w:ascii="宋体" w:hAnsi="宋体" w:cs="宋体"/>
          <w:sz w:val="24"/>
          <w:szCs w:val="24"/>
        </w:rPr>
        <w:t>，非峰荷时段为</w:t>
      </w:r>
      <w:r>
        <w:rPr>
          <w:rFonts w:hint="eastAsia" w:ascii="宋体" w:hAnsi="宋体" w:cs="宋体"/>
          <w:sz w:val="24"/>
          <w:szCs w:val="24"/>
          <w:lang w:val="en-US" w:eastAsia="zh-CN"/>
        </w:rPr>
        <w:t>0：00-8：00</w:t>
      </w:r>
      <w:r>
        <w:rPr>
          <w:rFonts w:hint="eastAsia" w:ascii="宋体" w:hAnsi="宋体" w:cs="宋体"/>
          <w:sz w:val="24"/>
          <w:szCs w:val="24"/>
        </w:rPr>
        <w:t>、</w:t>
      </w:r>
      <w:r>
        <w:rPr>
          <w:rFonts w:hint="eastAsia" w:ascii="宋体" w:hAnsi="宋体" w:cs="宋体"/>
          <w:sz w:val="24"/>
          <w:szCs w:val="24"/>
          <w:lang w:val="en-US" w:eastAsia="zh-CN"/>
        </w:rPr>
        <w:t>20：00-24：00</w:t>
      </w:r>
      <w:r>
        <w:rPr>
          <w:rFonts w:hint="eastAsia" w:ascii="宋体" w:hAnsi="宋体" w:cs="宋体"/>
          <w:sz w:val="24"/>
          <w:szCs w:val="24"/>
        </w:rPr>
        <w:t>，长峰荷时段为</w:t>
      </w:r>
      <w:r>
        <w:rPr>
          <w:rFonts w:hint="eastAsia" w:ascii="宋体" w:hAnsi="宋体" w:cs="宋体"/>
          <w:sz w:val="24"/>
          <w:szCs w:val="24"/>
          <w:lang w:val="en-US" w:eastAsia="zh-CN"/>
        </w:rPr>
        <w:t>6：00-22：00</w:t>
      </w:r>
      <w:r>
        <w:rPr>
          <w:rFonts w:hint="eastAsia" w:ascii="宋体" w:hAnsi="宋体" w:cs="宋体"/>
          <w:sz w:val="24"/>
          <w:szCs w:val="24"/>
        </w:rPr>
        <w:t>。月度工作日和周工作日的标准化合约仅在周一到周五交割，月度周末和周末的标准化合约仅在周六和周日交割，而其他标准化合约在交割周期内的每天都进行交割。</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OPCOM</w:t>
      </w:r>
      <w:r>
        <w:rPr>
          <w:rFonts w:hint="eastAsia" w:ascii="宋体" w:hAnsi="宋体" w:cs="宋体"/>
          <w:sz w:val="24"/>
          <w:szCs w:val="24"/>
        </w:rPr>
        <w:t>为罗马尼亚电力市场开设的标准化合约中，交割周期包括年度、季度、月和周，交割时段包括基荷、峰荷１、峰荷２、晚间峰荷１、晚间峰荷２和非峰荷。峰荷时段为欧洲中部时间的</w:t>
      </w:r>
      <w:r>
        <w:rPr>
          <w:rFonts w:hint="eastAsia" w:ascii="宋体" w:hAnsi="宋体" w:cs="宋体"/>
          <w:sz w:val="24"/>
          <w:szCs w:val="24"/>
          <w:lang w:val="en-US" w:eastAsia="zh-CN"/>
        </w:rPr>
        <w:t>6：00-22：00</w:t>
      </w:r>
      <w:r>
        <w:rPr>
          <w:rFonts w:hint="eastAsia" w:ascii="宋体" w:hAnsi="宋体" w:cs="宋体"/>
          <w:sz w:val="24"/>
          <w:szCs w:val="24"/>
        </w:rPr>
        <w:t>，非峰荷时段为</w:t>
      </w:r>
      <w:r>
        <w:rPr>
          <w:rFonts w:hint="eastAsia" w:ascii="宋体" w:hAnsi="宋体" w:cs="宋体"/>
          <w:sz w:val="24"/>
          <w:szCs w:val="24"/>
          <w:lang w:val="en-US" w:eastAsia="zh-CN"/>
        </w:rPr>
        <w:t>0：00-6：00</w:t>
      </w:r>
      <w:r>
        <w:rPr>
          <w:rFonts w:hint="eastAsia" w:ascii="宋体" w:hAnsi="宋体" w:cs="宋体"/>
          <w:sz w:val="24"/>
          <w:szCs w:val="24"/>
        </w:rPr>
        <w:t>、</w:t>
      </w:r>
      <w:r>
        <w:rPr>
          <w:rFonts w:hint="eastAsia" w:ascii="宋体" w:hAnsi="宋体" w:cs="宋体"/>
          <w:sz w:val="24"/>
          <w:szCs w:val="24"/>
          <w:lang w:val="en-US" w:eastAsia="zh-CN"/>
        </w:rPr>
        <w:t>23：00-24：00</w:t>
      </w:r>
      <w:r>
        <w:rPr>
          <w:rFonts w:hint="eastAsia" w:ascii="宋体" w:hAnsi="宋体" w:cs="宋体"/>
          <w:sz w:val="24"/>
          <w:szCs w:val="24"/>
        </w:rPr>
        <w:t>，晚间峰荷时段为</w:t>
      </w:r>
      <w:r>
        <w:rPr>
          <w:rFonts w:hint="eastAsia" w:ascii="宋体" w:hAnsi="宋体" w:cs="宋体"/>
          <w:sz w:val="24"/>
          <w:szCs w:val="24"/>
          <w:lang w:val="en-US" w:eastAsia="zh-CN"/>
        </w:rPr>
        <w:t>17：00-22：00</w:t>
      </w:r>
      <w:r>
        <w:rPr>
          <w:rFonts w:hint="eastAsia" w:ascii="宋体" w:hAnsi="宋体" w:cs="宋体"/>
          <w:sz w:val="24"/>
          <w:szCs w:val="24"/>
        </w:rPr>
        <w:t>。峰荷１和晚间峰荷１的合约仅在周一到周五交割，峰荷２和晚间峰荷２的合约在交割周期内的每天都进行交割，非峰荷的合约在交割时间上与峰荷１的合约互补。</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APX</w:t>
      </w:r>
      <w:r>
        <w:rPr>
          <w:rFonts w:hint="eastAsia" w:ascii="宋体" w:hAnsi="宋体" w:cs="宋体"/>
          <w:sz w:val="24"/>
          <w:szCs w:val="24"/>
        </w:rPr>
        <w:t>曾为英国电力市场开设一系列连续交易的能量块交易产品，这些交易产品提前</w:t>
      </w:r>
      <w:r>
        <w:rPr>
          <w:rFonts w:hint="eastAsia" w:ascii="宋体" w:hAnsi="宋体" w:cs="宋体"/>
          <w:sz w:val="24"/>
          <w:szCs w:val="24"/>
          <w:lang w:val="en-US" w:eastAsia="zh-CN"/>
        </w:rPr>
        <w:t>2-28</w:t>
      </w:r>
      <w:r>
        <w:rPr>
          <w:rFonts w:hint="eastAsia" w:ascii="宋体" w:hAnsi="宋体" w:cs="宋体"/>
          <w:sz w:val="24"/>
          <w:szCs w:val="24"/>
        </w:rPr>
        <w:t>天开始交易，直至交割前</w:t>
      </w:r>
      <w:r>
        <w:rPr>
          <w:rFonts w:hint="eastAsia" w:ascii="宋体" w:hAnsi="宋体" w:cs="宋体"/>
          <w:sz w:val="24"/>
          <w:szCs w:val="24"/>
          <w:lang w:val="en-US" w:eastAsia="zh-CN"/>
        </w:rPr>
        <w:t>65-80</w:t>
      </w:r>
      <w:r>
        <w:rPr>
          <w:rFonts w:hint="eastAsia" w:ascii="宋体" w:hAnsi="宋体" w:cs="宋体"/>
          <w:sz w:val="24"/>
          <w:szCs w:val="24"/>
        </w:rPr>
        <w:t>分钟交易截止，</w:t>
      </w:r>
      <w:r>
        <w:rPr>
          <w:rFonts w:hint="eastAsia" w:ascii="宋体" w:hAnsi="宋体" w:cs="宋体"/>
          <w:sz w:val="24"/>
          <w:szCs w:val="24"/>
          <w:lang w:val="en-US" w:eastAsia="zh-CN"/>
        </w:rPr>
        <w:t>APX</w:t>
      </w:r>
      <w:r>
        <w:rPr>
          <w:rFonts w:hint="eastAsia" w:ascii="宋体" w:hAnsi="宋体" w:cs="宋体"/>
          <w:sz w:val="24"/>
          <w:szCs w:val="24"/>
        </w:rPr>
        <w:t>所开设的能量块主要针对月内的中长期交易，交割周期仅包括周、周末和日，对交割时段的划分较为细致，并且对不同时间尺度的交易产品设置了不同的交易期，时间尺度越小的交易产品，开始交易的时间越晚。虽然</w:t>
      </w:r>
      <w:r>
        <w:rPr>
          <w:rFonts w:hint="eastAsia" w:ascii="宋体" w:hAnsi="宋体" w:cs="宋体"/>
          <w:sz w:val="24"/>
          <w:szCs w:val="24"/>
          <w:lang w:val="en-US" w:eastAsia="zh-CN"/>
        </w:rPr>
        <w:t>2015</w:t>
      </w:r>
      <w:r>
        <w:rPr>
          <w:rFonts w:hint="eastAsia" w:ascii="宋体" w:hAnsi="宋体" w:cs="宋体"/>
          <w:sz w:val="24"/>
          <w:szCs w:val="24"/>
        </w:rPr>
        <w:t>年</w:t>
      </w:r>
      <w:r>
        <w:rPr>
          <w:rFonts w:hint="eastAsia" w:ascii="宋体" w:hAnsi="宋体" w:cs="宋体"/>
          <w:sz w:val="24"/>
          <w:szCs w:val="24"/>
          <w:lang w:val="en-US" w:eastAsia="zh-CN"/>
        </w:rPr>
        <w:t>APX</w:t>
      </w:r>
      <w:r>
        <w:rPr>
          <w:rFonts w:hint="eastAsia" w:ascii="宋体" w:hAnsi="宋体" w:cs="宋体"/>
          <w:sz w:val="24"/>
          <w:szCs w:val="24"/>
        </w:rPr>
        <w:t>被</w:t>
      </w:r>
      <w:r>
        <w:rPr>
          <w:rFonts w:hint="eastAsia" w:ascii="宋体" w:hAnsi="宋体" w:cs="宋体"/>
          <w:sz w:val="24"/>
          <w:szCs w:val="24"/>
          <w:lang w:val="en-US" w:eastAsia="zh-CN"/>
        </w:rPr>
        <w:t>EPEX Spot</w:t>
      </w:r>
      <w:r>
        <w:rPr>
          <w:rFonts w:hint="eastAsia" w:ascii="宋体" w:hAnsi="宋体" w:cs="宋体"/>
          <w:sz w:val="24"/>
          <w:szCs w:val="24"/>
        </w:rPr>
        <w:t>收购，这些交易产品现在己不再保留，但这些交易产品具有中长期交易产品的性质，并且针对月内短周期交易在时间尺度上做了细致的划分，因此对我国中长期市场的建设仍然具有一定借鉴意义</w:t>
      </w:r>
      <w:r>
        <w:rPr>
          <w:rFonts w:hint="eastAsia" w:ascii="宋体" w:hAnsi="宋体" w:cs="宋体"/>
          <w:sz w:val="24"/>
          <w:szCs w:val="24"/>
          <w:lang w:eastAsia="zh-CN"/>
        </w:rPr>
        <w:t>。</w:t>
      </w:r>
    </w:p>
    <w:p>
      <w:pPr>
        <w:tabs>
          <w:tab w:val="left" w:pos="785"/>
        </w:tabs>
        <w:adjustRightInd w:val="0"/>
        <w:snapToGrid w:val="0"/>
        <w:spacing w:line="360" w:lineRule="auto"/>
        <w:ind w:firstLine="482" w:firstLineChars="200"/>
        <w:rPr>
          <w:rFonts w:hint="eastAsia" w:ascii="宋体" w:hAnsi="宋体" w:cs="宋体"/>
          <w:b/>
          <w:bCs/>
          <w:sz w:val="24"/>
          <w:szCs w:val="24"/>
        </w:rPr>
      </w:pPr>
      <w:r>
        <w:rPr>
          <w:rFonts w:hint="eastAsia" w:ascii="宋体" w:hAnsi="宋体" w:cs="宋体"/>
          <w:b/>
          <w:bCs/>
          <w:sz w:val="24"/>
          <w:szCs w:val="24"/>
          <w:lang w:eastAsia="zh-CN"/>
        </w:rPr>
        <w:t>（</w:t>
      </w:r>
      <w:r>
        <w:rPr>
          <w:rFonts w:hint="eastAsia" w:ascii="宋体" w:hAnsi="宋体" w:cs="宋体"/>
          <w:b/>
          <w:bCs/>
          <w:sz w:val="24"/>
          <w:szCs w:val="24"/>
          <w:lang w:val="en-US" w:eastAsia="zh-CN"/>
        </w:rPr>
        <w:t>2</w:t>
      </w:r>
      <w:r>
        <w:rPr>
          <w:rFonts w:hint="eastAsia" w:ascii="宋体" w:hAnsi="宋体" w:cs="宋体"/>
          <w:b/>
          <w:bCs/>
          <w:sz w:val="24"/>
          <w:szCs w:val="24"/>
          <w:lang w:eastAsia="zh-CN"/>
        </w:rPr>
        <w:t>）</w:t>
      </w:r>
      <w:r>
        <w:rPr>
          <w:rFonts w:hint="eastAsia" w:ascii="宋体" w:hAnsi="宋体" w:cs="宋体"/>
          <w:b/>
          <w:bCs/>
          <w:sz w:val="24"/>
          <w:szCs w:val="24"/>
        </w:rPr>
        <w:t>日前交易</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欧洲电力市场中，日前交易一般采用拍卖（集中竞价）的方式，报价方式包括小时报价、优先级报价、</w:t>
      </w:r>
      <w:r>
        <w:rPr>
          <w:rFonts w:hint="eastAsia" w:ascii="宋体" w:hAnsi="宋体" w:cs="宋体"/>
          <w:sz w:val="24"/>
          <w:szCs w:val="24"/>
          <w:lang w:val="en-US" w:eastAsia="zh-CN"/>
        </w:rPr>
        <w:t>PUN</w:t>
      </w:r>
      <w:r>
        <w:rPr>
          <w:rFonts w:hint="eastAsia" w:ascii="宋体" w:hAnsi="宋体" w:cs="宋体"/>
          <w:sz w:val="24"/>
          <w:szCs w:val="24"/>
        </w:rPr>
        <w:t>报价、复杂报价和块报价。小时报价即针对每个小时电能量的常规报价，无其他附加约束。优先级报价指对不同的报价设定优先级，优先级高的报价在同等价格下优先成交。</w:t>
      </w:r>
      <w:r>
        <w:rPr>
          <w:rFonts w:hint="eastAsia" w:ascii="宋体" w:hAnsi="宋体" w:cs="宋体"/>
          <w:sz w:val="24"/>
          <w:szCs w:val="24"/>
          <w:lang w:val="en-US" w:eastAsia="zh-CN"/>
        </w:rPr>
        <w:t>PUN</w:t>
      </w:r>
      <w:r>
        <w:rPr>
          <w:rFonts w:hint="eastAsia" w:ascii="宋体" w:hAnsi="宋体" w:cs="宋体"/>
          <w:sz w:val="24"/>
          <w:szCs w:val="24"/>
        </w:rPr>
        <w:t>报价一般用于一个国家包含多个价区的情况，</w:t>
      </w:r>
      <w:r>
        <w:rPr>
          <w:rFonts w:hint="eastAsia" w:ascii="宋体" w:hAnsi="宋体" w:cs="宋体"/>
          <w:sz w:val="24"/>
          <w:szCs w:val="24"/>
          <w:lang w:val="en-US" w:eastAsia="zh-CN"/>
        </w:rPr>
        <w:t>PUN</w:t>
      </w:r>
      <w:r>
        <w:rPr>
          <w:rFonts w:hint="eastAsia" w:ascii="宋体" w:hAnsi="宋体" w:cs="宋体"/>
          <w:sz w:val="24"/>
          <w:szCs w:val="24"/>
        </w:rPr>
        <w:t>报价的结算价格为这几个价区价格的加权平均值。复杂报价包括最小收入报价和负荷梯度报价</w:t>
      </w:r>
      <w:r>
        <w:rPr>
          <w:rFonts w:hint="eastAsia" w:ascii="宋体" w:hAnsi="宋体" w:cs="宋体"/>
          <w:sz w:val="24"/>
          <w:szCs w:val="24"/>
          <w:lang w:eastAsia="zh-CN"/>
        </w:rPr>
        <w:t>：</w:t>
      </w:r>
      <w:r>
        <w:rPr>
          <w:rFonts w:hint="eastAsia" w:ascii="宋体" w:hAnsi="宋体" w:cs="宋体"/>
          <w:sz w:val="24"/>
          <w:szCs w:val="24"/>
        </w:rPr>
        <w:t>最小收入报价要求申报固定成本和变动成本两个参数，对多个时段的报价施加最小收入约束，只有在收益能够覆盖固定成本和变动成本时，最小收入报价才能中标</w:t>
      </w:r>
      <w:r>
        <w:rPr>
          <w:rFonts w:hint="eastAsia" w:ascii="宋体" w:hAnsi="宋体" w:cs="宋体"/>
          <w:sz w:val="24"/>
          <w:szCs w:val="24"/>
          <w:lang w:eastAsia="zh-CN"/>
        </w:rPr>
        <w:t>；</w:t>
      </w:r>
      <w:r>
        <w:rPr>
          <w:rFonts w:hint="eastAsia" w:ascii="宋体" w:hAnsi="宋体" w:cs="宋体"/>
          <w:sz w:val="24"/>
          <w:szCs w:val="24"/>
        </w:rPr>
        <w:t>负荷梯度报价要求申报最大增量和最大减量，对多个时段的报价施加负荷梯度约束，后一时段中标量相比前一时段中标量的增量不得大于最大增量，减量不得大于最大减量。</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块报价包括常规块报价、链式报价、互斥报价和灵活小时报价等。</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１）常规块报价</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常规块报价要求申报的参数包括价格、时段、分时段电量、最小接受率。申报的时段可以是连续的或不连续的，各时段电量可以不同，最终以各时段价格的加权平均值判断块报价中标与否。接受率指中标量占申报量的比值，只有在接受率不低于最小接受率的情况下，常规块报价才可中标。最小接受率若为１则表示块报价带有</w:t>
      </w:r>
      <w:r>
        <w:rPr>
          <w:rFonts w:hint="eastAsia" w:ascii="宋体" w:hAnsi="宋体" w:cs="宋体"/>
          <w:sz w:val="24"/>
          <w:szCs w:val="24"/>
          <w:lang w:val="en-US" w:eastAsia="zh-CN"/>
        </w:rPr>
        <w:t>AON(All or None)</w:t>
      </w:r>
      <w:r>
        <w:rPr>
          <w:rFonts w:hint="eastAsia" w:ascii="宋体" w:hAnsi="宋体" w:cs="宋体"/>
          <w:sz w:val="24"/>
          <w:szCs w:val="24"/>
        </w:rPr>
        <w:t>约束，即申报量只能全部中标或不中标。最小接受率小于１的块报价也被称为可削减块报价。</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２）链式报价</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链式报价中若千个常规块报价组成家族关系，子块的中标与否取决于父块，其匹配方式满足如下规则：</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a</w:t>
      </w:r>
      <w:r>
        <w:rPr>
          <w:rFonts w:hint="eastAsia" w:ascii="宋体" w:hAnsi="宋体" w:cs="宋体"/>
          <w:sz w:val="24"/>
          <w:szCs w:val="24"/>
        </w:rPr>
        <w:t>）子块的接受率不得高于父块；</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b</w:t>
      </w:r>
      <w:r>
        <w:rPr>
          <w:rFonts w:hint="eastAsia" w:ascii="宋体" w:hAnsi="宋体" w:cs="宋体"/>
          <w:sz w:val="24"/>
          <w:szCs w:val="24"/>
        </w:rPr>
        <w:t>）如果父块和子块中标均获利，则父块和子块均可中标，均亏损则均不中标；</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c</w:t>
      </w:r>
      <w:r>
        <w:rPr>
          <w:rFonts w:hint="eastAsia" w:ascii="宋体" w:hAnsi="宋体" w:cs="宋体"/>
          <w:sz w:val="24"/>
          <w:szCs w:val="24"/>
        </w:rPr>
        <w:t>）如果父块中标是亏损的，但子块的中标收益可以覆盖父块的亏损，则父块和子块均可以中标；</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d</w:t>
      </w:r>
      <w:r>
        <w:rPr>
          <w:rFonts w:hint="eastAsia" w:ascii="宋体" w:hAnsi="宋体" w:cs="宋体"/>
          <w:sz w:val="24"/>
          <w:szCs w:val="24"/>
        </w:rPr>
        <w:t>）如果父块中标是盈利而子块中标是亏损的，则父块中标而子块不中标，即使父块的中标收益可以覆盖子块的亏损。</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３）互斥报价</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互斥报价包含若干个常规块报价，这些块报价的接受率之和不大于１。若互斥报价包含的若干个常规块报价的最小接受率均为１，则表示多个常规块报价中最多仅有一个能够中标。</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４）灵活小时报价</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灵活小时报价要求申报的参数包括价格、量和最小接受率。灵活小时报价可能在任意一个时段中标，具体中标的时段不由市场主体自己定义，而是由出清算法决定。</w:t>
      </w:r>
    </w:p>
    <w:p>
      <w:pPr>
        <w:tabs>
          <w:tab w:val="left" w:pos="785"/>
        </w:tabs>
        <w:adjustRightInd w:val="0"/>
        <w:snapToGrid w:val="0"/>
        <w:spacing w:line="360" w:lineRule="auto"/>
        <w:ind w:firstLine="482" w:firstLineChars="200"/>
        <w:rPr>
          <w:rFonts w:hint="eastAsia" w:ascii="宋体" w:hAnsi="宋体" w:cs="宋体"/>
          <w:b/>
          <w:bCs/>
          <w:sz w:val="24"/>
          <w:szCs w:val="24"/>
          <w:lang w:val="en-US" w:eastAsia="zh-CN"/>
        </w:rPr>
      </w:pPr>
      <w:r>
        <w:rPr>
          <w:rFonts w:hint="eastAsia" w:ascii="宋体" w:hAnsi="宋体" w:cs="宋体"/>
          <w:b/>
          <w:bCs/>
          <w:sz w:val="24"/>
          <w:szCs w:val="24"/>
          <w:lang w:val="en-US" w:eastAsia="zh-CN"/>
        </w:rPr>
        <w:t>（3）臼内交易</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日内交易的交易方式包括日内拍卖和日内连续交易两种。</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１）日内拍卖</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日内拍卖的组织方式与日前拍卖类似，区别在于交易产品不一定是</w:t>
      </w:r>
      <w:r>
        <w:rPr>
          <w:rFonts w:hint="eastAsia" w:ascii="宋体" w:hAnsi="宋体" w:cs="宋体"/>
          <w:sz w:val="24"/>
          <w:szCs w:val="24"/>
          <w:lang w:val="en-US" w:eastAsia="zh-CN"/>
        </w:rPr>
        <w:t>1</w:t>
      </w:r>
      <w:r>
        <w:rPr>
          <w:rFonts w:hint="eastAsia" w:ascii="宋体" w:hAnsi="宋体" w:cs="宋体"/>
          <w:sz w:val="24"/>
          <w:szCs w:val="24"/>
        </w:rPr>
        <w:t>小时块，还可以是半小时块或</w:t>
      </w:r>
      <w:r>
        <w:rPr>
          <w:rFonts w:hint="eastAsia" w:ascii="宋体" w:hAnsi="宋体" w:cs="宋体"/>
          <w:sz w:val="24"/>
          <w:szCs w:val="24"/>
          <w:lang w:val="en-US" w:eastAsia="zh-CN"/>
        </w:rPr>
        <w:t>15</w:t>
      </w:r>
      <w:r>
        <w:rPr>
          <w:rFonts w:hint="eastAsia" w:ascii="宋体" w:hAnsi="宋体" w:cs="宋体"/>
          <w:sz w:val="24"/>
          <w:szCs w:val="24"/>
        </w:rPr>
        <w:t>分钟块。此外，日内拍卖的报价方式与日前拍卖相比较为简化，例如块报价通常只允许常规块报价。</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２）日内连续交易</w:t>
      </w:r>
    </w:p>
    <w:p>
      <w:pPr>
        <w:tabs>
          <w:tab w:val="left" w:pos="785"/>
        </w:tabs>
        <w:adjustRightInd w:val="0"/>
        <w:snapToGrid w:val="0"/>
        <w:spacing w:line="360" w:lineRule="auto"/>
        <w:ind w:firstLine="480" w:firstLineChars="200"/>
        <w:rPr>
          <w:rFonts w:hint="eastAsia" w:ascii="宋体" w:hAnsi="宋体" w:eastAsia="宋体" w:cs="宋体"/>
          <w:sz w:val="24"/>
          <w:szCs w:val="24"/>
          <w:lang w:eastAsia="zh-CN"/>
        </w:rPr>
      </w:pPr>
      <w:r>
        <w:rPr>
          <w:rFonts w:hint="eastAsia" w:ascii="宋体" w:hAnsi="宋体" w:cs="宋体"/>
          <w:sz w:val="24"/>
          <w:szCs w:val="24"/>
        </w:rPr>
        <w:t>日内连续交易的交易产品包括</w:t>
      </w:r>
      <w:r>
        <w:rPr>
          <w:rFonts w:hint="eastAsia" w:ascii="宋体" w:hAnsi="宋体" w:cs="宋体"/>
          <w:sz w:val="24"/>
          <w:szCs w:val="24"/>
          <w:lang w:val="en-US" w:eastAsia="zh-CN"/>
        </w:rPr>
        <w:t>15</w:t>
      </w:r>
      <w:r>
        <w:rPr>
          <w:rFonts w:hint="eastAsia" w:ascii="宋体" w:hAnsi="宋体" w:cs="宋体"/>
          <w:sz w:val="24"/>
          <w:szCs w:val="24"/>
        </w:rPr>
        <w:t>分钟块、半小时块、</w:t>
      </w:r>
      <w:r>
        <w:rPr>
          <w:rFonts w:hint="eastAsia" w:ascii="宋体" w:hAnsi="宋体" w:cs="宋体"/>
          <w:sz w:val="24"/>
          <w:szCs w:val="24"/>
          <w:lang w:val="en-US" w:eastAsia="zh-CN"/>
        </w:rPr>
        <w:t>1</w:t>
      </w:r>
      <w:r>
        <w:rPr>
          <w:rFonts w:hint="eastAsia" w:ascii="宋体" w:hAnsi="宋体" w:cs="宋体"/>
          <w:sz w:val="24"/>
          <w:szCs w:val="24"/>
        </w:rPr>
        <w:t>小时块和用户定义块</w:t>
      </w:r>
      <w:r>
        <w:rPr>
          <w:rFonts w:hint="eastAsia" w:ascii="宋体" w:hAnsi="宋体" w:cs="宋体"/>
          <w:sz w:val="24"/>
          <w:szCs w:val="24"/>
          <w:lang w:val="en-US" w:eastAsia="zh-CN"/>
        </w:rPr>
        <w:t>(user defined blocks)</w:t>
      </w:r>
      <w:r>
        <w:rPr>
          <w:rFonts w:hint="eastAsia" w:ascii="宋体" w:hAnsi="宋体" w:cs="宋体"/>
          <w:sz w:val="24"/>
          <w:szCs w:val="24"/>
        </w:rPr>
        <w:t>四种。报价方式包括</w:t>
      </w:r>
      <w:r>
        <w:rPr>
          <w:rFonts w:hint="eastAsia" w:ascii="宋体" w:hAnsi="宋体" w:cs="宋体"/>
          <w:sz w:val="24"/>
          <w:szCs w:val="24"/>
          <w:lang w:val="en-US" w:eastAsia="zh-CN"/>
        </w:rPr>
        <w:t>以下</w:t>
      </w:r>
      <w:r>
        <w:rPr>
          <w:rFonts w:hint="eastAsia" w:ascii="宋体" w:hAnsi="宋体" w:cs="宋体"/>
          <w:sz w:val="24"/>
          <w:szCs w:val="24"/>
        </w:rPr>
        <w:t>三种</w:t>
      </w:r>
      <w:r>
        <w:rPr>
          <w:rFonts w:hint="eastAsia" w:ascii="宋体" w:hAnsi="宋体" w:cs="宋体"/>
          <w:sz w:val="24"/>
          <w:szCs w:val="24"/>
          <w:lang w:eastAsia="zh-CN"/>
        </w:rPr>
        <w:t>：</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a</w:t>
      </w:r>
      <w:r>
        <w:rPr>
          <w:rFonts w:hint="eastAsia" w:ascii="宋体" w:hAnsi="宋体" w:cs="宋体"/>
          <w:sz w:val="24"/>
          <w:szCs w:val="24"/>
        </w:rPr>
        <w:t>）常规报价：常规报价要求申报量和价格，可选择</w:t>
      </w:r>
      <w:r>
        <w:rPr>
          <w:rFonts w:hint="eastAsia" w:ascii="宋体" w:hAnsi="宋体" w:cs="宋体"/>
          <w:sz w:val="24"/>
          <w:szCs w:val="24"/>
          <w:lang w:val="en-US" w:eastAsia="zh-CN"/>
        </w:rPr>
        <w:t>NON、IOC、FOK</w:t>
      </w:r>
      <w:r>
        <w:rPr>
          <w:rFonts w:hint="eastAsia" w:ascii="宋体" w:hAnsi="宋体" w:cs="宋体"/>
          <w:sz w:val="24"/>
          <w:szCs w:val="24"/>
        </w:rPr>
        <w:t>三种执行约束之一。其中</w:t>
      </w:r>
      <w:r>
        <w:rPr>
          <w:rFonts w:hint="eastAsia" w:ascii="宋体" w:hAnsi="宋体" w:cs="宋体"/>
          <w:sz w:val="24"/>
          <w:szCs w:val="24"/>
          <w:lang w:val="en-US" w:eastAsia="zh-CN"/>
        </w:rPr>
        <w:t>NON</w:t>
      </w:r>
      <w:r>
        <w:rPr>
          <w:rFonts w:hint="eastAsia" w:ascii="宋体" w:hAnsi="宋体" w:cs="宋体"/>
          <w:sz w:val="24"/>
          <w:szCs w:val="24"/>
        </w:rPr>
        <w:t>即为无约束，无约束的常规报价与电力期货交易的常规报价相同。</w:t>
      </w:r>
      <w:r>
        <w:rPr>
          <w:rFonts w:hint="eastAsia" w:ascii="宋体" w:hAnsi="宋体" w:cs="宋体"/>
          <w:sz w:val="24"/>
          <w:szCs w:val="24"/>
          <w:lang w:val="en-US" w:eastAsia="zh-CN"/>
        </w:rPr>
        <w:t>IOC</w:t>
      </w:r>
      <w:r>
        <w:rPr>
          <w:rFonts w:hint="eastAsia" w:ascii="宋体" w:hAnsi="宋体" w:cs="宋体"/>
          <w:sz w:val="24"/>
          <w:szCs w:val="24"/>
        </w:rPr>
        <w:t>约束和</w:t>
      </w:r>
      <w:r>
        <w:rPr>
          <w:rFonts w:hint="eastAsia" w:ascii="宋体" w:hAnsi="宋体" w:cs="宋体"/>
          <w:sz w:val="24"/>
          <w:szCs w:val="24"/>
          <w:lang w:val="en-US" w:eastAsia="zh-CN"/>
        </w:rPr>
        <w:t>FOK</w:t>
      </w:r>
      <w:r>
        <w:rPr>
          <w:rFonts w:hint="eastAsia" w:ascii="宋体" w:hAnsi="宋体" w:cs="宋体"/>
          <w:sz w:val="24"/>
          <w:szCs w:val="24"/>
        </w:rPr>
        <w:t>的约束也与电力期货交易相似，区别在于电力期货交易的</w:t>
      </w:r>
      <w:r>
        <w:rPr>
          <w:rFonts w:hint="eastAsia" w:ascii="宋体" w:hAnsi="宋体" w:cs="宋体"/>
          <w:sz w:val="24"/>
          <w:szCs w:val="24"/>
          <w:lang w:val="en-US" w:eastAsia="zh-CN"/>
        </w:rPr>
        <w:t>IOC</w:t>
      </w:r>
      <w:r>
        <w:rPr>
          <w:rFonts w:hint="eastAsia" w:ascii="宋体" w:hAnsi="宋体" w:cs="宋体"/>
          <w:sz w:val="24"/>
          <w:szCs w:val="24"/>
        </w:rPr>
        <w:t>约束和</w:t>
      </w:r>
      <w:r>
        <w:rPr>
          <w:rFonts w:hint="eastAsia" w:ascii="宋体" w:hAnsi="宋体" w:cs="宋体"/>
          <w:sz w:val="24"/>
          <w:szCs w:val="24"/>
          <w:lang w:val="en-US" w:eastAsia="zh-CN"/>
        </w:rPr>
        <w:t>FOK</w:t>
      </w:r>
      <w:r>
        <w:rPr>
          <w:rFonts w:hint="eastAsia" w:ascii="宋体" w:hAnsi="宋体" w:cs="宋体"/>
          <w:sz w:val="24"/>
          <w:szCs w:val="24"/>
        </w:rPr>
        <w:t>约束针对的是市价报价，而日内连续交易针对的是常规报价，在判断是否成交时还要考虑申报价格。</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b</w:t>
      </w:r>
      <w:r>
        <w:rPr>
          <w:rFonts w:hint="eastAsia" w:ascii="宋体" w:hAnsi="宋体" w:cs="宋体"/>
          <w:sz w:val="24"/>
          <w:szCs w:val="24"/>
        </w:rPr>
        <w:t>）关联报价：一个关联报价包括两个或多个常规报价，被关联的各个报价交割位置必须相同且执行约束必须为</w:t>
      </w:r>
      <w:r>
        <w:rPr>
          <w:rFonts w:hint="eastAsia" w:ascii="宋体" w:hAnsi="宋体" w:cs="宋体"/>
          <w:sz w:val="24"/>
          <w:szCs w:val="24"/>
          <w:lang w:val="en-US" w:eastAsia="zh-CN"/>
        </w:rPr>
        <w:t>FOK</w:t>
      </w:r>
      <w:r>
        <w:rPr>
          <w:rFonts w:hint="eastAsia" w:ascii="宋体" w:hAnsi="宋体" w:cs="宋体"/>
          <w:sz w:val="24"/>
          <w:szCs w:val="24"/>
        </w:rPr>
        <w:t>，关联报价提交后，只有各个报价都能够成交全部申报量时，关联报价才能成交，否则立即撤销。值得注意的是，日内连续交易中关联报价的逻辑与电力期货交易中的组合报价逻辑是相似的，而电力期货交易中的关联报价是不同的。</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c</w:t>
      </w:r>
      <w:r>
        <w:rPr>
          <w:rFonts w:hint="eastAsia" w:ascii="宋体" w:hAnsi="宋体" w:cs="宋体"/>
          <w:sz w:val="24"/>
          <w:szCs w:val="24"/>
        </w:rPr>
        <w:t>）冰山报价：日内连续交易的冰山报价与电力期货交易中的冰山报价一致。</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2.3.2 美国电力市场</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美国电力批发市场中，一般由独立系统运营商或区域输电组织同时承担电力调度机构和电力交易机构的职能，运营日前市场、实时市场等。在日前市场和实时市场中，发电侧报价一般称为多部制报价，报价包括电能量费用、空载费用和启动费用三部分，其中电能量费用是递增的多段报价曲线；空载费用为电能量费用多段报价曲线的起点，在数学上对应机组维持空载运行时的费用；启动费用指机组从停机到启机所需的费用。此外，发电侧还需要申报技术约束相关参数，如爬坡速率、最小运行时间和最小停机时间等</w:t>
      </w:r>
      <w:r>
        <w:rPr>
          <w:rFonts w:hint="eastAsia" w:ascii="宋体" w:hAnsi="宋体" w:cs="宋体"/>
          <w:sz w:val="24"/>
          <w:szCs w:val="24"/>
          <w:lang w:eastAsia="zh-CN"/>
        </w:rPr>
        <w:t>。</w:t>
      </w:r>
      <w:r>
        <w:rPr>
          <w:rFonts w:hint="eastAsia" w:ascii="宋体" w:hAnsi="宋体" w:cs="宋体"/>
          <w:sz w:val="24"/>
          <w:szCs w:val="24"/>
        </w:rPr>
        <w:t>若允许用户侧参与报价（一般仅在日前市场报价），报价形式一般包括两类，一类是报量不报价，仅申报购买电量和节点位置；另一类是报量、报价，除节点位置外要申报递减的多段报价曲线。在日前市场中通常还允许申报虚拟报价，申报虚拟报价的市场主体不一定是需要实际发电或用电的主体，可以仅作为投机者申报购电报价或售电报价。发电侧也可以申报虚拟的购电报价，用户侧也可以申报虚拟的售电报价。</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根据上述报价信息，独立系统运营商或区域输电组织基于安全约束机组组合模型和安全约束经济调度模型进行日前市场和实时市场的出清。</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2.3.3 我国电力市场</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（１）非电力现货市场环境下的电力中长期交易</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我国</w:t>
      </w:r>
      <w:r>
        <w:rPr>
          <w:rFonts w:hint="eastAsia" w:ascii="宋体" w:hAnsi="宋体" w:cs="宋体"/>
          <w:sz w:val="24"/>
          <w:szCs w:val="24"/>
          <w:lang w:val="en-US" w:eastAsia="zh-CN"/>
        </w:rPr>
        <w:t>2002</w:t>
      </w:r>
      <w:r>
        <w:rPr>
          <w:rFonts w:hint="eastAsia" w:ascii="宋体" w:hAnsi="宋体" w:cs="宋体"/>
          <w:sz w:val="24"/>
          <w:szCs w:val="24"/>
        </w:rPr>
        <w:t>年实现“厂网分开”以来，探索开展了大用户直接交易、发电权交易、跨省跨区交易等市场化交易。基于这些实践经验，国家发展改革委和国家能源局于</w:t>
      </w:r>
      <w:r>
        <w:rPr>
          <w:rFonts w:hint="eastAsia" w:ascii="宋体" w:hAnsi="宋体" w:cs="宋体"/>
          <w:sz w:val="24"/>
          <w:szCs w:val="24"/>
          <w:lang w:val="en-US" w:eastAsia="zh-CN"/>
        </w:rPr>
        <w:t>2016</w:t>
      </w:r>
      <w:r>
        <w:rPr>
          <w:rFonts w:hint="eastAsia" w:ascii="宋体" w:hAnsi="宋体" w:cs="宋体"/>
          <w:sz w:val="24"/>
          <w:szCs w:val="24"/>
        </w:rPr>
        <w:t>年</w:t>
      </w:r>
      <w:r>
        <w:rPr>
          <w:rFonts w:hint="eastAsia" w:ascii="宋体" w:hAnsi="宋体" w:cs="宋体"/>
          <w:sz w:val="24"/>
          <w:szCs w:val="24"/>
          <w:lang w:val="en-US" w:eastAsia="zh-CN"/>
        </w:rPr>
        <w:t>12</w:t>
      </w:r>
      <w:r>
        <w:rPr>
          <w:rFonts w:hint="eastAsia" w:ascii="宋体" w:hAnsi="宋体" w:cs="宋体"/>
          <w:sz w:val="24"/>
          <w:szCs w:val="24"/>
        </w:rPr>
        <w:t>月发布《电力中长期交易基本规则（暂行）》，促进了全国各地电力中长期交易的开展，之后在吸纳了三年来国内电力中长期交易实践经验的基础上，对暂行版规则进行了全面系统的梳理、补充和完善，于</w:t>
      </w:r>
      <w:r>
        <w:rPr>
          <w:rFonts w:hint="eastAsia" w:ascii="宋体" w:hAnsi="宋体" w:cs="宋体"/>
          <w:sz w:val="24"/>
          <w:szCs w:val="24"/>
          <w:lang w:val="en-US" w:eastAsia="zh-CN"/>
        </w:rPr>
        <w:t>2020</w:t>
      </w:r>
      <w:r>
        <w:rPr>
          <w:rFonts w:hint="eastAsia" w:ascii="宋体" w:hAnsi="宋体" w:cs="宋体"/>
          <w:sz w:val="24"/>
          <w:szCs w:val="24"/>
        </w:rPr>
        <w:t>年６月发布《电力中长期交易基本规则》的修订版本，基本确立了我国的电力中长期交易体系。《电力中长期交易基本规则》主要适用于未开展电力现货交易的地区，在规则所描述的交易模式下，电力中长期交易的交易标的物一般是分月电量，交易结果仅分解到月（月内交易结果累加至分月电量），而未分解到各时段。系统月度实际用电需求与月度发电计划存在偏差时，需要通过发电侧上下调预挂牌机制、偏差电量次月挂牌、合同电量滚动调整等偏差电量处理机制进行处理。</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（２）电力现货市场环境下的电力中长期交易</w:t>
      </w:r>
    </w:p>
    <w:p>
      <w:pPr>
        <w:tabs>
          <w:tab w:val="left" w:pos="785"/>
        </w:tabs>
        <w:adjustRightInd w:val="0"/>
        <w:snapToGrid w:val="0"/>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rPr>
        <w:t>建成包括中长期和现货市场等较为完整的电力市场是新一轮电力体制改革的目标之一。随着新一轮电力体制改革的不断深化，电力现货市场建设的进程逐渐加快，电力中长期市场与电力现货市场的衔接问题也日益受到重视。然而，在《电力中长期交易基本规则》描述的中长期交易模式下，中长期合同仅约定了一定时间段（一般为月）内的交割电量总量，而没有约定具体的交割时间和各时段的交割功率，发电企业的发电计划仍然由计划调度决定。电力现货市场将改变计划调度模式，如果仍维持《电力中长期交易基本规则》描述的中长期交易模式不变，中长期交易与现货市场衔接上会出现一系列问题，主要体现在：</w:t>
      </w:r>
      <w:r>
        <w:rPr>
          <w:rFonts w:hint="eastAsia" w:ascii="宋体" w:hAnsi="宋体" w:cs="宋体"/>
          <w:sz w:val="24"/>
          <w:szCs w:val="24"/>
          <w:lang w:val="en-US" w:eastAsia="zh-CN"/>
        </w:rPr>
        <w:t xml:space="preserve">  </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１）在交易环节，由于现货价格具有时间信号甚至位置信号，而中长期电量合同的交割电量没有区分时间和位置，市场主体难以对中长期合同合理定价，也就无法有效地管控风险；</w:t>
      </w:r>
    </w:p>
    <w:p>
      <w:pPr>
        <w:tabs>
          <w:tab w:val="left" w:pos="785"/>
        </w:tabs>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２）在结算环节，无法清分市场主体各时段的中长期交易电量，中长期交易电量分解到各时段电量的方法不同，市场主体的收益和支出也不同，也就难以公平合理地结算。</w:t>
      </w:r>
    </w:p>
    <w:p>
      <w:pPr>
        <w:tabs>
          <w:tab w:val="left" w:pos="785"/>
        </w:tabs>
        <w:adjustRightInd w:val="0"/>
        <w:snapToGrid w:val="0"/>
        <w:spacing w:line="360" w:lineRule="auto"/>
        <w:ind w:firstLine="480" w:firstLineChars="200"/>
        <w:rPr>
          <w:rFonts w:hint="eastAsia" w:ascii="宋体" w:hAnsi="宋体" w:cs="宋体"/>
          <w:sz w:val="24"/>
          <w:szCs w:val="24"/>
        </w:rPr>
      </w:pPr>
    </w:p>
    <w:bookmarkEnd w:id="12"/>
    <w:p>
      <w:pPr>
        <w:pStyle w:val="3"/>
        <w:bidi w:val="0"/>
        <w:ind w:firstLine="420" w:firstLineChars="0"/>
        <w:rPr>
          <w:rFonts w:hint="eastAsia" w:ascii="黑体" w:hAnsi="黑体" w:eastAsia="黑体" w:cs="黑体"/>
          <w:sz w:val="28"/>
          <w:szCs w:val="28"/>
        </w:rPr>
      </w:pPr>
      <w:bookmarkStart w:id="18" w:name="_Toc19660"/>
      <w:r>
        <w:rPr>
          <w:rFonts w:hint="eastAsia" w:ascii="黑体" w:hAnsi="黑体" w:eastAsia="黑体" w:cs="黑体"/>
          <w:sz w:val="28"/>
          <w:szCs w:val="28"/>
          <w:lang w:val="en-US" w:eastAsia="zh-CN"/>
        </w:rPr>
        <w:t xml:space="preserve">2.4 </w:t>
      </w:r>
      <w:r>
        <w:rPr>
          <w:rFonts w:hint="eastAsia" w:ascii="黑体" w:hAnsi="黑体" w:eastAsia="黑体" w:cs="黑体"/>
          <w:sz w:val="28"/>
          <w:szCs w:val="28"/>
        </w:rPr>
        <w:t>华电现状</w:t>
      </w:r>
      <w:bookmarkEnd w:id="18"/>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2.4.1 新电改形势下的电力交易与营销现状</w:t>
      </w:r>
    </w:p>
    <w:p>
      <w:pPr>
        <w:tabs>
          <w:tab w:val="left" w:pos="785"/>
        </w:tabs>
        <w:adjustRightInd w:val="0"/>
        <w:snapToGrid w:val="0"/>
        <w:spacing w:line="360" w:lineRule="auto"/>
        <w:ind w:firstLine="480" w:firstLineChars="200"/>
        <w:rPr>
          <w:rFonts w:hint="default" w:ascii="宋体" w:hAnsi="宋体" w:cs="宋体"/>
          <w:sz w:val="24"/>
          <w:szCs w:val="22"/>
          <w:lang w:val="en-US" w:eastAsia="zh-CN"/>
        </w:rPr>
      </w:pPr>
      <w:r>
        <w:rPr>
          <w:rFonts w:hint="eastAsia" w:ascii="宋体" w:hAnsi="宋体" w:cs="宋体"/>
          <w:sz w:val="24"/>
          <w:szCs w:val="22"/>
          <w:lang w:val="en-US" w:eastAsia="zh-CN"/>
        </w:rPr>
        <w:t>在国家新电改形势下，华电交易与营销现状概括如下：</w:t>
      </w:r>
    </w:p>
    <w:p>
      <w:pPr>
        <w:tabs>
          <w:tab w:val="left" w:pos="785"/>
        </w:tabs>
        <w:adjustRightInd w:val="0"/>
        <w:snapToGrid w:val="0"/>
        <w:spacing w:line="360" w:lineRule="auto"/>
        <w:ind w:firstLine="480" w:firstLineChars="200"/>
        <w:rPr>
          <w:rFonts w:hint="eastAsia" w:ascii="宋体" w:hAnsi="宋体" w:cs="宋体"/>
          <w:sz w:val="24"/>
          <w:szCs w:val="22"/>
        </w:rPr>
      </w:pPr>
      <w:r>
        <w:rPr>
          <w:rFonts w:hint="eastAsia" w:ascii="宋体" w:hAnsi="宋体" w:cs="宋体"/>
          <w:sz w:val="24"/>
          <w:szCs w:val="22"/>
        </w:rPr>
        <w:t>（1）产品策略</w:t>
      </w:r>
    </w:p>
    <w:p>
      <w:pPr>
        <w:tabs>
          <w:tab w:val="left" w:pos="785"/>
        </w:tabs>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sz w:val="24"/>
          <w:szCs w:val="22"/>
        </w:rPr>
        <w:t>电力商品不同于其他商品，它必须生产、输送和使用同时进行，目前的技术水平也无法实现电能的大规模存储，</w:t>
      </w:r>
      <w:r>
        <w:rPr>
          <w:rFonts w:hint="eastAsia" w:ascii="宋体" w:hAnsi="宋体" w:cs="宋体"/>
          <w:sz w:val="24"/>
          <w:szCs w:val="22"/>
          <w:lang w:val="en-US" w:eastAsia="zh-CN"/>
        </w:rPr>
        <w:t>华电</w:t>
      </w:r>
      <w:r>
        <w:rPr>
          <w:rFonts w:hint="eastAsia" w:ascii="宋体" w:hAnsi="宋体" w:cs="宋体"/>
          <w:sz w:val="24"/>
          <w:szCs w:val="22"/>
        </w:rPr>
        <w:t>公司需平衡发电厂和用户之间的电力</w:t>
      </w:r>
      <w:r>
        <w:rPr>
          <w:rFonts w:hint="eastAsia" w:ascii="宋体" w:hAnsi="宋体" w:cs="宋体"/>
          <w:sz w:val="24"/>
          <w:szCs w:val="22"/>
          <w:lang w:val="en-US" w:eastAsia="zh-CN"/>
        </w:rPr>
        <w:t>供需</w:t>
      </w:r>
      <w:r>
        <w:rPr>
          <w:rFonts w:hint="eastAsia" w:ascii="宋体" w:hAnsi="宋体" w:cs="宋体"/>
          <w:sz w:val="24"/>
          <w:szCs w:val="22"/>
        </w:rPr>
        <w:t>，保证电网的安</w:t>
      </w:r>
      <w:r>
        <w:rPr>
          <w:rFonts w:hint="eastAsia" w:ascii="宋体" w:hAnsi="宋体" w:cs="宋体"/>
          <w:color w:val="000000"/>
          <w:sz w:val="24"/>
          <w:szCs w:val="22"/>
        </w:rPr>
        <w:t>全运行，发电厂需根据电网调度中心下发的发电计划，实时调整发电量，电网对发电厂有相应的并网运行考核手段。</w:t>
      </w:r>
    </w:p>
    <w:p>
      <w:pPr>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color w:val="000000"/>
          <w:sz w:val="24"/>
          <w:szCs w:val="22"/>
        </w:rPr>
        <w:t>（2）价格策略</w:t>
      </w:r>
    </w:p>
    <w:p>
      <w:pPr>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color w:val="000000"/>
          <w:sz w:val="24"/>
          <w:szCs w:val="22"/>
        </w:rPr>
        <w:t>电力是一种公共商品，对于发电厂来说，其发电量和上网电价在政府的严格调控下执行，发电厂</w:t>
      </w:r>
      <w:r>
        <w:rPr>
          <w:rFonts w:hint="eastAsia" w:ascii="宋体" w:hAnsi="宋体" w:cs="宋体"/>
          <w:color w:val="000000"/>
          <w:sz w:val="24"/>
          <w:szCs w:val="22"/>
          <w:lang w:val="en-US" w:eastAsia="zh-CN"/>
        </w:rPr>
        <w:t>几乎无</w:t>
      </w:r>
      <w:r>
        <w:rPr>
          <w:rFonts w:hint="eastAsia" w:ascii="宋体" w:hAnsi="宋体" w:cs="宋体"/>
          <w:color w:val="000000"/>
          <w:sz w:val="24"/>
          <w:szCs w:val="22"/>
        </w:rPr>
        <w:t>内部定价机制。电力体制改革以后，政府出台电价改革机制，电价由上网电价、输配电价和政府性附加基金三部分组成，发电厂逐步拥有自主定价的权利。在定价的过程中，</w:t>
      </w:r>
      <w:r>
        <w:rPr>
          <w:rFonts w:hint="eastAsia" w:ascii="宋体" w:hAnsi="宋体" w:cs="宋体"/>
          <w:color w:val="000000"/>
          <w:sz w:val="24"/>
          <w:szCs w:val="22"/>
          <w:lang w:val="en-US" w:eastAsia="zh-CN"/>
        </w:rPr>
        <w:t>华电集团</w:t>
      </w:r>
      <w:r>
        <w:rPr>
          <w:rFonts w:hint="eastAsia" w:ascii="宋体" w:hAnsi="宋体" w:cs="宋体"/>
          <w:color w:val="000000"/>
          <w:sz w:val="24"/>
          <w:szCs w:val="22"/>
        </w:rPr>
        <w:t>在一部分电量进行直接交易时需要考虑自身运营成本，还要考虑用户可接受的价格，主要是参照供电公司的峰谷电价策略；另外</w:t>
      </w:r>
      <w:r>
        <w:rPr>
          <w:rFonts w:hint="eastAsia" w:ascii="宋体" w:hAnsi="宋体" w:cs="宋体"/>
          <w:color w:val="000000"/>
          <w:sz w:val="24"/>
          <w:szCs w:val="22"/>
          <w:lang w:val="en-US" w:eastAsia="zh-CN"/>
        </w:rPr>
        <w:t>一</w:t>
      </w:r>
      <w:r>
        <w:rPr>
          <w:rFonts w:hint="eastAsia" w:ascii="宋体" w:hAnsi="宋体" w:cs="宋体"/>
          <w:color w:val="000000"/>
          <w:sz w:val="24"/>
          <w:szCs w:val="22"/>
        </w:rPr>
        <w:t>部分计划电量要采用政府定价，政府指导依然扮演重要角色，因此</w:t>
      </w:r>
      <w:r>
        <w:rPr>
          <w:rFonts w:hint="eastAsia" w:ascii="宋体" w:hAnsi="宋体" w:cs="宋体"/>
          <w:color w:val="000000"/>
          <w:sz w:val="24"/>
          <w:szCs w:val="22"/>
          <w:lang w:val="en-US" w:eastAsia="zh-CN"/>
        </w:rPr>
        <w:t>华电集团</w:t>
      </w:r>
      <w:r>
        <w:rPr>
          <w:rFonts w:hint="eastAsia" w:ascii="宋体" w:hAnsi="宋体" w:cs="宋体"/>
          <w:color w:val="000000"/>
          <w:sz w:val="24"/>
          <w:szCs w:val="22"/>
        </w:rPr>
        <w:t>的定价权比较低。</w:t>
      </w:r>
    </w:p>
    <w:p>
      <w:pPr>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color w:val="000000"/>
          <w:sz w:val="24"/>
          <w:szCs w:val="22"/>
        </w:rPr>
        <w:t>（3）渠道策略</w:t>
      </w:r>
    </w:p>
    <w:p>
      <w:pPr>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color w:val="000000"/>
          <w:sz w:val="24"/>
          <w:szCs w:val="22"/>
          <w:lang w:val="en-US" w:eastAsia="zh-CN"/>
        </w:rPr>
        <w:t>华电集团</w:t>
      </w:r>
      <w:r>
        <w:rPr>
          <w:rFonts w:hint="eastAsia" w:ascii="宋体" w:hAnsi="宋体" w:cs="宋体"/>
          <w:color w:val="000000"/>
          <w:sz w:val="24"/>
          <w:szCs w:val="22"/>
        </w:rPr>
        <w:t xml:space="preserve">目前营销渠道主要是以传统的营销渠道为主，按照国家规定的电价将电量销售给电网经营企业，并争取脱硫、脱硝、超低排放等环保政策的电价补贴。另外尝试拓宽直接销售渠道，着手调研相关市场主体、研究潜在客户的用电需求和用电习惯、电网输送通道，为抢占大用户直销市场做好准备。 </w:t>
      </w:r>
    </w:p>
    <w:p>
      <w:pPr>
        <w:adjustRightInd w:val="0"/>
        <w:snapToGrid w:val="0"/>
        <w:spacing w:line="360" w:lineRule="auto"/>
        <w:ind w:firstLine="420" w:firstLineChars="0"/>
        <w:rPr>
          <w:rFonts w:hint="eastAsia" w:ascii="宋体" w:hAnsi="宋体" w:cs="宋体"/>
          <w:color w:val="000000"/>
          <w:sz w:val="24"/>
          <w:szCs w:val="22"/>
        </w:rPr>
      </w:pPr>
      <w:r>
        <w:rPr>
          <w:rFonts w:hint="eastAsia" w:ascii="宋体" w:hAnsi="宋体" w:cs="宋体"/>
          <w:color w:val="000000"/>
          <w:sz w:val="24"/>
          <w:szCs w:val="22"/>
        </w:rPr>
        <w:t>（4）促销策略的现状</w:t>
      </w:r>
    </w:p>
    <w:p>
      <w:pPr>
        <w:adjustRightInd w:val="0"/>
        <w:snapToGrid w:val="0"/>
        <w:spacing w:line="360" w:lineRule="auto"/>
        <w:ind w:firstLine="480" w:firstLineChars="200"/>
        <w:rPr>
          <w:rFonts w:ascii="宋体" w:hAnsi="宋体" w:cs="宋体"/>
          <w:color w:val="000000"/>
          <w:sz w:val="24"/>
          <w:szCs w:val="22"/>
        </w:rPr>
      </w:pPr>
      <w:r>
        <w:rPr>
          <w:rFonts w:hint="eastAsia" w:ascii="宋体" w:hAnsi="宋体" w:cs="宋体"/>
          <w:color w:val="000000"/>
          <w:sz w:val="24"/>
          <w:szCs w:val="22"/>
        </w:rPr>
        <w:t>电力作为一种商品，针对于直接交易也适用于采用促销的方式来推动业务的开展，</w:t>
      </w:r>
      <w:r>
        <w:rPr>
          <w:rFonts w:hint="eastAsia" w:ascii="宋体" w:hAnsi="宋体" w:cs="宋体"/>
          <w:color w:val="000000"/>
          <w:sz w:val="24"/>
          <w:szCs w:val="22"/>
          <w:lang w:val="en-US" w:eastAsia="zh-CN"/>
        </w:rPr>
        <w:t>华电集团</w:t>
      </w:r>
      <w:r>
        <w:rPr>
          <w:rFonts w:hint="eastAsia" w:ascii="宋体" w:hAnsi="宋体" w:cs="宋体"/>
          <w:color w:val="000000"/>
          <w:sz w:val="24"/>
          <w:szCs w:val="22"/>
        </w:rPr>
        <w:t>主要采用内部营销人员促销的方式来进行，主动对接客户，针对客户需求制定营销方案。</w:t>
      </w:r>
    </w:p>
    <w:p>
      <w:pPr>
        <w:tabs>
          <w:tab w:val="left" w:pos="785"/>
        </w:tabs>
        <w:adjustRightInd w:val="0"/>
        <w:snapToGrid w:val="0"/>
        <w:spacing w:line="360" w:lineRule="auto"/>
        <w:ind w:firstLine="480" w:firstLineChars="200"/>
        <w:rPr>
          <w:rFonts w:hint="eastAsia" w:ascii="宋体" w:hAnsi="宋体" w:cs="宋体"/>
          <w:sz w:val="24"/>
          <w:szCs w:val="22"/>
        </w:rPr>
      </w:pPr>
      <w:r>
        <w:rPr>
          <w:rFonts w:hint="eastAsia" w:ascii="宋体" w:hAnsi="宋体" w:cs="宋体"/>
          <w:sz w:val="24"/>
          <w:szCs w:val="22"/>
          <w:lang w:val="en-US" w:eastAsia="zh-CN"/>
        </w:rPr>
        <w:t>总体上，电力交易市场化竞争激烈导致电价进一步降低，致使发电厂普遍出现效益下滑的现象，经营形式严峻。因此，争取电力市场份额成了发电厂的关键。目前，华电大部分电厂仍停留在传统的经营思维模式，将经营重心放在电力生产上，通过提高电力生产效率，降低生产成本的途径来增加企业效益，仍未深度融入电力市场化改革，导致电力营销的管理机制和体系仍不完善。因此，在新电改形势下，亟需以市场为中心构建适合自身发展需要的营销体系，才能在激烈的市场竞争中占据更大的份额，保证自身的可持续发展，增加企业经济效益。</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2.4.2供应链管理现状</w:t>
      </w:r>
    </w:p>
    <w:p>
      <w:pPr>
        <w:tabs>
          <w:tab w:val="left" w:pos="785"/>
        </w:tabs>
        <w:adjustRightInd w:val="0"/>
        <w:snapToGrid w:val="0"/>
        <w:spacing w:line="360" w:lineRule="auto"/>
        <w:ind w:firstLine="480" w:firstLineChars="200"/>
        <w:rPr>
          <w:rFonts w:ascii="宋体" w:hAnsi="宋体" w:cs="宋体"/>
          <w:sz w:val="24"/>
          <w:szCs w:val="22"/>
        </w:rPr>
      </w:pPr>
      <w:r>
        <w:rPr>
          <w:rFonts w:hint="eastAsia" w:ascii="宋体" w:hAnsi="宋体" w:cs="宋体"/>
          <w:sz w:val="24"/>
          <w:szCs w:val="22"/>
        </w:rPr>
        <w:t>中国华电高度重视数字化转型，在国内同类型企业中首次发布集团级数字化战略——“数字华电”规划，但在全产业链方面主要针对单一目标展开。例如，中国华电售电售热、区域竞争报价系统、营销管理系统均已上线运行并启动全面推广。数字营销系统按照“大数据、小流程”和“微服务、大平台”的整体架构，构建集团营销体系的双平面系统，主要包括营销管理、经济运行、售电售热、竞价交易等子模块。通过物联网技术提升数据采集的范围、密度和频度，实时的获取物理现实层面的数据信息，实现全面感知、数据在线；同时利用大数据和仿真技术构建数字虚拟空间，对物理世界进行在线分析、仿真、模拟、复盘，预测趋势，实现创新发展，为集团公司电力市场营销侧赋能。此外，华电集团联合长安链，</w:t>
      </w:r>
      <w:r>
        <w:rPr>
          <w:rFonts w:ascii="宋体" w:hAnsi="宋体" w:cs="宋体"/>
          <w:sz w:val="24"/>
          <w:szCs w:val="24"/>
        </w:rPr>
        <w:t>在电力采购领域的首个应用场景中国华电“阳光采购链”建设取得新突破</w:t>
      </w:r>
      <w:r>
        <w:rPr>
          <w:rFonts w:hint="eastAsia" w:ascii="宋体" w:hAnsi="宋体" w:cs="宋体"/>
          <w:sz w:val="24"/>
          <w:szCs w:val="24"/>
        </w:rPr>
        <w:t>。借助国产自主可控的区块链底层平台，</w:t>
      </w:r>
      <w:r>
        <w:rPr>
          <w:rFonts w:ascii="宋体" w:hAnsi="宋体" w:cs="宋体"/>
          <w:sz w:val="24"/>
          <w:szCs w:val="24"/>
        </w:rPr>
        <w:t>实现整个采购过程的全程透明、数据安全可信，并通过长安链芯片级安全屋‘数据可用不可见’特点，保障中国华电在保护数据隐私前提下对外提供必要的相关服务，为超过10万家供应商建立可信数字身份，打造便捷高效、公平竞争、稳定透明的营商环境，为采购监管提供可信数据支撑，推动国有企业合规体系建设。</w:t>
      </w:r>
    </w:p>
    <w:p>
      <w:pPr>
        <w:tabs>
          <w:tab w:val="left" w:pos="785"/>
        </w:tabs>
        <w:adjustRightInd w:val="0"/>
        <w:snapToGrid w:val="0"/>
        <w:spacing w:line="360" w:lineRule="auto"/>
        <w:ind w:firstLine="480" w:firstLineChars="200"/>
        <w:rPr>
          <w:rFonts w:ascii="宋体" w:hAnsi="宋体" w:cs="宋体"/>
          <w:sz w:val="24"/>
          <w:szCs w:val="22"/>
        </w:rPr>
      </w:pPr>
      <w:r>
        <w:rPr>
          <w:rFonts w:hint="eastAsia" w:ascii="宋体" w:hAnsi="宋体" w:cs="宋体"/>
          <w:sz w:val="24"/>
          <w:szCs w:val="22"/>
        </w:rPr>
        <w:t>“十四五”期间，中国华电将按照“完善升级数字化底座、全面建设数字化应用、优化提升数字化价值”三个阶段，基于新型基础设施，通过系统整合打通应用系统的数据、服务、流程通道，实现全业务、全链条的信息化覆盖和优化，推进“企业资源配置优化”，并助力“服务生态化”的实现。实现更全面、更及时地掌握企业生产要素的整体情况，更准确、更便捷地评估发电成本，更系统、更高效地提升总体效率，促进“生产智能化、服务生态化、管理协同化、决策数据化”，提升数字价值创造水平。</w:t>
      </w:r>
    </w:p>
    <w:p>
      <w:pPr>
        <w:tabs>
          <w:tab w:val="left" w:pos="785"/>
        </w:tabs>
        <w:adjustRightInd w:val="0"/>
        <w:snapToGrid w:val="0"/>
        <w:spacing w:line="360" w:lineRule="auto"/>
        <w:ind w:firstLine="480" w:firstLineChars="200"/>
        <w:rPr>
          <w:rFonts w:hint="eastAsia" w:ascii="宋体" w:hAnsi="宋体" w:cs="宋体"/>
          <w:sz w:val="24"/>
          <w:szCs w:val="22"/>
          <w:lang w:val="en-US" w:eastAsia="zh-CN"/>
        </w:rPr>
      </w:pPr>
      <w:r>
        <w:rPr>
          <w:rFonts w:hint="eastAsia" w:ascii="宋体" w:hAnsi="宋体" w:cs="宋体"/>
          <w:sz w:val="24"/>
          <w:szCs w:val="22"/>
        </w:rPr>
        <w:t>课题组前期调研了华电集团福建分公司、以及旗下风电厂、水电厂、火电厂，通过现场调研、座谈交流，主要围绕华电集团</w:t>
      </w:r>
      <w:r>
        <w:rPr>
          <w:rFonts w:hint="eastAsia" w:ascii="宋体" w:hAnsi="宋体" w:cs="宋体"/>
          <w:sz w:val="24"/>
          <w:szCs w:val="24"/>
        </w:rPr>
        <w:t>横向价值链开展分析，</w:t>
      </w:r>
      <w:r>
        <w:rPr>
          <w:rFonts w:hint="eastAsia" w:ascii="宋体" w:hAnsi="宋体" w:cs="宋体"/>
          <w:sz w:val="24"/>
          <w:szCs w:val="22"/>
        </w:rPr>
        <w:t>发现在电力全产业链若干领域仍有改进与优化空间，主要集中在</w:t>
      </w:r>
      <w:r>
        <w:rPr>
          <w:rFonts w:hint="eastAsia" w:ascii="宋体" w:hAnsi="宋体" w:cs="宋体"/>
          <w:sz w:val="24"/>
          <w:szCs w:val="22"/>
          <w:lang w:val="en-US" w:eastAsia="zh-CN"/>
        </w:rPr>
        <w:t>以下几个方面：</w:t>
      </w:r>
    </w:p>
    <w:p>
      <w:pPr>
        <w:tabs>
          <w:tab w:val="left" w:pos="785"/>
        </w:tabs>
        <w:adjustRightInd w:val="0"/>
        <w:snapToGrid w:val="0"/>
        <w:spacing w:line="360" w:lineRule="auto"/>
        <w:ind w:firstLine="480" w:firstLineChars="200"/>
        <w:rPr>
          <w:rFonts w:hint="default" w:ascii="宋体" w:hAnsi="宋体" w:cs="宋体"/>
          <w:sz w:val="24"/>
          <w:szCs w:val="22"/>
          <w:lang w:val="en-US" w:eastAsia="zh-CN"/>
        </w:rPr>
      </w:pPr>
      <w:r>
        <w:rPr>
          <w:rFonts w:hint="eastAsia" w:ascii="宋体" w:hAnsi="宋体" w:cs="宋体"/>
          <w:sz w:val="24"/>
          <w:szCs w:val="22"/>
          <w:lang w:val="en-US" w:eastAsia="zh-CN"/>
        </w:rPr>
        <w:t>（1）数据孤岛林立，跨系统间数据协同难。</w:t>
      </w:r>
    </w:p>
    <w:p>
      <w:pPr>
        <w:tabs>
          <w:tab w:val="left" w:pos="785"/>
        </w:tabs>
        <w:adjustRightInd w:val="0"/>
        <w:snapToGrid w:val="0"/>
        <w:spacing w:line="360" w:lineRule="auto"/>
        <w:ind w:firstLine="480" w:firstLineChars="200"/>
        <w:rPr>
          <w:rFonts w:hint="default" w:ascii="宋体" w:hAnsi="宋体" w:cs="宋体"/>
          <w:sz w:val="24"/>
          <w:szCs w:val="22"/>
          <w:lang w:val="en-US" w:eastAsia="zh-CN"/>
        </w:rPr>
      </w:pPr>
      <w:r>
        <w:rPr>
          <w:rFonts w:hint="eastAsia" w:ascii="宋体" w:hAnsi="宋体" w:cs="宋体"/>
          <w:sz w:val="24"/>
          <w:szCs w:val="22"/>
          <w:lang w:val="en-US" w:eastAsia="zh-CN"/>
        </w:rPr>
        <w:t>信息化系统繁多，数据孤岛林立，数据互不连通。以电力报价为例，发电厂、营销部、生产技术部、财务部虽各有一套信息化平台，但日常的跨部门协作（例如，发电成本、燃料成本核算等）主要依靠通过人工整理数据、线下沟通等形式开展部门间的业务与数据流转。此外，电力报价的最终决策权还需经过公司领导决策层线下签字后执行。总体上，业务流程复杂，效率低下，而且存在数据安全性缺陷，亟需通过信息一体化平台升级改进。</w:t>
      </w:r>
    </w:p>
    <w:p>
      <w:pPr>
        <w:tabs>
          <w:tab w:val="left" w:pos="785"/>
        </w:tabs>
        <w:adjustRightInd w:val="0"/>
        <w:snapToGrid w:val="0"/>
        <w:spacing w:line="360" w:lineRule="auto"/>
        <w:ind w:firstLine="480" w:firstLineChars="200"/>
        <w:rPr>
          <w:rFonts w:hint="eastAsia" w:ascii="宋体" w:hAnsi="宋体" w:cs="宋体"/>
          <w:sz w:val="24"/>
          <w:szCs w:val="22"/>
          <w:lang w:val="en-US" w:eastAsia="zh-CN"/>
        </w:rPr>
      </w:pPr>
      <w:r>
        <w:rPr>
          <w:rFonts w:hint="eastAsia" w:ascii="宋体" w:hAnsi="宋体" w:cs="宋体"/>
          <w:sz w:val="24"/>
          <w:szCs w:val="22"/>
          <w:lang w:val="en-US" w:eastAsia="zh-CN"/>
        </w:rPr>
        <w:drawing>
          <wp:inline distT="0" distB="0" distL="114300" distR="114300">
            <wp:extent cx="4529455" cy="2138045"/>
            <wp:effectExtent l="0" t="0" r="2540" b="0"/>
            <wp:docPr id="3" name="图片 3" descr="165461657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54616570916"/>
                    <pic:cNvPicPr>
                      <a:picLocks noChangeAspect="1"/>
                    </pic:cNvPicPr>
                  </pic:nvPicPr>
                  <pic:blipFill>
                    <a:blip r:embed="rId10"/>
                    <a:stretch>
                      <a:fillRect/>
                    </a:stretch>
                  </pic:blipFill>
                  <pic:spPr>
                    <a:xfrm>
                      <a:off x="0" y="0"/>
                      <a:ext cx="4529455" cy="2138045"/>
                    </a:xfrm>
                    <a:prstGeom prst="rect">
                      <a:avLst/>
                    </a:prstGeom>
                  </pic:spPr>
                </pic:pic>
              </a:graphicData>
            </a:graphic>
          </wp:inline>
        </w:drawing>
      </w:r>
    </w:p>
    <w:p>
      <w:pPr>
        <w:tabs>
          <w:tab w:val="left" w:pos="785"/>
        </w:tabs>
        <w:adjustRightInd w:val="0"/>
        <w:snapToGrid w:val="0"/>
        <w:spacing w:line="360" w:lineRule="auto"/>
        <w:ind w:firstLine="480" w:firstLineChars="200"/>
        <w:jc w:val="center"/>
        <w:rPr>
          <w:rFonts w:hint="eastAsia" w:ascii="宋体" w:hAnsi="宋体" w:cs="宋体"/>
          <w:sz w:val="24"/>
          <w:szCs w:val="22"/>
          <w:lang w:val="en-US" w:eastAsia="zh-CN"/>
        </w:rPr>
      </w:pPr>
      <w:r>
        <w:rPr>
          <w:rFonts w:hint="eastAsia" w:ascii="宋体" w:hAnsi="宋体" w:cs="宋体"/>
          <w:sz w:val="24"/>
          <w:szCs w:val="22"/>
          <w:lang w:val="en-US" w:eastAsia="zh-CN"/>
        </w:rPr>
        <w:t>图2-4：电力报价业务流程</w:t>
      </w:r>
    </w:p>
    <w:p>
      <w:pPr>
        <w:tabs>
          <w:tab w:val="left" w:pos="785"/>
        </w:tabs>
        <w:adjustRightInd w:val="0"/>
        <w:snapToGrid w:val="0"/>
        <w:spacing w:line="360" w:lineRule="auto"/>
        <w:ind w:firstLine="480" w:firstLineChars="200"/>
        <w:rPr>
          <w:rFonts w:hint="default" w:ascii="宋体" w:hAnsi="宋体" w:cs="宋体"/>
          <w:sz w:val="24"/>
          <w:szCs w:val="22"/>
          <w:lang w:val="en-US" w:eastAsia="zh-CN"/>
        </w:rPr>
      </w:pPr>
      <w:r>
        <w:rPr>
          <w:rFonts w:hint="eastAsia" w:ascii="宋体" w:hAnsi="宋体" w:cs="宋体"/>
          <w:sz w:val="24"/>
          <w:szCs w:val="22"/>
          <w:lang w:val="en-US" w:eastAsia="zh-CN"/>
        </w:rPr>
        <w:t>（2）供需、趋势预测能力不足</w:t>
      </w:r>
    </w:p>
    <w:p>
      <w:pPr>
        <w:tabs>
          <w:tab w:val="left" w:pos="785"/>
        </w:tabs>
        <w:adjustRightInd w:val="0"/>
        <w:snapToGrid w:val="0"/>
        <w:spacing w:line="360" w:lineRule="auto"/>
        <w:ind w:firstLine="480" w:firstLineChars="200"/>
        <w:rPr>
          <w:rFonts w:hint="default" w:ascii="宋体" w:hAnsi="宋体" w:cs="宋体"/>
          <w:sz w:val="24"/>
          <w:szCs w:val="22"/>
          <w:lang w:val="en-US" w:eastAsia="zh-CN"/>
        </w:rPr>
      </w:pPr>
      <w:r>
        <w:rPr>
          <w:rFonts w:hint="eastAsia" w:ascii="宋体" w:hAnsi="宋体" w:cs="宋体"/>
          <w:sz w:val="24"/>
          <w:szCs w:val="22"/>
          <w:lang w:val="en-US" w:eastAsia="zh-CN"/>
        </w:rPr>
        <w:t>在电力交易市场环境下，及时感知全省电力需求、预测电力负荷趋势，并结合自身发电能力与成本，给出动态的最优电力报价，将能够进一步提高盈利空间。因此，引入人工智能技术手段，开展电力需求预测、负荷趋势预测、电力价格预测已经成为华电区域公司当前讨论的一大热点，亟待智能化升级。</w:t>
      </w:r>
    </w:p>
    <w:p>
      <w:pPr>
        <w:numPr>
          <w:ilvl w:val="0"/>
          <w:numId w:val="0"/>
        </w:numPr>
        <w:tabs>
          <w:tab w:val="left" w:pos="785"/>
        </w:tabs>
        <w:adjustRightInd w:val="0"/>
        <w:snapToGrid w:val="0"/>
        <w:spacing w:line="360" w:lineRule="auto"/>
        <w:ind w:firstLine="480" w:firstLineChars="200"/>
        <w:rPr>
          <w:rFonts w:hint="default" w:ascii="宋体" w:hAnsi="宋体" w:cs="宋体"/>
          <w:sz w:val="24"/>
          <w:szCs w:val="22"/>
          <w:lang w:val="en-US" w:eastAsia="zh-CN"/>
        </w:rPr>
      </w:pPr>
      <w:r>
        <w:rPr>
          <w:rFonts w:hint="eastAsia" w:ascii="宋体" w:hAnsi="宋体" w:cs="宋体"/>
          <w:sz w:val="24"/>
          <w:szCs w:val="22"/>
          <w:lang w:val="en-US" w:eastAsia="zh-CN"/>
        </w:rPr>
        <w:t>（3）全产业链信息化平台缺失</w:t>
      </w:r>
    </w:p>
    <w:p>
      <w:pPr>
        <w:adjustRightInd w:val="0"/>
        <w:snapToGrid w:val="0"/>
        <w:spacing w:line="360" w:lineRule="auto"/>
        <w:ind w:firstLine="480" w:firstLineChars="200"/>
      </w:pPr>
      <w:r>
        <w:rPr>
          <w:rFonts w:hint="eastAsia" w:ascii="宋体" w:hAnsi="宋体" w:cs="宋体"/>
          <w:color w:val="000000"/>
          <w:sz w:val="24"/>
          <w:szCs w:val="22"/>
        </w:rPr>
        <w:t>随着</w:t>
      </w:r>
      <w:r>
        <w:rPr>
          <w:rFonts w:hint="eastAsia" w:ascii="宋体" w:hAnsi="宋体" w:cs="宋体"/>
          <w:color w:val="000000"/>
          <w:sz w:val="24"/>
          <w:szCs w:val="22"/>
          <w:lang w:val="en-US" w:eastAsia="zh-CN"/>
        </w:rPr>
        <w:t>矿产资源价格的浮动，</w:t>
      </w:r>
      <w:r>
        <w:rPr>
          <w:rFonts w:hint="eastAsia" w:ascii="宋体" w:hAnsi="宋体" w:cs="宋体"/>
          <w:color w:val="000000"/>
          <w:sz w:val="24"/>
          <w:szCs w:val="22"/>
        </w:rPr>
        <w:t>各类型电厂装备数量的不断增长，以及大型装备的自动化和智能化，为了保证设备和企业的正常、高效运行，</w:t>
      </w:r>
      <w:r>
        <w:rPr>
          <w:rFonts w:hint="eastAsia" w:ascii="宋体" w:hAnsi="宋体" w:cs="宋体"/>
          <w:color w:val="000000"/>
          <w:sz w:val="24"/>
          <w:szCs w:val="22"/>
          <w:lang w:val="en-US" w:eastAsia="zh-CN"/>
        </w:rPr>
        <w:t>矿产资源、</w:t>
      </w:r>
      <w:r>
        <w:rPr>
          <w:rFonts w:hint="eastAsia" w:ascii="宋体" w:hAnsi="宋体" w:cs="宋体"/>
          <w:color w:val="000000"/>
          <w:sz w:val="24"/>
          <w:szCs w:val="22"/>
        </w:rPr>
        <w:t>设备的招投标、生产、运输、运行、维护直至拆除的全生命周期</w:t>
      </w:r>
      <w:r>
        <w:rPr>
          <w:rFonts w:hint="eastAsia" w:ascii="宋体" w:hAnsi="宋体" w:cs="宋体"/>
          <w:color w:val="000000"/>
          <w:sz w:val="24"/>
          <w:szCs w:val="22"/>
          <w:lang w:val="en-US" w:eastAsia="zh-CN"/>
        </w:rPr>
        <w:t>数据融合与系统化</w:t>
      </w:r>
      <w:r>
        <w:rPr>
          <w:rFonts w:hint="eastAsia" w:ascii="宋体" w:hAnsi="宋体" w:cs="宋体"/>
          <w:color w:val="000000"/>
          <w:sz w:val="24"/>
          <w:szCs w:val="22"/>
        </w:rPr>
        <w:t>管理扮演着越来越关键的作用。</w:t>
      </w:r>
      <w:r>
        <w:rPr>
          <w:rFonts w:hint="eastAsia" w:ascii="宋体" w:hAnsi="宋体" w:cs="宋体"/>
          <w:color w:val="000000"/>
          <w:sz w:val="24"/>
          <w:szCs w:val="22"/>
          <w:lang w:val="en-US" w:eastAsia="zh-CN"/>
        </w:rPr>
        <w:t>华</w:t>
      </w:r>
      <w:r>
        <w:rPr>
          <w:rFonts w:hint="eastAsia" w:ascii="宋体" w:hAnsi="宋体" w:cs="宋体"/>
          <w:color w:val="000000"/>
          <w:sz w:val="24"/>
          <w:szCs w:val="22"/>
        </w:rPr>
        <w:t>电集团乃至</w:t>
      </w:r>
      <w:r>
        <w:rPr>
          <w:rFonts w:hint="eastAsia" w:ascii="宋体" w:hAnsi="宋体" w:cs="宋体"/>
          <w:color w:val="000000"/>
          <w:sz w:val="24"/>
          <w:szCs w:val="22"/>
          <w:lang w:val="en-US" w:eastAsia="zh-CN"/>
        </w:rPr>
        <w:t>大部分</w:t>
      </w:r>
      <w:r>
        <w:rPr>
          <w:rFonts w:hint="eastAsia" w:ascii="宋体" w:hAnsi="宋体" w:cs="宋体"/>
          <w:color w:val="000000"/>
          <w:sz w:val="24"/>
          <w:szCs w:val="22"/>
        </w:rPr>
        <w:t>国内电厂领域产品</w:t>
      </w:r>
      <w:r>
        <w:rPr>
          <w:rFonts w:hint="eastAsia" w:ascii="宋体" w:hAnsi="宋体" w:cs="宋体"/>
          <w:color w:val="000000"/>
          <w:sz w:val="24"/>
          <w:szCs w:val="22"/>
          <w:lang w:val="en-US" w:eastAsia="zh-CN"/>
        </w:rPr>
        <w:t>的</w:t>
      </w:r>
      <w:r>
        <w:rPr>
          <w:rFonts w:hint="eastAsia" w:ascii="宋体" w:hAnsi="宋体" w:cs="宋体"/>
          <w:color w:val="000000"/>
          <w:sz w:val="24"/>
          <w:szCs w:val="22"/>
        </w:rPr>
        <w:t>全生命周期管理还仅仅存在于可持续管理的思想和概念上，</w:t>
      </w:r>
      <w:r>
        <w:rPr>
          <w:rFonts w:hint="eastAsia" w:ascii="宋体" w:hAnsi="宋体" w:cs="宋体"/>
          <w:color w:val="000000"/>
          <w:sz w:val="24"/>
          <w:szCs w:val="22"/>
          <w:lang w:val="en-US" w:eastAsia="zh-CN"/>
        </w:rPr>
        <w:t>主要围绕生产过程的提效降本等单一目标展开，</w:t>
      </w:r>
      <w:r>
        <w:rPr>
          <w:rFonts w:hint="eastAsia" w:ascii="宋体" w:hAnsi="宋体" w:cs="宋体"/>
          <w:color w:val="000000"/>
          <w:sz w:val="24"/>
          <w:szCs w:val="22"/>
        </w:rPr>
        <w:t>尚未建立完善的</w:t>
      </w:r>
      <w:r>
        <w:rPr>
          <w:rFonts w:hint="eastAsia" w:ascii="宋体" w:hAnsi="宋体" w:cs="宋体"/>
          <w:color w:val="000000"/>
          <w:sz w:val="24"/>
          <w:szCs w:val="22"/>
          <w:lang w:val="en-US" w:eastAsia="zh-CN"/>
        </w:rPr>
        <w:t>全产业链信息管理与服务</w:t>
      </w:r>
      <w:r>
        <w:rPr>
          <w:rFonts w:hint="eastAsia" w:ascii="宋体" w:hAnsi="宋体" w:cs="宋体"/>
          <w:color w:val="000000"/>
          <w:sz w:val="24"/>
          <w:szCs w:val="22"/>
        </w:rPr>
        <w:t>平台。</w:t>
      </w:r>
      <w:r>
        <w:rPr>
          <w:rFonts w:hint="eastAsia" w:ascii="宋体" w:hAnsi="宋体" w:cs="宋体"/>
          <w:sz w:val="24"/>
          <w:szCs w:val="24"/>
          <w:lang w:val="en-US" w:eastAsia="zh-CN"/>
        </w:rPr>
        <w:t>在全产业链平台中，有必要参考供应链金融服务模式，</w:t>
      </w:r>
      <w:r>
        <w:rPr>
          <w:rFonts w:hint="eastAsia" w:ascii="宋体" w:hAnsi="宋体" w:eastAsia="宋体" w:cs="宋体"/>
          <w:sz w:val="24"/>
          <w:szCs w:val="24"/>
        </w:rPr>
        <w:t>在产业链数据融合基础上</w:t>
      </w:r>
      <w:r>
        <w:rPr>
          <w:rFonts w:hint="eastAsia" w:ascii="宋体" w:hAnsi="宋体" w:cs="宋体"/>
          <w:sz w:val="24"/>
          <w:szCs w:val="24"/>
          <w:lang w:val="en-US" w:eastAsia="zh-CN"/>
        </w:rPr>
        <w:t>引入金融板块，建设华电集团</w:t>
      </w:r>
      <w:r>
        <w:rPr>
          <w:rFonts w:hint="eastAsia" w:ascii="宋体" w:hAnsi="宋体" w:eastAsia="宋体" w:cs="宋体"/>
          <w:sz w:val="24"/>
          <w:szCs w:val="24"/>
        </w:rPr>
        <w:t>供应链金融</w:t>
      </w:r>
      <w:r>
        <w:rPr>
          <w:rFonts w:hint="eastAsia" w:ascii="宋体" w:hAnsi="宋体" w:cs="宋体"/>
          <w:sz w:val="24"/>
          <w:szCs w:val="24"/>
          <w:lang w:val="en-US" w:eastAsia="zh-CN"/>
        </w:rPr>
        <w:t>服务</w:t>
      </w:r>
      <w:r>
        <w:rPr>
          <w:rFonts w:hint="eastAsia" w:ascii="宋体" w:hAnsi="宋体" w:eastAsia="宋体" w:cs="宋体"/>
          <w:sz w:val="24"/>
          <w:szCs w:val="24"/>
        </w:rPr>
        <w:t>平台，提供全产业链</w:t>
      </w:r>
      <w:r>
        <w:rPr>
          <w:rFonts w:hint="eastAsia" w:ascii="宋体" w:hAnsi="宋体" w:cs="宋体"/>
          <w:sz w:val="24"/>
          <w:szCs w:val="24"/>
          <w:lang w:val="en-US" w:eastAsia="zh-CN"/>
        </w:rPr>
        <w:t>的</w:t>
      </w:r>
      <w:r>
        <w:rPr>
          <w:rFonts w:hint="eastAsia" w:ascii="宋体" w:hAnsi="宋体" w:eastAsia="宋体" w:cs="宋体"/>
          <w:sz w:val="24"/>
          <w:szCs w:val="24"/>
        </w:rPr>
        <w:t>金融服务新方法</w:t>
      </w:r>
      <w:r>
        <w:rPr>
          <w:rFonts w:hint="eastAsia" w:ascii="宋体" w:hAnsi="宋体" w:cs="宋体"/>
          <w:sz w:val="24"/>
          <w:szCs w:val="24"/>
          <w:lang w:eastAsia="zh-CN"/>
        </w:rPr>
        <w:t>。</w:t>
      </w: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pStyle w:val="2"/>
        <w:numPr>
          <w:ilvl w:val="0"/>
          <w:numId w:val="0"/>
        </w:numPr>
        <w:bidi w:val="0"/>
        <w:ind w:leftChars="0" w:firstLine="420" w:firstLineChars="0"/>
        <w:rPr>
          <w:rFonts w:hint="eastAsia"/>
          <w:sz w:val="30"/>
          <w:szCs w:val="30"/>
        </w:rPr>
      </w:pPr>
      <w:bookmarkStart w:id="19" w:name="_Toc3797"/>
      <w:r>
        <w:rPr>
          <w:rFonts w:hint="eastAsia"/>
          <w:sz w:val="30"/>
          <w:szCs w:val="30"/>
          <w:lang w:val="en-US" w:eastAsia="zh-CN"/>
        </w:rPr>
        <w:t>三、建设</w:t>
      </w:r>
      <w:r>
        <w:rPr>
          <w:rFonts w:hint="eastAsia"/>
          <w:sz w:val="30"/>
          <w:szCs w:val="30"/>
        </w:rPr>
        <w:t>内容</w:t>
      </w:r>
      <w:bookmarkEnd w:id="19"/>
    </w:p>
    <w:p>
      <w:pPr>
        <w:pStyle w:val="3"/>
        <w:bidi w:val="0"/>
        <w:ind w:firstLine="420" w:firstLineChars="0"/>
        <w:rPr>
          <w:rFonts w:hint="eastAsia" w:ascii="黑体" w:hAnsi="黑体" w:eastAsia="黑体" w:cs="黑体"/>
          <w:sz w:val="28"/>
          <w:szCs w:val="28"/>
          <w:lang w:val="en-US" w:eastAsia="zh-CN"/>
        </w:rPr>
      </w:pPr>
      <w:bookmarkStart w:id="20" w:name="_Toc27325"/>
      <w:r>
        <w:rPr>
          <w:rFonts w:hint="eastAsia" w:ascii="黑体" w:hAnsi="黑体" w:eastAsia="黑体" w:cs="黑体"/>
          <w:sz w:val="28"/>
          <w:szCs w:val="28"/>
          <w:lang w:val="en-US" w:eastAsia="zh-CN"/>
        </w:rPr>
        <w:t>3.1 新电改形势下的中长期电力市场化交易优化研究</w:t>
      </w:r>
      <w:bookmarkEnd w:id="20"/>
    </w:p>
    <w:p>
      <w:pPr>
        <w:adjustRightInd w:val="0"/>
        <w:snapToGrid w:val="0"/>
        <w:spacing w:line="360" w:lineRule="auto"/>
        <w:ind w:firstLine="480" w:firstLineChars="200"/>
        <w:rPr>
          <w:rFonts w:hint="eastAsia" w:ascii="宋体" w:hAnsi="宋体" w:cs="宋体"/>
          <w:color w:val="000000"/>
          <w:kern w:val="0"/>
          <w:sz w:val="24"/>
          <w:szCs w:val="24"/>
          <w:lang w:bidi="ar"/>
        </w:rPr>
      </w:pPr>
      <w:r>
        <w:rPr>
          <w:rFonts w:hint="eastAsia" w:ascii="宋体" w:hAnsi="宋体" w:cs="宋体"/>
          <w:color w:val="000000"/>
          <w:sz w:val="24"/>
          <w:szCs w:val="22"/>
        </w:rPr>
        <w:t>我国处于电力市场建设初期，仅开放发电侧竞争的电力市场，并未完全市场化，采用以“计划电</w:t>
      </w:r>
      <w:r>
        <w:rPr>
          <w:rFonts w:ascii="宋体" w:hAnsi="宋体" w:cs="宋体"/>
          <w:color w:val="000000"/>
          <w:sz w:val="24"/>
          <w:szCs w:val="22"/>
        </w:rPr>
        <w:t>+</w:t>
      </w:r>
      <w:r>
        <w:rPr>
          <w:rFonts w:hint="eastAsia" w:ascii="宋体" w:hAnsi="宋体" w:cs="宋体"/>
          <w:color w:val="000000"/>
          <w:sz w:val="24"/>
          <w:szCs w:val="22"/>
        </w:rPr>
        <w:t>现货电”的结构进行交易。</w:t>
      </w:r>
      <w:r>
        <w:rPr>
          <w:rFonts w:hint="eastAsia" w:ascii="宋体" w:hAnsi="宋体" w:cs="宋体"/>
          <w:color w:val="000000"/>
          <w:kern w:val="0"/>
          <w:sz w:val="24"/>
          <w:szCs w:val="24"/>
          <w:lang w:bidi="ar"/>
        </w:rPr>
        <w:t>在我国电力市场化改革大背景下，结合华</w:t>
      </w:r>
      <w:r>
        <w:rPr>
          <w:rFonts w:hint="eastAsia" w:ascii="宋体" w:hAnsi="宋体" w:cs="宋体"/>
          <w:color w:val="000000"/>
          <w:kern w:val="0"/>
          <w:sz w:val="24"/>
          <w:szCs w:val="24"/>
          <w:lang w:val="en-US" w:eastAsia="zh-CN" w:bidi="ar"/>
        </w:rPr>
        <w:t>电区域公司</w:t>
      </w:r>
      <w:r>
        <w:rPr>
          <w:rFonts w:hint="eastAsia" w:ascii="宋体" w:hAnsi="宋体" w:cs="宋体"/>
          <w:color w:val="000000"/>
          <w:kern w:val="0"/>
          <w:sz w:val="24"/>
          <w:szCs w:val="24"/>
          <w:lang w:bidi="ar"/>
        </w:rPr>
        <w:t>工作实际与</w:t>
      </w:r>
      <w:r>
        <w:rPr>
          <w:rFonts w:hint="eastAsia" w:ascii="宋体" w:hAnsi="宋体" w:cs="宋体"/>
          <w:color w:val="000000"/>
          <w:sz w:val="24"/>
          <w:szCs w:val="22"/>
        </w:rPr>
        <w:t>风电水等清洁能源固有特性，</w:t>
      </w:r>
      <w:r>
        <w:rPr>
          <w:rFonts w:hint="eastAsia" w:ascii="宋体" w:hAnsi="宋体" w:cs="宋体"/>
          <w:color w:val="000000"/>
          <w:sz w:val="24"/>
          <w:szCs w:val="22"/>
          <w:lang w:val="en-US" w:eastAsia="zh-CN"/>
        </w:rPr>
        <w:t>基于多源异构数据构建区域电力供需预测模型，</w:t>
      </w:r>
      <w:r>
        <w:rPr>
          <w:rFonts w:hint="eastAsia" w:ascii="宋体" w:hAnsi="宋体" w:cs="宋体"/>
          <w:color w:val="000000"/>
          <w:sz w:val="24"/>
          <w:szCs w:val="22"/>
        </w:rPr>
        <w:t>研究风水储火发电权交易的中长期电能量市场运行策略，构建中长期电能量市场生产模拟模型，并采用基于典型日序列的机组组合方法实现模型高效求解。结合</w:t>
      </w:r>
      <w:r>
        <w:rPr>
          <w:rFonts w:hint="eastAsia" w:ascii="宋体" w:hAnsi="宋体" w:cs="宋体"/>
          <w:color w:val="000000"/>
          <w:kern w:val="0"/>
          <w:sz w:val="24"/>
          <w:szCs w:val="24"/>
          <w:lang w:bidi="ar"/>
        </w:rPr>
        <w:t>华电</w:t>
      </w:r>
      <w:r>
        <w:rPr>
          <w:rFonts w:hint="eastAsia" w:ascii="宋体" w:hAnsi="宋体" w:cs="宋体"/>
          <w:color w:val="000000"/>
          <w:kern w:val="0"/>
          <w:sz w:val="24"/>
          <w:szCs w:val="24"/>
          <w:lang w:val="en-US" w:eastAsia="zh-CN" w:bidi="ar"/>
        </w:rPr>
        <w:t>所</w:t>
      </w:r>
      <w:r>
        <w:rPr>
          <w:rFonts w:hint="eastAsia" w:ascii="宋体" w:hAnsi="宋体" w:cs="宋体"/>
          <w:color w:val="000000"/>
          <w:kern w:val="0"/>
          <w:sz w:val="24"/>
          <w:szCs w:val="24"/>
          <w:lang w:bidi="ar"/>
        </w:rPr>
        <w:t>处外部环境及自身内部情况，研究电力市场化改革环境下华电市场营销策略。</w:t>
      </w:r>
    </w:p>
    <w:p>
      <w:pPr>
        <w:pStyle w:val="3"/>
        <w:bidi w:val="0"/>
        <w:ind w:firstLine="420" w:firstLineChars="0"/>
        <w:rPr>
          <w:rFonts w:hint="eastAsia" w:ascii="黑体" w:hAnsi="黑体" w:eastAsia="黑体" w:cs="黑体"/>
          <w:sz w:val="28"/>
          <w:szCs w:val="28"/>
          <w:lang w:val="en-US" w:eastAsia="zh-CN"/>
        </w:rPr>
      </w:pPr>
      <w:bookmarkStart w:id="21" w:name="_Toc31660"/>
      <w:r>
        <w:rPr>
          <w:rFonts w:hint="eastAsia" w:ascii="黑体" w:hAnsi="黑体" w:eastAsia="黑体" w:cs="黑体"/>
          <w:sz w:val="28"/>
          <w:szCs w:val="28"/>
          <w:lang w:val="en-US" w:eastAsia="zh-CN"/>
        </w:rPr>
        <w:t>3.2 数据驱动的供应链管理、优化与增值业务研究</w:t>
      </w:r>
      <w:bookmarkEnd w:id="21"/>
    </w:p>
    <w:p>
      <w:pPr>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color w:val="000000"/>
          <w:sz w:val="24"/>
          <w:szCs w:val="22"/>
        </w:rPr>
        <w:t>大规模电力生产涉及煤炭、装备与耗材等资源的大宗贸易，</w:t>
      </w:r>
      <w:r>
        <w:rPr>
          <w:rFonts w:hint="eastAsia" w:ascii="宋体" w:hAnsi="宋体" w:cs="宋体"/>
          <w:color w:val="000000"/>
          <w:sz w:val="24"/>
          <w:szCs w:val="22"/>
          <w:lang w:val="en-US" w:eastAsia="zh-CN"/>
        </w:rPr>
        <w:t>属于</w:t>
      </w:r>
      <w:r>
        <w:rPr>
          <w:rFonts w:hint="eastAsia" w:ascii="宋体" w:hAnsi="宋体" w:cs="宋体"/>
          <w:color w:val="000000"/>
          <w:sz w:val="24"/>
          <w:szCs w:val="22"/>
        </w:rPr>
        <w:t>供应链</w:t>
      </w:r>
      <w:r>
        <w:rPr>
          <w:rFonts w:hint="eastAsia" w:ascii="宋体" w:hAnsi="宋体" w:cs="宋体"/>
          <w:color w:val="000000"/>
          <w:sz w:val="24"/>
          <w:szCs w:val="22"/>
          <w:lang w:val="en-US" w:eastAsia="zh-CN"/>
        </w:rPr>
        <w:t>管理与优化范畴</w:t>
      </w:r>
      <w:r>
        <w:rPr>
          <w:rFonts w:hint="eastAsia" w:ascii="宋体" w:hAnsi="宋体" w:cs="宋体"/>
          <w:color w:val="000000"/>
          <w:sz w:val="24"/>
          <w:szCs w:val="22"/>
        </w:rPr>
        <w:t>。因此，</w:t>
      </w:r>
      <w:r>
        <w:rPr>
          <w:rFonts w:hint="eastAsia" w:ascii="宋体" w:hAnsi="宋体" w:cs="宋体"/>
          <w:color w:val="000000"/>
          <w:sz w:val="24"/>
          <w:szCs w:val="22"/>
          <w:lang w:val="en-US" w:eastAsia="zh-CN"/>
        </w:rPr>
        <w:t>拟研究</w:t>
      </w:r>
      <w:r>
        <w:rPr>
          <w:rFonts w:hint="eastAsia" w:ascii="宋体" w:hAnsi="宋体" w:cs="宋体"/>
          <w:color w:val="000000"/>
          <w:sz w:val="24"/>
          <w:szCs w:val="22"/>
        </w:rPr>
        <w:t>电力全产业链平台以及配套供应链业务的需求分析、初步设计方案</w:t>
      </w:r>
      <w:r>
        <w:rPr>
          <w:rFonts w:hint="eastAsia" w:ascii="宋体" w:hAnsi="宋体" w:cs="宋体"/>
          <w:color w:val="000000"/>
          <w:sz w:val="24"/>
          <w:szCs w:val="22"/>
          <w:lang w:eastAsia="zh-CN"/>
        </w:rPr>
        <w:t>，</w:t>
      </w:r>
      <w:r>
        <w:rPr>
          <w:rFonts w:ascii="宋体" w:hAnsi="宋体"/>
          <w:bCs/>
          <w:sz w:val="24"/>
          <w:szCs w:val="28"/>
        </w:rPr>
        <w:t>梳理、归纳电力全产业链生态的若干应用场景，并确定各应用场景所需或产生数据的标准；给出电力全产业链综合服务支撑平台建设的原则、安全管理规范、数据格式和行业标准建议方案，研究分析电力全产业链综合服务支撑平台的多维技术路径</w:t>
      </w:r>
      <w:r>
        <w:rPr>
          <w:rFonts w:hint="eastAsia" w:ascii="宋体" w:hAnsi="宋体"/>
          <w:bCs/>
          <w:sz w:val="24"/>
          <w:szCs w:val="28"/>
          <w:lang w:eastAsia="zh-CN"/>
        </w:rPr>
        <w:t>，</w:t>
      </w:r>
      <w:r>
        <w:rPr>
          <w:rFonts w:hint="eastAsia" w:ascii="宋体" w:hAnsi="宋体" w:cs="宋体"/>
          <w:color w:val="000000"/>
          <w:sz w:val="24"/>
          <w:szCs w:val="22"/>
        </w:rPr>
        <w:t>给出平台建设的技术准入条件</w:t>
      </w:r>
      <w:r>
        <w:rPr>
          <w:rFonts w:hint="eastAsia" w:ascii="宋体" w:hAnsi="宋体" w:cs="宋体"/>
          <w:color w:val="000000"/>
          <w:sz w:val="24"/>
          <w:szCs w:val="22"/>
          <w:lang w:eastAsia="zh-CN"/>
        </w:rPr>
        <w:t>，</w:t>
      </w:r>
      <w:r>
        <w:rPr>
          <w:rFonts w:hint="eastAsia" w:ascii="宋体" w:hAnsi="宋体" w:cs="宋体"/>
          <w:color w:val="000000"/>
          <w:sz w:val="24"/>
          <w:szCs w:val="22"/>
        </w:rPr>
        <w:t>给出业务开展相关方（监管侧、业务侧、技术侧、运营侧等）的组织架构、分工，管理机制、运营管理的建议。拟参考整合B2B电商平台、ERP管理平台，从商品销售、供应链管理、大数据分析决策等方面</w:t>
      </w:r>
      <w:r>
        <w:rPr>
          <w:rFonts w:hint="eastAsia" w:ascii="宋体" w:hAnsi="宋体" w:cs="宋体"/>
          <w:color w:val="000000"/>
          <w:sz w:val="24"/>
          <w:szCs w:val="22"/>
          <w:lang w:val="en-US" w:eastAsia="zh-CN"/>
        </w:rPr>
        <w:t>研究</w:t>
      </w:r>
      <w:r>
        <w:rPr>
          <w:rFonts w:hint="eastAsia" w:ascii="宋体" w:hAnsi="宋体" w:cs="宋体"/>
          <w:color w:val="000000"/>
          <w:sz w:val="24"/>
          <w:szCs w:val="22"/>
        </w:rPr>
        <w:t>产业链业务的全覆盖、全生命周期管理</w:t>
      </w:r>
      <w:r>
        <w:rPr>
          <w:rFonts w:hint="eastAsia" w:ascii="宋体" w:hAnsi="宋体" w:cs="宋体"/>
          <w:color w:val="000000"/>
          <w:sz w:val="24"/>
          <w:szCs w:val="22"/>
          <w:lang w:eastAsia="zh-CN"/>
        </w:rPr>
        <w:t>。</w:t>
      </w:r>
    </w:p>
    <w:p>
      <w:pPr>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color w:val="000000"/>
          <w:sz w:val="24"/>
          <w:szCs w:val="22"/>
          <w:lang w:val="en-US" w:eastAsia="zh-CN"/>
        </w:rPr>
        <w:t>其次，</w:t>
      </w:r>
      <w:r>
        <w:rPr>
          <w:rFonts w:hint="eastAsia" w:ascii="宋体" w:hAnsi="宋体" w:cs="宋体"/>
          <w:color w:val="000000"/>
          <w:sz w:val="24"/>
          <w:szCs w:val="22"/>
        </w:rPr>
        <w:t>拟分析在产业链数据融合基础上建设供应链金融服务平台，研究全产业链金融服务的技术可行性。考虑到供应链金融应用涉及的跨域跨平台环境难以实现数据的安全共享，拟引入区块链技术理念，围绕核心企业，将供应商、制造商、分销商、零售商连成一个整体的网络链条，</w:t>
      </w:r>
      <w:r>
        <w:rPr>
          <w:rFonts w:hint="eastAsia" w:ascii="宋体" w:hAnsi="宋体" w:cs="宋体"/>
          <w:color w:val="000000"/>
          <w:sz w:val="24"/>
          <w:szCs w:val="22"/>
          <w:lang w:val="en-US" w:eastAsia="zh-CN"/>
        </w:rPr>
        <w:t>研究</w:t>
      </w:r>
      <w:r>
        <w:rPr>
          <w:rFonts w:hint="eastAsia" w:ascii="宋体" w:hAnsi="宋体" w:cs="宋体"/>
          <w:color w:val="000000"/>
          <w:sz w:val="24"/>
          <w:szCs w:val="22"/>
        </w:rPr>
        <w:t>资金流、信息流、物流、商流的合理数据整合，多方间可实现高效互动和协同，降低成本提高经济运转效率，形成一套完整的供应链金融生态体系。平台可为企业在采购、生产加工制造、销售等环节提供包含增信、融资、担保、账款管理、支付结算等系列服务的互联网金融增值解决方案。</w:t>
      </w:r>
    </w:p>
    <w:p>
      <w:pPr>
        <w:pStyle w:val="3"/>
        <w:bidi w:val="0"/>
        <w:rPr>
          <w:rFonts w:hint="eastAsia" w:ascii="黑体" w:hAnsi="黑体" w:eastAsia="黑体" w:cs="黑体"/>
          <w:sz w:val="28"/>
          <w:szCs w:val="28"/>
          <w:lang w:val="en-US" w:eastAsia="zh-CN"/>
        </w:rPr>
      </w:pPr>
      <w:bookmarkStart w:id="22" w:name="_Toc31450"/>
      <w:bookmarkStart w:id="23" w:name="_Hlk87886441"/>
      <w:r>
        <w:rPr>
          <w:rFonts w:hint="eastAsia" w:ascii="黑体" w:hAnsi="黑体" w:eastAsia="黑体" w:cs="黑体"/>
          <w:sz w:val="28"/>
          <w:szCs w:val="28"/>
          <w:lang w:val="en-US" w:eastAsia="zh-CN"/>
        </w:rPr>
        <w:t>3.3撰写《电力全产业链综合服务支撑平台推进方案暨可行性分析》报告</w:t>
      </w:r>
      <w:bookmarkEnd w:id="22"/>
    </w:p>
    <w:bookmarkEnd w:id="23"/>
    <w:p>
      <w:pPr>
        <w:adjustRightInd w:val="0"/>
        <w:snapToGrid w:val="0"/>
        <w:spacing w:line="360" w:lineRule="auto"/>
        <w:ind w:firstLine="480" w:firstLineChars="200"/>
        <w:rPr>
          <w:rFonts w:ascii="宋体" w:hAnsi="宋体" w:cs="宋体"/>
          <w:color w:val="000000"/>
          <w:sz w:val="24"/>
          <w:szCs w:val="22"/>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adjustRightInd w:val="0"/>
        <w:snapToGrid w:val="0"/>
        <w:spacing w:line="360" w:lineRule="auto"/>
        <w:ind w:firstLine="480" w:firstLineChars="200"/>
        <w:rPr>
          <w:rFonts w:ascii="宋体" w:hAnsi="宋体"/>
          <w:bCs/>
          <w:color w:val="4472C4" w:themeColor="accent1"/>
          <w:sz w:val="24"/>
          <w:szCs w:val="28"/>
          <w14:textFill>
            <w14:solidFill>
              <w14:schemeClr w14:val="accent1"/>
            </w14:solidFill>
          </w14:textFill>
        </w:rPr>
      </w:pPr>
    </w:p>
    <w:p>
      <w:pPr>
        <w:pStyle w:val="2"/>
        <w:numPr>
          <w:ilvl w:val="0"/>
          <w:numId w:val="0"/>
        </w:numPr>
        <w:bidi w:val="0"/>
        <w:ind w:leftChars="0" w:firstLine="420" w:firstLineChars="0"/>
        <w:rPr>
          <w:rFonts w:hint="default"/>
          <w:sz w:val="30"/>
          <w:szCs w:val="30"/>
          <w:lang w:val="en-US"/>
        </w:rPr>
      </w:pPr>
      <w:bookmarkStart w:id="24" w:name="_Toc18321"/>
      <w:r>
        <w:rPr>
          <w:rFonts w:hint="eastAsia"/>
          <w:sz w:val="30"/>
          <w:szCs w:val="30"/>
          <w:lang w:val="en-US" w:eastAsia="zh-CN"/>
        </w:rPr>
        <w:t>四、技术路线</w:t>
      </w:r>
      <w:bookmarkEnd w:id="24"/>
    </w:p>
    <w:p>
      <w:pPr>
        <w:pStyle w:val="3"/>
        <w:bidi w:val="0"/>
        <w:ind w:firstLine="420" w:firstLineChars="0"/>
        <w:rPr>
          <w:rFonts w:hint="eastAsia" w:ascii="黑体" w:hAnsi="黑体" w:eastAsia="黑体" w:cs="黑体"/>
          <w:sz w:val="28"/>
          <w:szCs w:val="28"/>
          <w:lang w:val="en-US" w:eastAsia="zh-CN"/>
        </w:rPr>
      </w:pPr>
      <w:bookmarkStart w:id="25" w:name="_Toc8728"/>
      <w:r>
        <w:rPr>
          <w:rFonts w:hint="eastAsia" w:ascii="黑体" w:hAnsi="黑体" w:eastAsia="黑体" w:cs="黑体"/>
          <w:sz w:val="28"/>
          <w:szCs w:val="28"/>
          <w:lang w:val="en-US" w:eastAsia="zh-CN"/>
        </w:rPr>
        <w:t>4.1 考虑发电权交易的中长期电能量市场交易机制</w:t>
      </w:r>
      <w:bookmarkEnd w:id="25"/>
    </w:p>
    <w:p>
      <w:pPr>
        <w:adjustRightInd w:val="0"/>
        <w:snapToGrid w:val="0"/>
        <w:spacing w:line="360" w:lineRule="auto"/>
        <w:ind w:firstLine="480" w:firstLineChars="200"/>
        <w:rPr>
          <w:rFonts w:hint="default" w:ascii="宋体" w:hAnsi="宋体" w:cs="宋体"/>
          <w:color w:val="000000"/>
          <w:sz w:val="24"/>
          <w:szCs w:val="24"/>
          <w:lang w:val="en-US" w:eastAsia="zh-CN"/>
        </w:rPr>
      </w:pPr>
      <w:r>
        <w:rPr>
          <w:rFonts w:hint="eastAsia" w:ascii="宋体" w:hAnsi="宋体" w:cs="宋体"/>
          <w:color w:val="000000"/>
          <w:sz w:val="24"/>
          <w:szCs w:val="24"/>
        </w:rPr>
        <w:t>随着</w:t>
      </w:r>
      <w:r>
        <w:rPr>
          <w:rFonts w:hint="eastAsia" w:ascii="宋体" w:hAnsi="宋体" w:cs="宋体"/>
          <w:color w:val="000000"/>
          <w:sz w:val="24"/>
          <w:szCs w:val="24"/>
          <w:lang w:val="en-US" w:eastAsia="zh-CN"/>
        </w:rPr>
        <w:t>新能源</w:t>
      </w:r>
      <w:r>
        <w:rPr>
          <w:rFonts w:hint="eastAsia" w:ascii="宋体" w:hAnsi="宋体" w:cs="宋体"/>
          <w:color w:val="000000"/>
          <w:sz w:val="24"/>
          <w:szCs w:val="24"/>
        </w:rPr>
        <w:t>装机容量的逐渐增加，如何以市场的方式实现对高比例</w:t>
      </w:r>
      <w:r>
        <w:rPr>
          <w:rFonts w:hint="eastAsia" w:ascii="宋体" w:hAnsi="宋体" w:cs="宋体"/>
          <w:color w:val="000000"/>
          <w:sz w:val="24"/>
          <w:szCs w:val="24"/>
          <w:lang w:val="en-US" w:eastAsia="zh-CN"/>
        </w:rPr>
        <w:t>新能源</w:t>
      </w:r>
      <w:r>
        <w:rPr>
          <w:rFonts w:hint="eastAsia" w:ascii="宋体" w:hAnsi="宋体" w:cs="宋体"/>
          <w:color w:val="000000"/>
          <w:sz w:val="24"/>
          <w:szCs w:val="24"/>
        </w:rPr>
        <w:t>的接纳已成为亟待研究的问题。这不仅关系到电力系统安全经济运行，也与电力市场稳定高效运营息息相关。基于电力市场建设初期的国情，为确保市场的稳定安全，现行电力市场结构采用“计划电</w:t>
      </w:r>
      <w:r>
        <w:rPr>
          <w:rFonts w:ascii="宋体" w:hAnsi="宋体" w:cs="宋体"/>
          <w:color w:val="000000"/>
          <w:sz w:val="24"/>
          <w:szCs w:val="24"/>
        </w:rPr>
        <w:t>+</w:t>
      </w:r>
      <w:r>
        <w:rPr>
          <w:rFonts w:hint="eastAsia" w:ascii="宋体" w:hAnsi="宋体" w:cs="宋体"/>
          <w:color w:val="000000"/>
          <w:sz w:val="24"/>
          <w:szCs w:val="24"/>
        </w:rPr>
        <w:t>市场电”模式。而</w:t>
      </w:r>
      <w:r>
        <w:rPr>
          <w:rFonts w:hint="eastAsia" w:ascii="宋体" w:hAnsi="宋体" w:cs="宋体"/>
          <w:color w:val="000000"/>
          <w:sz w:val="24"/>
          <w:szCs w:val="24"/>
          <w:lang w:val="en-US" w:eastAsia="zh-CN"/>
        </w:rPr>
        <w:t>新能源</w:t>
      </w:r>
      <w:r>
        <w:rPr>
          <w:rFonts w:hint="eastAsia" w:ascii="宋体" w:hAnsi="宋体" w:cs="宋体"/>
          <w:color w:val="000000"/>
          <w:sz w:val="24"/>
          <w:szCs w:val="24"/>
        </w:rPr>
        <w:t>出力随机</w:t>
      </w:r>
      <w:r>
        <w:rPr>
          <w:rFonts w:hint="eastAsia" w:ascii="宋体" w:hAnsi="宋体" w:cs="宋体"/>
          <w:color w:val="000000"/>
          <w:sz w:val="24"/>
          <w:szCs w:val="24"/>
          <w:lang w:eastAsia="zh-CN"/>
        </w:rPr>
        <w:t>（</w:t>
      </w:r>
      <w:r>
        <w:rPr>
          <w:rFonts w:hint="eastAsia" w:ascii="宋体" w:hAnsi="宋体" w:cs="宋体"/>
          <w:color w:val="000000"/>
          <w:sz w:val="24"/>
          <w:szCs w:val="24"/>
          <w:lang w:val="en-US" w:eastAsia="zh-CN"/>
        </w:rPr>
        <w:t>例如，发电、光伏等</w:t>
      </w:r>
      <w:r>
        <w:rPr>
          <w:rFonts w:hint="eastAsia" w:ascii="宋体" w:hAnsi="宋体" w:cs="宋体"/>
          <w:color w:val="000000"/>
          <w:sz w:val="24"/>
          <w:szCs w:val="24"/>
          <w:lang w:eastAsia="zh-CN"/>
        </w:rPr>
        <w:t>）</w:t>
      </w:r>
      <w:r>
        <w:rPr>
          <w:rFonts w:hint="eastAsia" w:ascii="宋体" w:hAnsi="宋体" w:cs="宋体"/>
          <w:color w:val="000000"/>
          <w:sz w:val="24"/>
          <w:szCs w:val="24"/>
        </w:rPr>
        <w:t>，造成市场不稳定性的问题</w:t>
      </w:r>
      <w:r>
        <w:rPr>
          <w:rFonts w:hint="eastAsia" w:ascii="宋体" w:hAnsi="宋体" w:cs="宋体"/>
          <w:color w:val="000000"/>
          <w:sz w:val="24"/>
          <w:szCs w:val="24"/>
          <w:lang w:eastAsia="zh-CN"/>
        </w:rPr>
        <w:t>，</w:t>
      </w:r>
      <w:r>
        <w:rPr>
          <w:rFonts w:hint="eastAsia" w:ascii="宋体" w:hAnsi="宋体" w:cs="宋体"/>
          <w:color w:val="000000"/>
          <w:sz w:val="24"/>
          <w:szCs w:val="24"/>
          <w:lang w:val="en-US" w:eastAsia="zh-CN"/>
        </w:rPr>
        <w:t>重点</w:t>
      </w:r>
      <w:r>
        <w:rPr>
          <w:rFonts w:hint="eastAsia" w:ascii="宋体" w:hAnsi="宋体" w:cs="宋体"/>
          <w:color w:val="000000"/>
          <w:sz w:val="24"/>
          <w:szCs w:val="24"/>
        </w:rPr>
        <w:t>以计划电形式参与市场。随着电力市场的改革深化，如何实现计划电与市场电的有限衔接是华电集团迫切需要考虑的核心话题。</w:t>
      </w:r>
      <w:r>
        <w:rPr>
          <w:rFonts w:hint="eastAsia" w:ascii="宋体" w:hAnsi="宋体" w:cs="宋体"/>
          <w:color w:val="000000"/>
          <w:sz w:val="24"/>
          <w:szCs w:val="24"/>
          <w:lang w:val="en-US" w:eastAsia="zh-CN"/>
        </w:rPr>
        <w:t>可行性的研究方向包括：基于发电权理论的物理合同交易模型、储能参与能量-调频市场联和调度模式及模型、风储-火发电权交易的中长期电能量市场运营策略等。</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4.1.1 基于发电权理论的物理合同交易模型研究</w:t>
      </w:r>
    </w:p>
    <w:p>
      <w:pPr>
        <w:adjustRightInd w:val="0"/>
        <w:snapToGrid w:val="0"/>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发电权是泛指发电商在中长期电力市场、现货市场等电力市场中通过双边协商或者集中竞争交易的方式获得发电量的交易模式，同时还包括了发电商从国家政府或其授权部门制定的年度发电计划中签订购售合同获得的不参与市场竞争的计划电量，也称为基数电量。</w:t>
      </w:r>
    </w:p>
    <w:p>
      <w:pPr>
        <w:adjustRightInd w:val="0"/>
        <w:snapToGrid w:val="0"/>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发电权交易也称为发电权转让交易、替代发电交易，是通过双边协商或者集中竞价的市场化的方式完成发电份额在不同发电商之间转换的电力交易行为。由于我国电力市场是“计划电</w:t>
      </w:r>
      <w:r>
        <w:rPr>
          <w:rFonts w:hint="default" w:ascii="宋体" w:hAnsi="宋体" w:eastAsia="宋体" w:cs="宋体"/>
          <w:color w:val="000000"/>
          <w:sz w:val="24"/>
          <w:szCs w:val="24"/>
          <w:lang w:val="en-US" w:eastAsia="zh-CN"/>
        </w:rPr>
        <w:t>+</w:t>
      </w:r>
      <w:r>
        <w:rPr>
          <w:rFonts w:hint="eastAsia" w:ascii="宋体" w:hAnsi="宋体" w:eastAsia="宋体" w:cs="宋体"/>
          <w:color w:val="000000"/>
          <w:sz w:val="24"/>
          <w:szCs w:val="24"/>
          <w:lang w:val="en-US" w:eastAsia="zh-CN"/>
        </w:rPr>
        <w:t>市场电”双轨制阶段，因此计划部分的发电机拥有初始发电份额，若拥有发电份额的发电权卖方发电机组可以将部分或全部发电权电量有偿转让给有剩余发电能力的发电权买方机组。发电权交易的交易周期一般以年度、季度、月度或周度为主。发电权交易具有以下两个基本特点：</w:t>
      </w:r>
    </w:p>
    <w:p>
      <w:pPr>
        <w:adjustRightInd w:val="0"/>
        <w:snapToGrid w:val="0"/>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cs="宋体"/>
          <w:color w:val="000000"/>
          <w:sz w:val="24"/>
          <w:szCs w:val="24"/>
          <w:lang w:val="en-US" w:eastAsia="zh-CN"/>
        </w:rPr>
        <w:t>（1）</w:t>
      </w:r>
      <w:r>
        <w:rPr>
          <w:rFonts w:hint="eastAsia" w:ascii="宋体" w:hAnsi="宋体" w:eastAsia="宋体" w:cs="宋体"/>
          <w:color w:val="000000"/>
          <w:sz w:val="24"/>
          <w:szCs w:val="24"/>
          <w:lang w:val="en-US" w:eastAsia="zh-CN"/>
        </w:rPr>
        <w:t>发电权交易主体与其他类型电能量交易不同，发电权交易是发电商与发电商之间的交易，而其他电能交易中，是发电商和电力用户之间的交易；</w:t>
      </w:r>
    </w:p>
    <w:p>
      <w:pPr>
        <w:adjustRightInd w:val="0"/>
        <w:snapToGrid w:val="0"/>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cs="宋体"/>
          <w:color w:val="000000"/>
          <w:sz w:val="24"/>
          <w:szCs w:val="24"/>
          <w:lang w:val="en-US" w:eastAsia="zh-CN"/>
        </w:rPr>
        <w:t>（2）</w:t>
      </w:r>
      <w:r>
        <w:rPr>
          <w:rFonts w:hint="eastAsia" w:ascii="宋体" w:hAnsi="宋体" w:eastAsia="宋体" w:cs="宋体"/>
          <w:color w:val="000000"/>
          <w:sz w:val="24"/>
          <w:szCs w:val="24"/>
          <w:lang w:val="en-US" w:eastAsia="zh-CN"/>
        </w:rPr>
        <w:t>发电权交易与其他电量交易的本质区别在于交易前后系统内发电机组的总发电份额是否改变，发电权交易的答案是否定的，而其他交易必然改变发电份额。</w:t>
      </w:r>
    </w:p>
    <w:p>
      <w:pPr>
        <w:adjustRightInd w:val="0"/>
        <w:snapToGrid w:val="0"/>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物理合同交易是中长期电能量交易的主要交易形式，为了确保市场效益的公平分配，基于发电权理论的物理合同交易模型采用高低匹配机制形成交易对；为了提高市场效率及公平性，构建基于发电权理论的物理合同交易模型，其以社会福利最大化为目标，具体如下：</w:t>
      </w:r>
    </w:p>
    <w:p>
      <w:pPr>
        <w:keepNext w:val="0"/>
        <w:keepLines w:val="0"/>
        <w:pageBreakBefore w:val="0"/>
        <w:widowControl w:val="0"/>
        <w:tabs>
          <w:tab w:val="center" w:pos="4200"/>
          <w:tab w:val="right" w:pos="8400"/>
        </w:tabs>
        <w:kinsoku/>
        <w:wordWrap/>
        <w:overflowPunct/>
        <w:topLinePunct w:val="0"/>
        <w:autoSpaceDE/>
        <w:autoSpaceDN/>
        <w:bidi w:val="0"/>
        <w:adjustRightInd w:val="0"/>
        <w:snapToGrid w:val="0"/>
        <w:spacing w:line="360" w:lineRule="auto"/>
        <w:jc w:val="center"/>
        <w:textAlignment w:val="auto"/>
        <w:rPr>
          <w:rFonts w:hint="default" w:ascii="Cambria Math" w:hAnsi="Cambria Math" w:cs="宋体"/>
          <w:i w:val="0"/>
          <w:color w:val="000000"/>
          <w:sz w:val="24"/>
          <w:szCs w:val="24"/>
          <w:lang w:val="en-US" w:eastAsia="zh-CN"/>
        </w:rPr>
      </w:pPr>
      <w:r>
        <w:rPr>
          <w:rFonts w:hint="eastAsia" w:ascii="宋体" w:hAnsi="宋体" w:cs="宋体"/>
          <w:color w:val="000000"/>
          <w:sz w:val="24"/>
          <w:szCs w:val="24"/>
          <w:lang w:val="en-US" w:eastAsia="zh-CN"/>
        </w:rPr>
        <w:tab/>
      </w:r>
      <w:r>
        <w:rPr>
          <w:rFonts w:hint="eastAsia" w:ascii="宋体" w:hAnsi="宋体" w:cs="宋体"/>
          <w:color w:val="000000"/>
          <w:sz w:val="24"/>
          <w:szCs w:val="24"/>
          <w:lang w:val="en-US" w:eastAsia="zh-CN"/>
        </w:rPr>
        <w:t xml:space="preserve">max </w:t>
      </w:r>
      <m:oMath>
        <m:nary>
          <m:naryPr>
            <m:chr m:val="∑"/>
            <m:limLoc m:val="undOvr"/>
            <m:ctrlPr>
              <w:rPr>
                <w:rFonts w:ascii="Cambria Math" w:hAnsi="Cambria Math" w:cs="宋体"/>
                <w:i/>
                <w:color w:val="000000"/>
                <w:sz w:val="24"/>
                <w:szCs w:val="24"/>
                <w:lang w:val="en-US"/>
              </w:rPr>
            </m:ctrlPr>
          </m:naryPr>
          <m:sub>
            <m:r>
              <m:rPr/>
              <w:rPr>
                <w:rFonts w:hint="default" w:ascii="Cambria Math" w:hAnsi="Cambria Math" w:cs="宋体"/>
                <w:color w:val="000000"/>
                <w:sz w:val="24"/>
                <w:szCs w:val="24"/>
                <w:lang w:val="en-US" w:eastAsia="zh-CN"/>
              </w:rPr>
              <m:t>i=1</m:t>
            </m:r>
            <m:ctrlPr>
              <w:rPr>
                <w:rFonts w:ascii="Cambria Math" w:hAnsi="Cambria Math" w:cs="宋体"/>
                <w:i/>
                <w:color w:val="000000"/>
                <w:sz w:val="24"/>
                <w:szCs w:val="24"/>
                <w:lang w:val="en-US"/>
              </w:rPr>
            </m:ctrlPr>
          </m:sub>
          <m:sup>
            <m:r>
              <m:rPr/>
              <w:rPr>
                <w:rFonts w:hint="default" w:ascii="Cambria Math" w:hAnsi="Cambria Math" w:cs="宋体"/>
                <w:color w:val="000000"/>
                <w:sz w:val="24"/>
                <w:szCs w:val="24"/>
                <w:lang w:val="en-US" w:eastAsia="zh-CN"/>
              </w:rPr>
              <m:t>n</m:t>
            </m:r>
            <m:ctrlPr>
              <w:rPr>
                <w:rFonts w:ascii="Cambria Math" w:hAnsi="Cambria Math" w:cs="宋体"/>
                <w:i/>
                <w:color w:val="000000"/>
                <w:sz w:val="24"/>
                <w:szCs w:val="24"/>
                <w:lang w:val="en-US"/>
              </w:rPr>
            </m:ctrlPr>
          </m:sup>
          <m:e>
            <m:nary>
              <m:naryPr>
                <m:chr m:val="∑"/>
                <m:limLoc m:val="undOvr"/>
                <m:ctrlPr>
                  <w:rPr>
                    <w:rFonts w:ascii="Cambria Math" w:hAnsi="Cambria Math" w:cs="宋体"/>
                    <w:i/>
                    <w:color w:val="000000"/>
                    <w:sz w:val="24"/>
                    <w:szCs w:val="24"/>
                    <w:lang w:val="en-US"/>
                  </w:rPr>
                </m:ctrlPr>
              </m:naryPr>
              <m:sub>
                <m:r>
                  <m:rPr/>
                  <w:rPr>
                    <w:rFonts w:hint="default" w:ascii="Cambria Math" w:hAnsi="Cambria Math" w:cs="宋体"/>
                    <w:color w:val="000000"/>
                    <w:sz w:val="24"/>
                    <w:szCs w:val="24"/>
                    <w:lang w:val="en-US" w:eastAsia="zh-CN"/>
                  </w:rPr>
                  <m:t>j=1</m:t>
                </m:r>
                <m:ctrlPr>
                  <w:rPr>
                    <w:rFonts w:ascii="Cambria Math" w:hAnsi="Cambria Math" w:cs="宋体"/>
                    <w:i/>
                    <w:color w:val="000000"/>
                    <w:sz w:val="24"/>
                    <w:szCs w:val="24"/>
                    <w:lang w:val="en-US"/>
                  </w:rPr>
                </m:ctrlPr>
              </m:sub>
              <m:sup>
                <m:r>
                  <m:rPr/>
                  <w:rPr>
                    <w:rFonts w:hint="default" w:ascii="Cambria Math" w:hAnsi="Cambria Math" w:cs="宋体"/>
                    <w:color w:val="000000"/>
                    <w:sz w:val="24"/>
                    <w:szCs w:val="24"/>
                    <w:lang w:val="en-US" w:eastAsia="zh-CN"/>
                  </w:rPr>
                  <m:t>m</m:t>
                </m:r>
                <m:ctrlPr>
                  <w:rPr>
                    <w:rFonts w:ascii="Cambria Math" w:hAnsi="Cambria Math" w:cs="宋体"/>
                    <w:i/>
                    <w:color w:val="000000"/>
                    <w:sz w:val="24"/>
                    <w:szCs w:val="24"/>
                    <w:lang w:val="en-US"/>
                  </w:rPr>
                </m:ctrlPr>
              </m:sup>
              <m:e>
                <m:sSub>
                  <m:sSubPr>
                    <m:ctrlPr>
                      <w:rPr>
                        <w:rFonts w:ascii="Cambria Math" w:hAnsi="Cambria Math" w:cs="宋体"/>
                        <w:i/>
                        <w:color w:val="000000"/>
                        <w:sz w:val="24"/>
                        <w:szCs w:val="24"/>
                        <w:lang w:val="en-US"/>
                      </w:rPr>
                    </m:ctrlPr>
                  </m:sSubPr>
                  <m:e>
                    <m:r>
                      <m:rPr/>
                      <w:rPr>
                        <w:rFonts w:hint="default" w:ascii="Cambria Math" w:hAnsi="Cambria Math" w:cs="宋体"/>
                        <w:color w:val="000000"/>
                        <w:sz w:val="24"/>
                        <w:szCs w:val="24"/>
                        <w:lang w:val="en-US" w:eastAsia="zh-CN"/>
                      </w:rPr>
                      <m:t>U</m:t>
                    </m:r>
                    <m:ctrlPr>
                      <w:rPr>
                        <w:rFonts w:ascii="Cambria Math" w:hAnsi="Cambria Math" w:cs="宋体"/>
                        <w:i/>
                        <w:color w:val="000000"/>
                        <w:sz w:val="24"/>
                        <w:szCs w:val="24"/>
                        <w:lang w:val="en-US"/>
                      </w:rPr>
                    </m:ctrlPr>
                  </m:e>
                  <m:sub>
                    <m:r>
                      <m:rPr/>
                      <w:rPr>
                        <w:rFonts w:hint="default" w:ascii="Cambria Math" w:hAnsi="Cambria Math" w:cs="宋体"/>
                        <w:color w:val="000000"/>
                        <w:sz w:val="24"/>
                        <w:szCs w:val="24"/>
                        <w:lang w:val="en-US" w:eastAsia="zh-CN"/>
                      </w:rPr>
                      <m:t>ij</m:t>
                    </m:r>
                    <m:ctrlPr>
                      <w:rPr>
                        <w:rFonts w:ascii="Cambria Math" w:hAnsi="Cambria Math" w:cs="宋体"/>
                        <w:i/>
                        <w:color w:val="000000"/>
                        <w:sz w:val="24"/>
                        <w:szCs w:val="24"/>
                        <w:lang w:val="en-US"/>
                      </w:rPr>
                    </m:ctrlPr>
                  </m:sub>
                </m:sSub>
                <m:ctrlPr>
                  <w:rPr>
                    <w:rFonts w:ascii="Cambria Math" w:hAnsi="Cambria Math" w:cs="宋体"/>
                    <w:i/>
                    <w:color w:val="000000"/>
                    <w:sz w:val="24"/>
                    <w:szCs w:val="24"/>
                    <w:lang w:val="en-US"/>
                  </w:rPr>
                </m:ctrlPr>
              </m:e>
            </m:nary>
            <m:ctrlPr>
              <w:rPr>
                <w:rFonts w:ascii="Cambria Math" w:hAnsi="Cambria Math" w:cs="宋体"/>
                <w:i/>
                <w:color w:val="000000"/>
                <w:sz w:val="24"/>
                <w:szCs w:val="24"/>
                <w:lang w:val="en-US"/>
              </w:rPr>
            </m:ctrlPr>
          </m:e>
        </m:nary>
      </m:oMath>
      <w:r>
        <w:rPr>
          <w:rFonts w:hint="eastAsia" w:ascii="Cambria Math" w:hAnsi="Cambria Math" w:cs="宋体"/>
          <w:i w:val="0"/>
          <w:color w:val="000000"/>
          <w:sz w:val="24"/>
          <w:szCs w:val="24"/>
          <w:lang w:val="en-US" w:eastAsia="zh-CN"/>
        </w:rPr>
        <w:tab/>
      </w:r>
      <w:r>
        <w:rPr>
          <w:rFonts w:hint="eastAsia" w:ascii="Cambria Math" w:hAnsi="Cambria Math" w:cs="宋体"/>
          <w:i w:val="0"/>
          <w:color w:val="000000"/>
          <w:sz w:val="24"/>
          <w:szCs w:val="24"/>
          <w:lang w:val="en-US" w:eastAsia="zh-CN"/>
        </w:rPr>
        <w:t>（4-1）</w:t>
      </w:r>
    </w:p>
    <w:p>
      <w:pPr>
        <w:keepNext w:val="0"/>
        <w:keepLines w:val="0"/>
        <w:pageBreakBefore w:val="0"/>
        <w:widowControl w:val="0"/>
        <w:tabs>
          <w:tab w:val="center" w:pos="4200"/>
          <w:tab w:val="right" w:pos="8400"/>
        </w:tabs>
        <w:kinsoku/>
        <w:wordWrap/>
        <w:overflowPunct/>
        <w:topLinePunct w:val="0"/>
        <w:autoSpaceDE/>
        <w:autoSpaceDN/>
        <w:bidi w:val="0"/>
        <w:adjustRightInd/>
        <w:snapToGrid/>
        <w:spacing w:after="240"/>
        <w:jc w:val="center"/>
        <w:textAlignment w:val="auto"/>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ab/>
      </w:r>
      <w:r>
        <w:rPr>
          <w:rFonts w:hint="eastAsia" w:ascii="宋体" w:hAnsi="宋体" w:eastAsia="宋体" w:cs="宋体"/>
          <w:color w:val="000000"/>
          <w:position w:val="-106"/>
          <w:sz w:val="24"/>
          <w:szCs w:val="24"/>
          <w:lang w:val="en-US" w:eastAsia="zh-CN"/>
        </w:rPr>
        <w:object>
          <v:shape id="_x0000_i1025" o:spt="75" type="#_x0000_t75" style="height:112pt;width:156pt;" o:ole="t" filled="f" o:preferrelative="t" stroked="f" coordsize="21600,21600">
            <v:path/>
            <v:fill on="f" focussize="0,0"/>
            <v:stroke on="f"/>
            <v:imagedata r:id="rId12" o:title=""/>
            <o:lock v:ext="edit" aspectratio="t"/>
            <w10:wrap type="none"/>
            <w10:anchorlock/>
          </v:shape>
          <o:OLEObject Type="Embed" ProgID="Equation.KSEE3" ShapeID="_x0000_i1025" DrawAspect="Content" ObjectID="_1468075725" r:id="rId11">
            <o:LockedField>false</o:LockedField>
          </o:OLEObject>
        </w:object>
      </w:r>
      <w:r>
        <w:rPr>
          <w:rFonts w:hint="eastAsia" w:ascii="宋体" w:hAnsi="宋体" w:cs="宋体"/>
          <w:color w:val="000000"/>
          <w:sz w:val="24"/>
          <w:szCs w:val="24"/>
          <w:lang w:val="en-US" w:eastAsia="zh-CN"/>
        </w:rPr>
        <w:tab/>
      </w:r>
      <w:r>
        <w:rPr>
          <w:rFonts w:hint="eastAsia" w:ascii="宋体" w:hAnsi="宋体" w:cs="宋体"/>
          <w:color w:val="000000"/>
          <w:sz w:val="24"/>
          <w:szCs w:val="24"/>
          <w:lang w:val="en-US" w:eastAsia="zh-CN"/>
        </w:rPr>
        <w:t>（4-2）</w:t>
      </w:r>
    </w:p>
    <w:p>
      <w:pPr>
        <w:adjustRightInd w:val="0"/>
        <w:snapToGrid w:val="0"/>
        <w:spacing w:line="360" w:lineRule="auto"/>
        <w:rPr>
          <w:rFonts w:hint="eastAsia" w:ascii="宋体" w:hAnsi="宋体" w:eastAsia="宋体" w:cs="宋体"/>
          <w:i w:val="0"/>
          <w:color w:val="000000"/>
          <w:sz w:val="24"/>
          <w:szCs w:val="24"/>
          <w:lang w:val="en-US" w:eastAsia="zh-CN"/>
        </w:rPr>
      </w:pPr>
      <w:r>
        <w:rPr>
          <w:rFonts w:hint="eastAsia" w:ascii="宋体" w:hAnsi="宋体" w:eastAsia="宋体" w:cs="宋体"/>
          <w:color w:val="000000"/>
          <w:sz w:val="24"/>
          <w:szCs w:val="24"/>
          <w:lang w:val="en-US" w:eastAsia="zh-CN"/>
        </w:rPr>
        <w:t xml:space="preserve">式中: </w:t>
      </w:r>
      <m:oMath>
        <m:sSub>
          <m:sSubPr>
            <m:ctrlPr>
              <w:rPr>
                <w:rFonts w:hint="eastAsia" w:ascii="Cambria Math" w:hAnsi="Cambria Math" w:eastAsia="宋体" w:cs="宋体"/>
                <w:i/>
                <w:color w:val="000000"/>
                <w:sz w:val="24"/>
                <w:szCs w:val="24"/>
                <w:lang w:val="en-US" w:eastAsia="zh-CN"/>
              </w:rPr>
            </m:ctrlPr>
          </m:sSubPr>
          <m:e>
            <m:r>
              <m:rPr/>
              <w:rPr>
                <w:rFonts w:hint="eastAsia" w:ascii="Cambria Math" w:hAnsi="Cambria Math" w:eastAsia="宋体" w:cs="宋体"/>
                <w:color w:val="000000"/>
                <w:sz w:val="24"/>
                <w:szCs w:val="24"/>
                <w:lang w:val="en-US" w:eastAsia="zh-CN"/>
              </w:rPr>
              <m:t>P</m:t>
            </m:r>
            <m:ctrlPr>
              <w:rPr>
                <w:rFonts w:hint="eastAsia" w:ascii="Cambria Math" w:hAnsi="Cambria Math" w:eastAsia="宋体" w:cs="宋体"/>
                <w:i/>
                <w:color w:val="000000"/>
                <w:sz w:val="24"/>
                <w:szCs w:val="24"/>
                <w:lang w:val="en-US" w:eastAsia="zh-CN"/>
              </w:rPr>
            </m:ctrlPr>
          </m:e>
          <m:sub>
            <m:r>
              <m:rPr/>
              <w:rPr>
                <w:rFonts w:hint="eastAsia" w:ascii="Cambria Math" w:hAnsi="Cambria Math" w:eastAsia="宋体" w:cs="宋体"/>
                <w:color w:val="000000"/>
                <w:sz w:val="24"/>
                <w:szCs w:val="24"/>
                <w:lang w:val="en-US" w:eastAsia="zh-CN"/>
              </w:rPr>
              <m:t>sell,i</m:t>
            </m:r>
            <m:ctrlPr>
              <w:rPr>
                <w:rFonts w:hint="eastAsia" w:ascii="Cambria Math" w:hAnsi="Cambria Math" w:eastAsia="宋体" w:cs="宋体"/>
                <w:i/>
                <w:color w:val="000000"/>
                <w:sz w:val="24"/>
                <w:szCs w:val="24"/>
                <w:lang w:val="en-US" w:eastAsia="zh-CN"/>
              </w:rPr>
            </m:ctrlPr>
          </m:sub>
        </m:sSub>
        <m:r>
          <m:rPr/>
          <w:rPr>
            <w:rFonts w:hint="eastAsia" w:ascii="Cambria Math" w:hAnsi="Cambria Math" w:eastAsia="宋体" w:cs="宋体"/>
            <w:color w:val="000000"/>
            <w:sz w:val="24"/>
            <w:szCs w:val="24"/>
            <w:lang w:val="en-US" w:eastAsia="zh-CN"/>
          </w:rPr>
          <m:t xml:space="preserve"> </m:t>
        </m:r>
      </m:oMath>
      <w:r>
        <w:rPr>
          <w:rFonts w:hint="eastAsia" w:ascii="宋体" w:hAnsi="宋体" w:eastAsia="宋体" w:cs="宋体"/>
          <w:color w:val="000000"/>
          <w:sz w:val="24"/>
          <w:szCs w:val="24"/>
          <w:lang w:val="en-US" w:eastAsia="zh-CN"/>
        </w:rPr>
        <w:t xml:space="preserve">和 </w:t>
      </w:r>
      <m:oMath>
        <m:sSub>
          <m:sSubPr>
            <m:ctrlPr>
              <w:rPr>
                <w:rFonts w:hint="eastAsia" w:ascii="Cambria Math" w:hAnsi="Cambria Math" w:eastAsia="宋体" w:cs="宋体"/>
                <w:i/>
                <w:color w:val="000000"/>
                <w:sz w:val="24"/>
                <w:szCs w:val="24"/>
                <w:lang w:val="en-US"/>
              </w:rPr>
            </m:ctrlPr>
          </m:sSubPr>
          <m:e>
            <m:r>
              <m:rPr/>
              <w:rPr>
                <w:rFonts w:hint="eastAsia" w:ascii="Cambria Math" w:hAnsi="Cambria Math" w:eastAsia="宋体" w:cs="宋体"/>
                <w:color w:val="000000"/>
                <w:sz w:val="24"/>
                <w:szCs w:val="24"/>
                <w:lang w:val="en-US" w:eastAsia="zh-CN"/>
              </w:rPr>
              <m:t>Q</m:t>
            </m:r>
            <m:ctrlPr>
              <w:rPr>
                <w:rFonts w:hint="eastAsia" w:ascii="Cambria Math" w:hAnsi="Cambria Math" w:eastAsia="宋体" w:cs="宋体"/>
                <w:i/>
                <w:color w:val="000000"/>
                <w:sz w:val="24"/>
                <w:szCs w:val="24"/>
                <w:lang w:val="en-US"/>
              </w:rPr>
            </m:ctrlPr>
          </m:e>
          <m:sub>
            <m:r>
              <m:rPr/>
              <w:rPr>
                <w:rFonts w:hint="eastAsia" w:ascii="Cambria Math" w:hAnsi="Cambria Math" w:eastAsia="宋体" w:cs="宋体"/>
                <w:color w:val="000000"/>
                <w:sz w:val="24"/>
                <w:szCs w:val="24"/>
                <w:lang w:val="en-US" w:eastAsia="zh-CN"/>
              </w:rPr>
              <m:t>sell,i</m:t>
            </m:r>
            <m:ctrlPr>
              <w:rPr>
                <w:rFonts w:hint="eastAsia" w:ascii="Cambria Math" w:hAnsi="Cambria Math" w:eastAsia="宋体" w:cs="宋体"/>
                <w:i/>
                <w:color w:val="000000"/>
                <w:sz w:val="24"/>
                <w:szCs w:val="24"/>
                <w:lang w:val="en-US"/>
              </w:rPr>
            </m:ctrlPr>
          </m:sub>
        </m:sSub>
      </m:oMath>
      <w:r>
        <w:rPr>
          <w:rFonts w:hint="eastAsia" w:ascii="宋体" w:hAnsi="宋体" w:eastAsia="宋体" w:cs="宋体"/>
          <w:i w:val="0"/>
          <w:color w:val="000000"/>
          <w:sz w:val="24"/>
          <w:szCs w:val="24"/>
          <w:lang w:val="en-US" w:eastAsia="zh-CN"/>
        </w:rPr>
        <w:t xml:space="preserve"> </w:t>
      </w:r>
      <w:r>
        <w:rPr>
          <w:rFonts w:hint="eastAsia" w:ascii="宋体" w:hAnsi="宋体" w:eastAsia="宋体" w:cs="宋体"/>
          <w:color w:val="000000"/>
          <w:sz w:val="24"/>
          <w:szCs w:val="24"/>
          <w:lang w:val="en-US" w:eastAsia="zh-CN"/>
        </w:rPr>
        <w:t>是第i台出售发电权的发电机组的报价和报量，</w:t>
      </w:r>
      <m:oMath>
        <m:sSub>
          <m:sSubPr>
            <m:ctrlPr>
              <w:rPr>
                <w:rFonts w:hint="eastAsia" w:ascii="Cambria Math" w:hAnsi="Cambria Math" w:eastAsia="宋体" w:cs="宋体"/>
                <w:i/>
                <w:color w:val="000000"/>
                <w:sz w:val="24"/>
                <w:szCs w:val="24"/>
                <w:lang w:val="en-US" w:eastAsia="zh-CN"/>
              </w:rPr>
            </m:ctrlPr>
          </m:sSubPr>
          <m:e>
            <m:r>
              <m:rPr/>
              <w:rPr>
                <w:rFonts w:hint="eastAsia" w:ascii="Cambria Math" w:hAnsi="Cambria Math" w:eastAsia="宋体" w:cs="宋体"/>
                <w:color w:val="000000"/>
                <w:sz w:val="24"/>
                <w:szCs w:val="24"/>
                <w:lang w:val="en-US" w:eastAsia="zh-CN"/>
              </w:rPr>
              <m:t>P</m:t>
            </m:r>
            <m:ctrlPr>
              <w:rPr>
                <w:rFonts w:hint="eastAsia" w:ascii="Cambria Math" w:hAnsi="Cambria Math" w:eastAsia="宋体" w:cs="宋体"/>
                <w:i/>
                <w:color w:val="000000"/>
                <w:sz w:val="24"/>
                <w:szCs w:val="24"/>
                <w:lang w:val="en-US" w:eastAsia="zh-CN"/>
              </w:rPr>
            </m:ctrlPr>
          </m:e>
          <m:sub>
            <m:r>
              <m:rPr/>
              <w:rPr>
                <w:rFonts w:hint="eastAsia" w:ascii="Cambria Math" w:hAnsi="Cambria Math" w:eastAsia="宋体" w:cs="宋体"/>
                <w:color w:val="000000"/>
                <w:sz w:val="24"/>
                <w:szCs w:val="24"/>
                <w:lang w:val="en-US" w:eastAsia="zh-CN"/>
              </w:rPr>
              <m:t>buy,j</m:t>
            </m:r>
            <m:ctrlPr>
              <w:rPr>
                <w:rFonts w:hint="eastAsia" w:ascii="Cambria Math" w:hAnsi="Cambria Math" w:eastAsia="宋体" w:cs="宋体"/>
                <w:i/>
                <w:color w:val="000000"/>
                <w:sz w:val="24"/>
                <w:szCs w:val="24"/>
                <w:lang w:val="en-US" w:eastAsia="zh-CN"/>
              </w:rPr>
            </m:ctrlPr>
          </m:sub>
        </m:sSub>
      </m:oMath>
      <w:r>
        <w:rPr>
          <w:rFonts w:hint="eastAsia" w:ascii="宋体" w:hAnsi="宋体" w:eastAsia="宋体" w:cs="宋体"/>
          <w:i w:val="0"/>
          <w:color w:val="000000"/>
          <w:sz w:val="24"/>
          <w:szCs w:val="24"/>
          <w:lang w:val="en-US" w:eastAsia="zh-CN"/>
        </w:rPr>
        <w:t xml:space="preserve"> 和</w:t>
      </w:r>
      <m:oMath>
        <m:sSub>
          <m:sSubPr>
            <m:ctrlPr>
              <w:rPr>
                <w:rFonts w:hint="eastAsia" w:ascii="Cambria Math" w:hAnsi="Cambria Math" w:eastAsia="宋体" w:cs="宋体"/>
                <w:i/>
                <w:color w:val="000000"/>
                <w:sz w:val="24"/>
                <w:szCs w:val="24"/>
                <w:lang w:val="en-US"/>
              </w:rPr>
            </m:ctrlPr>
          </m:sSubPr>
          <m:e>
            <m:r>
              <m:rPr/>
              <w:rPr>
                <w:rFonts w:hint="eastAsia" w:ascii="Cambria Math" w:hAnsi="Cambria Math" w:eastAsia="宋体" w:cs="宋体"/>
                <w:color w:val="000000"/>
                <w:sz w:val="24"/>
                <w:szCs w:val="24"/>
                <w:lang w:val="en-US" w:eastAsia="zh-CN"/>
              </w:rPr>
              <m:t>Q</m:t>
            </m:r>
            <m:ctrlPr>
              <w:rPr>
                <w:rFonts w:hint="eastAsia" w:ascii="Cambria Math" w:hAnsi="Cambria Math" w:eastAsia="宋体" w:cs="宋体"/>
                <w:i/>
                <w:color w:val="000000"/>
                <w:sz w:val="24"/>
                <w:szCs w:val="24"/>
                <w:lang w:val="en-US"/>
              </w:rPr>
            </m:ctrlPr>
          </m:e>
          <m:sub>
            <m:r>
              <m:rPr/>
              <w:rPr>
                <w:rFonts w:hint="eastAsia" w:ascii="Cambria Math" w:hAnsi="Cambria Math" w:eastAsia="宋体" w:cs="宋体"/>
                <w:color w:val="000000"/>
                <w:sz w:val="24"/>
                <w:szCs w:val="24"/>
                <w:lang w:val="en-US" w:eastAsia="zh-CN"/>
              </w:rPr>
              <m:t>buy,j</m:t>
            </m:r>
            <m:ctrlPr>
              <w:rPr>
                <w:rFonts w:hint="eastAsia" w:ascii="Cambria Math" w:hAnsi="Cambria Math" w:eastAsia="宋体" w:cs="宋体"/>
                <w:i/>
                <w:color w:val="000000"/>
                <w:sz w:val="24"/>
                <w:szCs w:val="24"/>
                <w:lang w:val="en-US"/>
              </w:rPr>
            </m:ctrlPr>
          </m:sub>
        </m:sSub>
      </m:oMath>
      <w:r>
        <w:rPr>
          <w:rFonts w:hint="eastAsia" w:ascii="宋体" w:hAnsi="宋体" w:eastAsia="宋体" w:cs="宋体"/>
          <w:color w:val="000000"/>
          <w:sz w:val="24"/>
          <w:szCs w:val="24"/>
          <w:lang w:val="en-US" w:eastAsia="zh-CN"/>
        </w:rPr>
        <w:t>是j台购买发电权的发电机组的报价和报量；交易电量</w:t>
      </w:r>
      <m:oMath>
        <m:sSub>
          <m:sSubPr>
            <m:ctrlPr>
              <w:rPr>
                <w:rFonts w:hint="eastAsia" w:ascii="Cambria Math" w:hAnsi="Cambria Math" w:eastAsia="宋体" w:cs="宋体"/>
                <w:i/>
                <w:color w:val="000000"/>
                <w:sz w:val="24"/>
                <w:szCs w:val="24"/>
                <w:lang w:val="en-US" w:eastAsia="zh-CN"/>
              </w:rPr>
            </m:ctrlPr>
          </m:sSubPr>
          <m:e>
            <m:r>
              <m:rPr/>
              <w:rPr>
                <w:rFonts w:hint="eastAsia" w:ascii="Cambria Math" w:hAnsi="Cambria Math" w:eastAsia="宋体" w:cs="宋体"/>
                <w:color w:val="000000"/>
                <w:sz w:val="24"/>
                <w:szCs w:val="24"/>
                <w:lang w:val="en-US" w:eastAsia="zh-CN"/>
              </w:rPr>
              <m:t>Q</m:t>
            </m:r>
            <m:ctrlPr>
              <w:rPr>
                <w:rFonts w:hint="eastAsia" w:ascii="Cambria Math" w:hAnsi="Cambria Math" w:eastAsia="宋体" w:cs="宋体"/>
                <w:i/>
                <w:color w:val="000000"/>
                <w:sz w:val="24"/>
                <w:szCs w:val="24"/>
                <w:lang w:val="en-US" w:eastAsia="zh-CN"/>
              </w:rPr>
            </m:ctrlPr>
          </m:e>
          <m:sub>
            <m:r>
              <m:rPr/>
              <w:rPr>
                <w:rFonts w:hint="eastAsia" w:ascii="Cambria Math" w:hAnsi="Cambria Math" w:eastAsia="宋体" w:cs="宋体"/>
                <w:color w:val="000000"/>
                <w:sz w:val="24"/>
                <w:szCs w:val="24"/>
                <w:lang w:val="en-US" w:eastAsia="zh-CN"/>
              </w:rPr>
              <m:t>ij</m:t>
            </m:r>
            <m:ctrlPr>
              <w:rPr>
                <w:rFonts w:hint="eastAsia" w:ascii="Cambria Math" w:hAnsi="Cambria Math" w:eastAsia="宋体" w:cs="宋体"/>
                <w:i/>
                <w:color w:val="000000"/>
                <w:sz w:val="24"/>
                <w:szCs w:val="24"/>
                <w:lang w:val="en-US" w:eastAsia="zh-CN"/>
              </w:rPr>
            </m:ctrlPr>
          </m:sub>
        </m:sSub>
      </m:oMath>
      <w:r>
        <w:rPr>
          <w:rFonts w:hint="eastAsia" w:ascii="宋体" w:hAnsi="宋体" w:eastAsia="宋体" w:cs="宋体"/>
          <w:color w:val="000000"/>
          <w:sz w:val="24"/>
          <w:szCs w:val="24"/>
          <w:lang w:val="en-US" w:eastAsia="zh-CN"/>
        </w:rPr>
        <w:t>是第i台出售发电权机组和第j台购买发电权机组通过集中撮合交易确定的电量，发电权交易的每笔电量交易成本为</w:t>
      </w:r>
      <m:oMath>
        <m:sSub>
          <m:sSubPr>
            <m:ctrlPr>
              <w:rPr>
                <w:rFonts w:hint="eastAsia" w:ascii="Cambria Math" w:hAnsi="Cambria Math" w:eastAsia="宋体" w:cs="宋体"/>
                <w:i/>
                <w:color w:val="000000"/>
                <w:sz w:val="24"/>
                <w:szCs w:val="24"/>
                <w:lang w:val="en-US" w:eastAsia="zh-CN"/>
              </w:rPr>
            </m:ctrlPr>
          </m:sSubPr>
          <m:e>
            <m:r>
              <m:rPr/>
              <w:rPr>
                <w:rFonts w:hint="eastAsia" w:ascii="Cambria Math" w:hAnsi="Cambria Math" w:eastAsia="宋体" w:cs="宋体"/>
                <w:color w:val="000000"/>
                <w:sz w:val="24"/>
                <w:szCs w:val="24"/>
                <w:lang w:val="en-US" w:eastAsia="zh-CN"/>
              </w:rPr>
              <m:t>C</m:t>
            </m:r>
            <m:ctrlPr>
              <w:rPr>
                <w:rFonts w:hint="eastAsia" w:ascii="Cambria Math" w:hAnsi="Cambria Math" w:eastAsia="宋体" w:cs="宋体"/>
                <w:i/>
                <w:color w:val="000000"/>
                <w:sz w:val="24"/>
                <w:szCs w:val="24"/>
                <w:lang w:val="en-US" w:eastAsia="zh-CN"/>
              </w:rPr>
            </m:ctrlPr>
          </m:e>
          <m:sub>
            <m:r>
              <m:rPr/>
              <w:rPr>
                <w:rFonts w:hint="eastAsia" w:ascii="Cambria Math" w:hAnsi="Cambria Math" w:eastAsia="宋体" w:cs="宋体"/>
                <w:color w:val="000000"/>
                <w:sz w:val="24"/>
                <w:szCs w:val="24"/>
                <w:lang w:val="en-US" w:eastAsia="zh-CN"/>
              </w:rPr>
              <m:t>ij</m:t>
            </m:r>
            <m:ctrlPr>
              <w:rPr>
                <w:rFonts w:hint="eastAsia" w:ascii="Cambria Math" w:hAnsi="Cambria Math" w:eastAsia="宋体" w:cs="宋体"/>
                <w:i/>
                <w:color w:val="000000"/>
                <w:sz w:val="24"/>
                <w:szCs w:val="24"/>
                <w:lang w:val="en-US" w:eastAsia="zh-CN"/>
              </w:rPr>
            </m:ctrlPr>
          </m:sub>
        </m:sSub>
      </m:oMath>
      <w:r>
        <w:rPr>
          <w:rFonts w:hint="eastAsia" w:ascii="宋体" w:hAnsi="宋体" w:eastAsia="宋体" w:cs="宋体"/>
          <w:i w:val="0"/>
          <w:color w:val="000000"/>
          <w:sz w:val="24"/>
          <w:szCs w:val="24"/>
          <w:lang w:val="en-US" w:eastAsia="zh-CN"/>
        </w:rPr>
        <w:t>。</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4.1.2 储能参与能量-调频市场联合调度模式及模型研究</w:t>
      </w:r>
    </w:p>
    <w:p>
      <w:pPr>
        <w:adjustRightInd w:val="0"/>
        <w:snapToGrid w:val="0"/>
        <w:spacing w:line="360" w:lineRule="auto"/>
        <w:ind w:firstLine="480" w:firstLineChars="20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随着储能技术的迅速发展，其在电力系统中的应用日益广泛，并对电力系统的运行带来新的影响。位于发电侧的储能可以提高可再生能源的消纳，平滑出力、减少弃光弃风现象；从电网侧接入的储能电站可以提供功率支撑，起到削峰填谷，增加系统备用，从而提高电力系统安全稳定性的作用；用户侧的储能装置则作为应急、备用、平抑功率波动等之用，从而保证优良的电能质量。储能电站/装置本身所具有的充放电模式快速切换以及灵活可能的功率调节技术特性，使其能够为电网运行和调度提供不同类型、不同价值的服务</w:t>
      </w:r>
      <w:r>
        <w:rPr>
          <w:rFonts w:hint="eastAsia" w:ascii="宋体" w:hAnsi="宋体" w:cs="宋体"/>
          <w:color w:val="000000"/>
          <w:sz w:val="24"/>
          <w:szCs w:val="24"/>
          <w:lang w:val="en-US" w:eastAsia="zh-CN"/>
        </w:rPr>
        <w:t>，具有重要的研究价值</w:t>
      </w:r>
      <w:r>
        <w:rPr>
          <w:rFonts w:hint="eastAsia" w:ascii="宋体" w:hAnsi="宋体" w:eastAsia="宋体" w:cs="宋体"/>
          <w:color w:val="000000"/>
          <w:sz w:val="24"/>
          <w:szCs w:val="24"/>
          <w:lang w:val="en-US" w:eastAsia="zh-CN"/>
        </w:rPr>
        <w:t>。</w:t>
      </w:r>
      <w:r>
        <w:rPr>
          <w:rFonts w:hint="eastAsia" w:ascii="宋体" w:hAnsi="宋体" w:cs="宋体"/>
          <w:color w:val="000000"/>
          <w:sz w:val="24"/>
          <w:szCs w:val="24"/>
          <w:lang w:val="en-US" w:eastAsia="zh-CN"/>
        </w:rPr>
        <w:t>具体研究机制参考如下：</w:t>
      </w:r>
    </w:p>
    <w:p>
      <w:pPr>
        <w:adjustRightInd w:val="0"/>
        <w:snapToGrid w:val="0"/>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1、加州调频补偿机制</w:t>
      </w:r>
    </w:p>
    <w:p>
      <w:pPr>
        <w:adjustRightInd w:val="0"/>
        <w:snapToGrid w:val="0"/>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加州是美国储能能量规模最大的地区，加州能量市场针对储能的补偿机制，以补贴为主，适当减免储能充电基本电费等。根据美国联邦能源监管委员会(FederalEnergyRegulatoryCommission，FERC)颁布的755号法案，在调频市场中引入基于调频效果的补偿机制。其中，考虑调频性能指标的两部制补偿机制如下：</w:t>
      </w:r>
    </w:p>
    <w:p>
      <w:pPr>
        <w:keepNext w:val="0"/>
        <w:keepLines w:val="0"/>
        <w:pageBreakBefore w:val="0"/>
        <w:widowControl w:val="0"/>
        <w:numPr>
          <w:ilvl w:val="0"/>
          <w:numId w:val="0"/>
        </w:numPr>
        <w:tabs>
          <w:tab w:val="center" w:pos="4200"/>
          <w:tab w:val="right" w:pos="8400"/>
        </w:tabs>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ab/>
      </w:r>
      <m:oMath>
        <m:sSub>
          <m:sSubPr>
            <m:ctrlPr>
              <w:rPr>
                <w:rFonts w:hint="eastAsia" w:ascii="Cambria Math" w:hAnsi="Cambria Math" w:eastAsia="宋体" w:cs="宋体"/>
                <w:sz w:val="24"/>
                <w:szCs w:val="24"/>
                <w:lang w:val="en-US"/>
              </w:rPr>
            </m:ctrlPr>
          </m:sSubPr>
          <m:e>
            <m:r>
              <m:rPr>
                <m:sty m:val="p"/>
              </m:rPr>
              <w:rPr>
                <w:rFonts w:hint="eastAsia" w:ascii="Cambria Math" w:hAnsi="Cambria Math" w:eastAsia="宋体" w:cs="宋体"/>
                <w:sz w:val="24"/>
                <w:szCs w:val="24"/>
                <w:lang w:val="en-US"/>
              </w:rPr>
              <m:t>π</m:t>
            </m:r>
            <m:ctrlPr>
              <w:rPr>
                <w:rFonts w:hint="eastAsia" w:ascii="Cambria Math" w:hAnsi="Cambria Math" w:eastAsia="宋体" w:cs="宋体"/>
                <w:sz w:val="24"/>
                <w:szCs w:val="24"/>
                <w:lang w:val="en-US"/>
              </w:rPr>
            </m:ctrlPr>
          </m:e>
          <m:sub>
            <m:r>
              <m:rPr>
                <m:sty m:val="p"/>
              </m:rPr>
              <w:rPr>
                <w:rFonts w:hint="eastAsia" w:ascii="Cambria Math" w:hAnsi="Cambria Math" w:eastAsia="宋体" w:cs="宋体"/>
                <w:sz w:val="24"/>
                <w:szCs w:val="24"/>
                <w:lang w:val="en-US" w:eastAsia="zh-CN"/>
              </w:rPr>
              <m:t>r</m:t>
            </m:r>
            <m:ctrlPr>
              <w:rPr>
                <w:rFonts w:hint="eastAsia" w:ascii="Cambria Math" w:hAnsi="Cambria Math" w:eastAsia="宋体" w:cs="宋体"/>
                <w:sz w:val="24"/>
                <w:szCs w:val="24"/>
                <w:lang w:val="en-US"/>
              </w:rPr>
            </m:ctrlPr>
          </m:sub>
        </m:sSub>
        <m:r>
          <m:rPr>
            <m:sty m:val="p"/>
          </m:rPr>
          <w:rPr>
            <w:rFonts w:hint="eastAsia" w:ascii="Cambria Math" w:hAnsi="Cambria Math" w:eastAsia="宋体" w:cs="宋体"/>
            <w:sz w:val="24"/>
            <w:szCs w:val="24"/>
            <w:lang w:val="en-US" w:eastAsia="zh-CN"/>
          </w:rPr>
          <m:t>=R∗</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r</m:t>
            </m:r>
            <m:ctrlPr>
              <w:rPr>
                <w:rFonts w:hint="eastAsia" w:ascii="Cambria Math" w:hAnsi="Cambria Math" w:eastAsia="宋体" w:cs="宋体"/>
                <w:sz w:val="24"/>
                <w:szCs w:val="24"/>
                <w:lang w:val="en-US" w:eastAsia="zh-CN"/>
              </w:rPr>
            </m:ctrlPr>
          </m:sub>
        </m:sSub>
      </m:oMath>
      <w:r>
        <w:rPr>
          <w:rFonts w:hint="eastAsia" w:ascii="宋体" w:hAnsi="宋体" w:eastAsia="宋体" w:cs="宋体"/>
          <w:i w:val="0"/>
          <w:sz w:val="24"/>
          <w:szCs w:val="24"/>
          <w:lang w:val="en-US" w:eastAsia="zh-CN"/>
        </w:rPr>
        <w:t xml:space="preserve"> </w:t>
      </w:r>
      <w:r>
        <w:rPr>
          <w:rFonts w:hint="eastAsia" w:ascii="宋体" w:hAnsi="宋体" w:eastAsia="宋体" w:cs="宋体"/>
          <w:i w:val="0"/>
          <w:sz w:val="24"/>
          <w:szCs w:val="24"/>
          <w:lang w:val="en-US" w:eastAsia="zh-CN"/>
        </w:rPr>
        <w:tab/>
      </w:r>
      <w:r>
        <w:rPr>
          <w:rFonts w:hint="eastAsia" w:ascii="宋体" w:hAnsi="宋体" w:eastAsia="宋体" w:cs="宋体"/>
          <w:i w:val="0"/>
          <w:sz w:val="24"/>
          <w:szCs w:val="24"/>
          <w:lang w:val="en-US" w:eastAsia="zh-CN"/>
        </w:rPr>
        <w:t>（</w:t>
      </w:r>
      <w:r>
        <w:rPr>
          <w:rFonts w:hint="eastAsia" w:ascii="宋体" w:hAnsi="宋体" w:cs="宋体"/>
          <w:i w:val="0"/>
          <w:sz w:val="24"/>
          <w:szCs w:val="24"/>
          <w:lang w:val="en-US" w:eastAsia="zh-CN"/>
        </w:rPr>
        <w:t>4</w:t>
      </w:r>
      <w:r>
        <w:rPr>
          <w:rFonts w:hint="eastAsia" w:ascii="宋体" w:hAnsi="宋体" w:eastAsia="宋体" w:cs="宋体"/>
          <w:i w:val="0"/>
          <w:sz w:val="24"/>
          <w:szCs w:val="24"/>
          <w:lang w:val="en-US" w:eastAsia="zh-CN"/>
        </w:rPr>
        <w:t>-3）</w:t>
      </w:r>
    </w:p>
    <w:p>
      <w:pPr>
        <w:keepNext w:val="0"/>
        <w:keepLines w:val="0"/>
        <w:pageBreakBefore w:val="0"/>
        <w:widowControl w:val="0"/>
        <w:numPr>
          <w:ilvl w:val="0"/>
          <w:numId w:val="0"/>
        </w:numPr>
        <w:tabs>
          <w:tab w:val="center" w:pos="4200"/>
          <w:tab w:val="right" w:pos="8400"/>
        </w:tabs>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ab/>
      </w:r>
      <m:oMath>
        <m:sSub>
          <m:sSubPr>
            <m:ctrlPr>
              <w:rPr>
                <w:rFonts w:hint="eastAsia" w:ascii="Cambria Math" w:hAnsi="Cambria Math" w:eastAsia="宋体" w:cs="宋体"/>
                <w:sz w:val="24"/>
                <w:szCs w:val="24"/>
                <w:lang w:val="en-US"/>
              </w:rPr>
            </m:ctrlPr>
          </m:sSubPr>
          <m:e>
            <m:r>
              <m:rPr>
                <m:sty m:val="p"/>
              </m:rPr>
              <w:rPr>
                <w:rFonts w:hint="eastAsia" w:ascii="Cambria Math" w:hAnsi="Cambria Math" w:eastAsia="宋体" w:cs="宋体"/>
                <w:sz w:val="24"/>
                <w:szCs w:val="24"/>
                <w:lang w:val="en-US"/>
              </w:rPr>
              <m:t>π</m:t>
            </m:r>
            <m:ctrlPr>
              <w:rPr>
                <w:rFonts w:hint="eastAsia" w:ascii="Cambria Math" w:hAnsi="Cambria Math" w:eastAsia="宋体" w:cs="宋体"/>
                <w:sz w:val="24"/>
                <w:szCs w:val="24"/>
                <w:lang w:val="en-US"/>
              </w:rPr>
            </m:ctrlPr>
          </m:e>
          <m:sub>
            <m:r>
              <m:rPr>
                <m:sty m:val="p"/>
              </m:rPr>
              <w:rPr>
                <w:rFonts w:hint="eastAsia" w:ascii="Cambria Math" w:hAnsi="Cambria Math" w:eastAsia="宋体" w:cs="宋体"/>
                <w:sz w:val="24"/>
                <w:szCs w:val="24"/>
                <w:lang w:val="en-US" w:eastAsia="zh-CN"/>
              </w:rPr>
              <m:t>M</m:t>
            </m:r>
            <m:ctrlPr>
              <w:rPr>
                <w:rFonts w:hint="eastAsia" w:ascii="Cambria Math" w:hAnsi="Cambria Math" w:eastAsia="宋体" w:cs="宋体"/>
                <w:sz w:val="24"/>
                <w:szCs w:val="24"/>
                <w:lang w:val="en-US"/>
              </w:rPr>
            </m:ctrlPr>
          </m:sub>
        </m:sSub>
        <m:r>
          <m:rPr>
            <m:sty m:val="p"/>
          </m:rPr>
          <w:rPr>
            <w:rFonts w:hint="eastAsia" w:ascii="Cambria Math" w:hAnsi="Cambria Math" w:eastAsia="宋体" w:cs="宋体"/>
            <w:sz w:val="24"/>
            <w:szCs w:val="24"/>
            <w:lang w:val="en-US" w:eastAsia="zh-CN"/>
          </w:rPr>
          <m:t>=M∗</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b>
        </m:sSub>
      </m:oMath>
      <w:r>
        <w:rPr>
          <w:rFonts w:hint="eastAsia" w:ascii="宋体" w:hAnsi="宋体" w:eastAsia="宋体" w:cs="宋体"/>
          <w:i w:val="0"/>
          <w:sz w:val="24"/>
          <w:szCs w:val="24"/>
          <w:lang w:val="en-US" w:eastAsia="zh-CN"/>
        </w:rPr>
        <w:tab/>
      </w:r>
      <w:r>
        <w:rPr>
          <w:rFonts w:hint="eastAsia" w:ascii="宋体" w:hAnsi="宋体" w:eastAsia="宋体" w:cs="宋体"/>
          <w:sz w:val="24"/>
          <w:szCs w:val="24"/>
          <w:lang w:val="en-US" w:eastAsia="zh-CN"/>
        </w:rPr>
        <w:t>（</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-4）</w:t>
      </w:r>
    </w:p>
    <w:p>
      <w:pPr>
        <w:adjustRightInd w:val="0"/>
        <w:snapToGrid w:val="0"/>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式中</w:t>
      </w:r>
      <m:oMath>
        <m:sSub>
          <m:sSubPr>
            <m:ctrlPr>
              <w:rPr>
                <w:rFonts w:hint="eastAsia" w:ascii="Cambria Math" w:hAnsi="Cambria Math" w:eastAsia="宋体" w:cs="宋体"/>
                <w:color w:val="000000"/>
                <w:sz w:val="24"/>
                <w:szCs w:val="24"/>
                <w:lang w:val="en-US" w:eastAsia="zh-CN"/>
              </w:rPr>
            </m:ctrlPr>
          </m:sSubPr>
          <m:e>
            <m:r>
              <m:rPr>
                <m:sty m:val="p"/>
              </m:rPr>
              <w:rPr>
                <w:rFonts w:hint="eastAsia" w:ascii="Cambria Math" w:hAnsi="Cambria Math" w:eastAsia="宋体" w:cs="宋体"/>
                <w:color w:val="000000"/>
                <w:sz w:val="24"/>
                <w:szCs w:val="24"/>
                <w:lang w:val="en-US" w:eastAsia="zh-CN"/>
              </w:rPr>
              <m:t>π</m:t>
            </m:r>
            <m:ctrlPr>
              <w:rPr>
                <w:rFonts w:hint="eastAsia" w:ascii="Cambria Math" w:hAnsi="Cambria Math" w:eastAsia="宋体" w:cs="宋体"/>
                <w:color w:val="000000"/>
                <w:sz w:val="24"/>
                <w:szCs w:val="24"/>
                <w:lang w:val="en-US" w:eastAsia="zh-CN"/>
              </w:rPr>
            </m:ctrlPr>
          </m:e>
          <m:sub>
            <m:r>
              <m:rPr>
                <m:sty m:val="p"/>
              </m:rPr>
              <w:rPr>
                <w:rFonts w:hint="eastAsia" w:ascii="Cambria Math" w:hAnsi="Cambria Math" w:eastAsia="宋体" w:cs="宋体"/>
                <w:color w:val="000000"/>
                <w:sz w:val="24"/>
                <w:szCs w:val="24"/>
                <w:lang w:val="en-US" w:eastAsia="zh-CN"/>
              </w:rPr>
              <m:t>r</m:t>
            </m:r>
            <m:ctrlPr>
              <w:rPr>
                <w:rFonts w:hint="eastAsia" w:ascii="Cambria Math" w:hAnsi="Cambria Math" w:eastAsia="宋体" w:cs="宋体"/>
                <w:color w:val="000000"/>
                <w:sz w:val="24"/>
                <w:szCs w:val="24"/>
                <w:lang w:val="en-US" w:eastAsia="zh-CN"/>
              </w:rPr>
            </m:ctrlPr>
          </m:sub>
        </m:sSub>
      </m:oMath>
      <w:r>
        <w:rPr>
          <w:rFonts w:hint="eastAsia" w:ascii="宋体" w:hAnsi="宋体" w:eastAsia="宋体" w:cs="宋体"/>
          <w:color w:val="000000"/>
          <w:sz w:val="24"/>
          <w:szCs w:val="24"/>
          <w:lang w:val="en-US" w:eastAsia="zh-CN"/>
        </w:rPr>
        <w:t>、</w:t>
      </w:r>
      <m:oMath>
        <m:sSub>
          <m:sSubPr>
            <m:ctrlPr>
              <w:rPr>
                <w:rFonts w:hint="eastAsia" w:ascii="Cambria Math" w:hAnsi="Cambria Math" w:eastAsia="宋体" w:cs="宋体"/>
                <w:color w:val="000000"/>
                <w:sz w:val="24"/>
                <w:szCs w:val="24"/>
                <w:lang w:val="en-US" w:eastAsia="zh-CN"/>
              </w:rPr>
            </m:ctrlPr>
          </m:sSubPr>
          <m:e>
            <m:r>
              <m:rPr>
                <m:sty m:val="p"/>
              </m:rPr>
              <w:rPr>
                <w:rFonts w:hint="eastAsia" w:ascii="Cambria Math" w:hAnsi="Cambria Math" w:eastAsia="宋体" w:cs="宋体"/>
                <w:color w:val="000000"/>
                <w:sz w:val="24"/>
                <w:szCs w:val="24"/>
                <w:lang w:val="en-US" w:eastAsia="zh-CN"/>
              </w:rPr>
              <m:t>π</m:t>
            </m:r>
            <m:ctrlPr>
              <w:rPr>
                <w:rFonts w:hint="eastAsia" w:ascii="Cambria Math" w:hAnsi="Cambria Math" w:eastAsia="宋体" w:cs="宋体"/>
                <w:color w:val="000000"/>
                <w:sz w:val="24"/>
                <w:szCs w:val="24"/>
                <w:lang w:val="en-US" w:eastAsia="zh-CN"/>
              </w:rPr>
            </m:ctrlPr>
          </m:e>
          <m:sub>
            <m:r>
              <m:rPr>
                <m:sty m:val="p"/>
              </m:rPr>
              <w:rPr>
                <w:rFonts w:hint="eastAsia" w:ascii="Cambria Math" w:hAnsi="Cambria Math" w:eastAsia="宋体" w:cs="宋体"/>
                <w:color w:val="000000"/>
                <w:sz w:val="24"/>
                <w:szCs w:val="24"/>
                <w:lang w:val="en-US" w:eastAsia="zh-CN"/>
              </w:rPr>
              <m:t>M</m:t>
            </m:r>
            <m:ctrlPr>
              <w:rPr>
                <w:rFonts w:hint="eastAsia" w:ascii="Cambria Math" w:hAnsi="Cambria Math" w:eastAsia="宋体" w:cs="宋体"/>
                <w:color w:val="000000"/>
                <w:sz w:val="24"/>
                <w:szCs w:val="24"/>
                <w:lang w:val="en-US" w:eastAsia="zh-CN"/>
              </w:rPr>
            </m:ctrlPr>
          </m:sub>
        </m:sSub>
      </m:oMath>
      <w:r>
        <w:rPr>
          <w:rFonts w:hint="eastAsia" w:ascii="宋体" w:hAnsi="宋体" w:eastAsia="宋体" w:cs="宋体"/>
          <w:color w:val="000000"/>
          <w:sz w:val="24"/>
          <w:szCs w:val="24"/>
          <w:lang w:val="en-US" w:eastAsia="zh-CN"/>
        </w:rPr>
        <w:t>分别为调频容量收益和调频里程收益；R、M分别为调频容量和调频里程；</w:t>
      </w:r>
      <m:oMath>
        <m:sSub>
          <m:sSubPr>
            <m:ctrlPr>
              <w:rPr>
                <w:rFonts w:hint="eastAsia" w:ascii="Cambria Math" w:hAnsi="Cambria Math" w:eastAsia="宋体" w:cs="宋体"/>
                <w:color w:val="000000"/>
                <w:sz w:val="24"/>
                <w:szCs w:val="24"/>
                <w:lang w:val="en-US" w:eastAsia="zh-CN"/>
              </w:rPr>
            </m:ctrlPr>
          </m:sSubPr>
          <m:e>
            <m:r>
              <m:rPr>
                <m:sty m:val="p"/>
              </m:rPr>
              <w:rPr>
                <w:rFonts w:hint="eastAsia" w:ascii="Cambria Math" w:hAnsi="Cambria Math" w:eastAsia="宋体" w:cs="宋体"/>
                <w:color w:val="000000"/>
                <w:sz w:val="24"/>
                <w:szCs w:val="24"/>
                <w:lang w:val="en-US" w:eastAsia="zh-CN"/>
              </w:rPr>
              <m:t>p</m:t>
            </m:r>
            <m:ctrlPr>
              <w:rPr>
                <w:rFonts w:hint="eastAsia" w:ascii="Cambria Math" w:hAnsi="Cambria Math" w:eastAsia="宋体" w:cs="宋体"/>
                <w:color w:val="000000"/>
                <w:sz w:val="24"/>
                <w:szCs w:val="24"/>
                <w:lang w:val="en-US" w:eastAsia="zh-CN"/>
              </w:rPr>
            </m:ctrlPr>
          </m:e>
          <m:sub>
            <m:r>
              <m:rPr>
                <m:sty m:val="p"/>
              </m:rPr>
              <w:rPr>
                <w:rFonts w:hint="eastAsia" w:ascii="Cambria Math" w:hAnsi="Cambria Math" w:eastAsia="宋体" w:cs="宋体"/>
                <w:color w:val="000000"/>
                <w:sz w:val="24"/>
                <w:szCs w:val="24"/>
                <w:lang w:val="en-US" w:eastAsia="zh-CN"/>
              </w:rPr>
              <m:t>r</m:t>
            </m:r>
            <m:ctrlPr>
              <w:rPr>
                <w:rFonts w:hint="eastAsia" w:ascii="Cambria Math" w:hAnsi="Cambria Math" w:eastAsia="宋体" w:cs="宋体"/>
                <w:color w:val="000000"/>
                <w:sz w:val="24"/>
                <w:szCs w:val="24"/>
                <w:lang w:val="en-US" w:eastAsia="zh-CN"/>
              </w:rPr>
            </m:ctrlPr>
          </m:sub>
        </m:sSub>
      </m:oMath>
      <w:r>
        <w:rPr>
          <w:rFonts w:hint="eastAsia" w:ascii="宋体" w:hAnsi="宋体" w:eastAsia="宋体" w:cs="宋体"/>
          <w:color w:val="000000"/>
          <w:sz w:val="24"/>
          <w:szCs w:val="24"/>
          <w:lang w:val="en-US" w:eastAsia="zh-CN"/>
        </w:rPr>
        <w:t>、</w:t>
      </w:r>
      <m:oMath>
        <m:sSub>
          <m:sSubPr>
            <m:ctrlPr>
              <w:rPr>
                <w:rFonts w:hint="eastAsia" w:ascii="Cambria Math" w:hAnsi="Cambria Math" w:eastAsia="宋体" w:cs="宋体"/>
                <w:color w:val="000000"/>
                <w:sz w:val="24"/>
                <w:szCs w:val="24"/>
                <w:lang w:val="en-US" w:eastAsia="zh-CN"/>
              </w:rPr>
            </m:ctrlPr>
          </m:sSubPr>
          <m:e>
            <m:r>
              <m:rPr>
                <m:sty m:val="p"/>
              </m:rPr>
              <w:rPr>
                <w:rFonts w:hint="eastAsia" w:ascii="Cambria Math" w:hAnsi="Cambria Math" w:eastAsia="宋体" w:cs="宋体"/>
                <w:color w:val="000000"/>
                <w:sz w:val="24"/>
                <w:szCs w:val="24"/>
                <w:lang w:val="en-US" w:eastAsia="zh-CN"/>
              </w:rPr>
              <m:t>p</m:t>
            </m:r>
            <m:ctrlPr>
              <w:rPr>
                <w:rFonts w:hint="eastAsia" w:ascii="Cambria Math" w:hAnsi="Cambria Math" w:eastAsia="宋体" w:cs="宋体"/>
                <w:color w:val="000000"/>
                <w:sz w:val="24"/>
                <w:szCs w:val="24"/>
                <w:lang w:val="en-US" w:eastAsia="zh-CN"/>
              </w:rPr>
            </m:ctrlPr>
          </m:e>
          <m:sub>
            <m:r>
              <m:rPr>
                <m:sty m:val="p"/>
              </m:rPr>
              <w:rPr>
                <w:rFonts w:hint="eastAsia" w:ascii="Cambria Math" w:hAnsi="Cambria Math" w:eastAsia="宋体" w:cs="宋体"/>
                <w:color w:val="000000"/>
                <w:sz w:val="24"/>
                <w:szCs w:val="24"/>
                <w:lang w:val="en-US" w:eastAsia="zh-CN"/>
              </w:rPr>
              <m:t>M</m:t>
            </m:r>
            <m:ctrlPr>
              <w:rPr>
                <w:rFonts w:hint="eastAsia" w:ascii="Cambria Math" w:hAnsi="Cambria Math" w:eastAsia="宋体" w:cs="宋体"/>
                <w:color w:val="000000"/>
                <w:sz w:val="24"/>
                <w:szCs w:val="24"/>
                <w:lang w:val="en-US" w:eastAsia="zh-CN"/>
              </w:rPr>
            </m:ctrlPr>
          </m:sub>
        </m:sSub>
      </m:oMath>
      <w:r>
        <w:rPr>
          <w:rFonts w:hint="eastAsia" w:ascii="宋体" w:hAnsi="宋体" w:eastAsia="宋体" w:cs="宋体"/>
          <w:color w:val="000000"/>
          <w:sz w:val="24"/>
          <w:szCs w:val="24"/>
          <w:lang w:val="en-US" w:eastAsia="zh-CN"/>
        </w:rPr>
        <w:t>分别为调频容量价格和调频里程价格。调频容量和调频里程是衡量发电商提供调频服务的能力优劣和质量好坏的两项重要指标。调频容量是指一段时间内发电机组需要为预留的调频资源的总量，其收益体现了发电商提供调频的机会；调频里程是指一段时间段内调频资源根据调频指令上调或下调出力的绝对值之和，其收益反映了发电商实际提供调频的量。在不同的电力市场中，调频性能对发电商的影响程度不一，但总体而言为调频性能指标越高，调频里程越大，发电商所获得的收益也越大，因此诸如储能之类具有快速响应能力的资源，可在调频市场中发挥其作用。</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2、能量-调频市场联合调度模式及其数学模型</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（1）能量-调频市场联合调度模式</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本节介绍采用能量市场与调频辅助服务市场联合调度的模式。其中，发电商需要向ISO上报调频容量价格、调频里程价格、能量价格（报价报量）。ISO根据系统所需调频容量、里程，负荷，以及所得到发电商报价数据，以系统报价成本最小为目标，计算得到能量市场出清电价、调频容量出清电价、调频里程出清电价，以及各发电商参加上述三种资源的容量。</w:t>
      </w:r>
    </w:p>
    <w:p>
      <w:pPr>
        <w:widowControl w:val="0"/>
        <w:numPr>
          <w:ilvl w:val="0"/>
          <w:numId w:val="0"/>
        </w:numPr>
        <w:tabs>
          <w:tab w:val="left" w:pos="785"/>
        </w:tabs>
        <w:adjustRightInd w:val="0"/>
        <w:snapToGrid w:val="0"/>
        <w:spacing w:line="360" w:lineRule="auto"/>
        <w:ind w:firstLine="420" w:firstLineChars="200"/>
        <w:jc w:val="center"/>
      </w:pPr>
      <w:r>
        <w:drawing>
          <wp:inline distT="0" distB="0" distL="114300" distR="114300">
            <wp:extent cx="2722245" cy="2264410"/>
            <wp:effectExtent l="0" t="0" r="190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722245" cy="2264410"/>
                    </a:xfrm>
                    <a:prstGeom prst="rect">
                      <a:avLst/>
                    </a:prstGeom>
                    <a:noFill/>
                    <a:ln>
                      <a:noFill/>
                    </a:ln>
                  </pic:spPr>
                </pic:pic>
              </a:graphicData>
            </a:graphic>
          </wp:inline>
        </w:drawing>
      </w:r>
    </w:p>
    <w:p>
      <w:pPr>
        <w:widowControl w:val="0"/>
        <w:numPr>
          <w:ilvl w:val="0"/>
          <w:numId w:val="0"/>
        </w:numPr>
        <w:tabs>
          <w:tab w:val="left" w:pos="785"/>
        </w:tabs>
        <w:adjustRightInd w:val="0"/>
        <w:snapToGrid w:val="0"/>
        <w:spacing w:line="360" w:lineRule="auto"/>
        <w:ind w:firstLine="480" w:firstLineChars="200"/>
        <w:jc w:val="center"/>
        <w:rPr>
          <w:rFonts w:hint="default" w:eastAsia="宋体"/>
          <w:sz w:val="24"/>
          <w:szCs w:val="24"/>
          <w:lang w:val="en-US" w:eastAsia="zh-CN"/>
        </w:rPr>
      </w:pPr>
      <w:r>
        <w:rPr>
          <w:rFonts w:hint="eastAsia"/>
          <w:sz w:val="24"/>
          <w:szCs w:val="24"/>
          <w:lang w:val="en-US" w:eastAsia="zh-CN"/>
        </w:rPr>
        <w:t>图4-1 能量市场与调频市场联合调度模式</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 xml:space="preserve">（2）数学模型 </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基于加州调频补偿机制的大背景，能量-调频市场联合调度模型以系统总报价成本最小为目标函数，如下</w:t>
      </w:r>
      <w:r>
        <w:rPr>
          <w:rFonts w:hint="eastAsia" w:ascii="宋体" w:hAnsi="宋体" w:cs="宋体"/>
          <w:i w:val="0"/>
          <w:sz w:val="24"/>
          <w:szCs w:val="24"/>
          <w:lang w:val="en-US" w:eastAsia="zh-CN"/>
        </w:rPr>
        <w:t>所示</w:t>
      </w:r>
      <w:r>
        <w:rPr>
          <w:rFonts w:hint="eastAsia" w:ascii="宋体" w:hAnsi="宋体" w:eastAsia="宋体" w:cs="宋体"/>
          <w:i w:val="0"/>
          <w:sz w:val="24"/>
          <w:szCs w:val="24"/>
          <w:lang w:val="en-US" w:eastAsia="zh-CN"/>
        </w:rPr>
        <w:t>：</w:t>
      </w:r>
    </w:p>
    <w:p>
      <w:pPr>
        <w:keepNext w:val="0"/>
        <w:keepLines w:val="0"/>
        <w:pageBreakBefore w:val="0"/>
        <w:widowControl w:val="0"/>
        <w:numPr>
          <w:ilvl w:val="0"/>
          <w:numId w:val="0"/>
        </w:numPr>
        <w:tabs>
          <w:tab w:val="center" w:pos="4200"/>
          <w:tab w:val="right" w:pos="8400"/>
        </w:tabs>
        <w:kinsoku/>
        <w:wordWrap/>
        <w:overflowPunct/>
        <w:topLinePunct w:val="0"/>
        <w:autoSpaceDE/>
        <w:autoSpaceDN/>
        <w:bidi w:val="0"/>
        <w:adjustRightInd w:val="0"/>
        <w:snapToGrid w:val="0"/>
        <w:spacing w:line="360" w:lineRule="auto"/>
        <w:jc w:val="center"/>
        <w:textAlignment w:val="auto"/>
        <w:rPr>
          <w:rFonts w:hint="default" w:hAnsi="Cambria Math"/>
          <w:i w:val="0"/>
          <w:sz w:val="24"/>
          <w:szCs w:val="24"/>
          <w:lang w:val="en-US" w:eastAsia="zh-CN"/>
        </w:rPr>
      </w:pPr>
      <w:r>
        <w:rPr>
          <w:rFonts w:hint="eastAsia" w:hAnsi="Cambria Math"/>
          <w:i w:val="0"/>
          <w:sz w:val="24"/>
          <w:szCs w:val="24"/>
          <w:lang w:val="en-US" w:eastAsia="zh-CN"/>
        </w:rPr>
        <w:tab/>
      </w:r>
      <w:r>
        <w:rPr>
          <w:rFonts w:hint="default" w:hAnsi="Cambria Math"/>
          <w:i w:val="0"/>
          <w:position w:val="-72"/>
          <w:sz w:val="24"/>
          <w:szCs w:val="24"/>
          <w:lang w:val="en-US" w:eastAsia="zh-CN"/>
        </w:rPr>
        <w:object>
          <v:shape id="_x0000_i1026" o:spt="75" type="#_x0000_t75" style="height:90.3pt;width:238.45pt;" o:ole="t" filled="f" o:preferrelative="t" stroked="f" coordsize="21600,21600">
            <v:path/>
            <v:fill on="f" focussize="0,0"/>
            <v:stroke on="f"/>
            <v:imagedata r:id="rId15" o:title=""/>
            <o:lock v:ext="edit" aspectratio="t"/>
            <w10:wrap type="none"/>
            <w10:anchorlock/>
          </v:shape>
          <o:OLEObject Type="Embed" ProgID="Equation.KSEE3" ShapeID="_x0000_i1026" DrawAspect="Content" ObjectID="_1468075726" r:id="rId14">
            <o:LockedField>false</o:LockedField>
          </o:OLEObject>
        </w:object>
      </w:r>
      <w:r>
        <w:rPr>
          <w:rFonts w:hint="eastAsia" w:hAnsi="Cambria Math"/>
          <w:i w:val="0"/>
          <w:sz w:val="24"/>
          <w:szCs w:val="24"/>
          <w:lang w:val="en-US" w:eastAsia="zh-CN"/>
        </w:rPr>
        <w:tab/>
      </w:r>
      <w:r>
        <w:rPr>
          <w:rFonts w:hint="eastAsia" w:hAnsi="Cambria Math"/>
          <w:i w:val="0"/>
          <w:sz w:val="24"/>
          <w:szCs w:val="24"/>
          <w:lang w:val="en-US" w:eastAsia="zh-CN"/>
        </w:rPr>
        <w:t>（4-5）</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式中第一、二项为在能量市场中，常规机组、储能的报价费用，第三项为调频市场中，调频容量服务的报价费用，第四项为调频里程服务的报价费用。</w:t>
      </w:r>
      <m:oMath>
        <m:r>
          <m:rPr>
            <m:sty m:val="p"/>
          </m:rPr>
          <w:rPr>
            <w:rFonts w:hint="eastAsia" w:ascii="Cambria Math" w:hAnsi="Cambria Math" w:eastAsia="宋体" w:cs="宋体"/>
            <w:sz w:val="24"/>
            <w:szCs w:val="24"/>
            <w:lang w:val="en-US" w:eastAsia="zh-CN"/>
          </w:rPr>
          <m:t>b</m:t>
        </m:r>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e</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w:t>
      </w:r>
      <m:oMath>
        <m:r>
          <m:rPr>
            <m:sty m:val="p"/>
          </m:rPr>
          <w:rPr>
            <w:rFonts w:hint="eastAsia" w:ascii="Cambria Math" w:hAnsi="Cambria Math" w:eastAsia="宋体" w:cs="宋体"/>
            <w:sz w:val="24"/>
            <w:szCs w:val="24"/>
            <w:lang w:val="en-US" w:eastAsia="zh-CN"/>
          </w:rPr>
          <m:t>b</m:t>
        </m:r>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d</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w:t>
      </w:r>
      <m:oMath>
        <m:r>
          <m:rPr>
            <m:sty m:val="p"/>
          </m:rPr>
          <w:rPr>
            <w:rFonts w:hint="eastAsia" w:ascii="Cambria Math" w:hAnsi="Cambria Math" w:eastAsia="宋体" w:cs="宋体"/>
            <w:sz w:val="24"/>
            <w:szCs w:val="24"/>
            <w:lang w:val="en-US" w:eastAsia="zh-CN"/>
          </w:rPr>
          <m:t>b</m:t>
        </m:r>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分别为能量市场中常规机组的报价，以及储能放电报价、充电报价；</w:t>
      </w:r>
      <m:oMath>
        <m:r>
          <m:rPr>
            <m:sty m:val="p"/>
          </m:rPr>
          <w:rPr>
            <w:rFonts w:hint="eastAsia" w:ascii="Cambria Math" w:hAnsi="Cambria Math" w:eastAsia="宋体" w:cs="宋体"/>
            <w:sz w:val="24"/>
            <w:szCs w:val="24"/>
            <w:lang w:val="en-US" w:eastAsia="zh-CN"/>
          </w:rPr>
          <m:t>b</m:t>
        </m:r>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r</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t,up</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w:t>
      </w:r>
      <m:oMath>
        <m:r>
          <m:rPr>
            <m:sty m:val="p"/>
          </m:rPr>
          <w:rPr>
            <w:rFonts w:hint="eastAsia" w:ascii="Cambria Math" w:hAnsi="Cambria Math" w:eastAsia="宋体" w:cs="宋体"/>
            <w:sz w:val="24"/>
            <w:szCs w:val="24"/>
            <w:lang w:val="en-US" w:eastAsia="zh-CN"/>
          </w:rPr>
          <m:t>b</m:t>
        </m:r>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r</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t,dn</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分别为调频市场上/下调频容量报价；</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M</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t,up</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M</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t,dn</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分别为调频市场上/下调频里程报价。</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g,i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为能量市场中，常规机组的发电量；</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bd,i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bc,i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分别为能量市场中，储能的充/放电量；</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R</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t,up</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R</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t,dn</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为调频市场中，机组上/下调频容量；</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M</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t,up</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w:t>
      </w:r>
      <m:oMath>
        <m:sSubSup>
          <m:sSubSupPr>
            <m:ctrlPr>
              <w:rPr>
                <w:rFonts w:hint="eastAsia" w:ascii="Cambria Math" w:hAnsi="Cambria Math" w:eastAsia="宋体" w:cs="宋体"/>
                <w:i w:val="0"/>
                <w:sz w:val="24"/>
                <w:szCs w:val="24"/>
                <w:lang w:val="en-US" w:eastAsia="zh-CN"/>
              </w:rPr>
            </m:ctrlPr>
          </m:sSubSupPr>
          <m:e>
            <m:r>
              <m:rPr>
                <m:sty m:val="p"/>
              </m:rPr>
              <w:rPr>
                <w:rFonts w:hint="eastAsia" w:ascii="Cambria Math" w:hAnsi="Cambria Math" w:eastAsia="宋体" w:cs="宋体"/>
                <w:sz w:val="24"/>
                <w:szCs w:val="24"/>
                <w:lang w:val="en-US" w:eastAsia="zh-CN"/>
              </w:rPr>
              <m:t>M</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up>
            <m:r>
              <m:rPr>
                <m:sty m:val="p"/>
              </m:rPr>
              <w:rPr>
                <w:rFonts w:hint="eastAsia" w:ascii="Cambria Math" w:hAnsi="Cambria Math" w:eastAsia="宋体" w:cs="宋体"/>
                <w:sz w:val="24"/>
                <w:szCs w:val="24"/>
                <w:lang w:val="en-US" w:eastAsia="zh-CN"/>
              </w:rPr>
              <m:t>t,dn</m:t>
            </m:r>
            <m:ctrlPr>
              <w:rPr>
                <w:rFonts w:hint="eastAsia" w:ascii="Cambria Math" w:hAnsi="Cambria Math" w:eastAsia="宋体" w:cs="宋体"/>
                <w:i w:val="0"/>
                <w:sz w:val="24"/>
                <w:szCs w:val="24"/>
                <w:lang w:val="en-US" w:eastAsia="zh-CN"/>
              </w:rPr>
            </m:ctrlPr>
          </m:sup>
        </m:sSubSup>
      </m:oMath>
      <w:r>
        <w:rPr>
          <w:rFonts w:hint="eastAsia" w:ascii="宋体" w:hAnsi="宋体" w:eastAsia="宋体" w:cs="宋体"/>
          <w:i w:val="0"/>
          <w:sz w:val="24"/>
          <w:szCs w:val="24"/>
          <w:lang w:val="en-US" w:eastAsia="zh-CN"/>
        </w:rPr>
        <w:t>为调频市场中，机组上下调频里程。</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 xml:space="preserve">（3）调度控制流程 </w:t>
      </w:r>
    </w:p>
    <w:p>
      <w:pPr>
        <w:widowControl w:val="0"/>
        <w:numPr>
          <w:ilvl w:val="0"/>
          <w:numId w:val="0"/>
        </w:numPr>
        <w:tabs>
          <w:tab w:val="left" w:pos="785"/>
        </w:tabs>
        <w:adjustRightInd w:val="0"/>
        <w:snapToGrid w:val="0"/>
        <w:spacing w:line="360" w:lineRule="auto"/>
        <w:ind w:firstLine="420" w:firstLineChars="200"/>
        <w:jc w:val="both"/>
      </w:pPr>
      <w:r>
        <w:drawing>
          <wp:inline distT="0" distB="0" distL="114300" distR="114300">
            <wp:extent cx="5465445" cy="3059430"/>
            <wp:effectExtent l="0" t="0" r="762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465445" cy="3059430"/>
                    </a:xfrm>
                    <a:prstGeom prst="rect">
                      <a:avLst/>
                    </a:prstGeom>
                    <a:noFill/>
                    <a:ln>
                      <a:noFill/>
                    </a:ln>
                  </pic:spPr>
                </pic:pic>
              </a:graphicData>
            </a:graphic>
          </wp:inline>
        </w:drawing>
      </w:r>
    </w:p>
    <w:p>
      <w:pPr>
        <w:widowControl w:val="0"/>
        <w:numPr>
          <w:ilvl w:val="0"/>
          <w:numId w:val="0"/>
        </w:numPr>
        <w:tabs>
          <w:tab w:val="left" w:pos="785"/>
        </w:tabs>
        <w:adjustRightInd w:val="0"/>
        <w:snapToGrid w:val="0"/>
        <w:spacing w:line="360" w:lineRule="auto"/>
        <w:ind w:firstLine="480" w:firstLineChars="200"/>
        <w:jc w:val="center"/>
        <w:rPr>
          <w:rFonts w:hint="default" w:eastAsia="宋体"/>
          <w:sz w:val="24"/>
          <w:szCs w:val="24"/>
          <w:lang w:val="en-US" w:eastAsia="zh-CN"/>
        </w:rPr>
      </w:pPr>
      <w:r>
        <w:rPr>
          <w:rFonts w:hint="eastAsia"/>
          <w:sz w:val="24"/>
          <w:szCs w:val="24"/>
          <w:lang w:val="en-US" w:eastAsia="zh-CN"/>
        </w:rPr>
        <w:t>图4-2 联合调度控制流程图</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由图</w:t>
      </w:r>
      <w:r>
        <w:rPr>
          <w:rFonts w:hint="eastAsia" w:ascii="宋体" w:hAnsi="宋体" w:cs="宋体"/>
          <w:i w:val="0"/>
          <w:sz w:val="24"/>
          <w:szCs w:val="24"/>
          <w:lang w:val="en-US" w:eastAsia="zh-CN"/>
        </w:rPr>
        <w:t>4-2</w:t>
      </w:r>
      <w:r>
        <w:rPr>
          <w:rFonts w:hint="eastAsia" w:ascii="宋体" w:hAnsi="宋体" w:eastAsia="宋体" w:cs="宋体"/>
          <w:i w:val="0"/>
          <w:sz w:val="24"/>
          <w:szCs w:val="24"/>
          <w:lang w:val="en-US" w:eastAsia="zh-CN"/>
        </w:rPr>
        <w:t>可知，在日前市场开市时，ISO向市场发布电力交易日的电量预测（能量市场交易标的，即电力交易日拟交易的电量）、电力交易日所需的调频容量资源（调频市场交易标的），检修计划以及输电断面的传输容量等市场信息。</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日前市场开市后，按照能量调频市场规则规定的申报电价和申报电量的形式，其申报价格以及申报电量应区分能量资源、调频资源。在能量市场申报系统中，发电商向ISO申报其在交易日的能量市场发电量、价格；在调频市场申报系统中，发电商向ISO申报其在交易日调频容量、调频里程报价，用户向ISO申报其在交易日不同时段的用电量。在规定的报价时间截止之前，发电商和用户可随意修改其报价以及申报容量。</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日前市场闭市后，ISO根据市场成员的报价报量信息与交易日电力系统的运行信息，对日前能量市场以及调频市场进行24时段（此处设定日前市场交易时间间隔为1h）统一联合出清计算。将出清结果提交实时市场，进行实时市场出清计算，实现能量、调频容量、调频里程交割。交易日后根据相应规则进行结算。</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4.1.3 考虑风储-火发电权交易的中长期电能量市场运营策略</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基于电力市场建设初期的国情，为确保市场的稳定安全，现行电力市场结构采用“计划电+市场电”模式。</w:t>
      </w:r>
      <w:r>
        <w:rPr>
          <w:rFonts w:hint="eastAsia" w:ascii="宋体" w:hAnsi="宋体" w:cs="宋体"/>
          <w:i w:val="0"/>
          <w:sz w:val="24"/>
          <w:szCs w:val="24"/>
          <w:lang w:val="en-US" w:eastAsia="zh-CN"/>
        </w:rPr>
        <w:t>风电</w:t>
      </w:r>
      <w:r>
        <w:rPr>
          <w:rFonts w:hint="eastAsia" w:ascii="宋体" w:hAnsi="宋体" w:eastAsia="宋体" w:cs="宋体"/>
          <w:i w:val="0"/>
          <w:sz w:val="24"/>
          <w:szCs w:val="24"/>
          <w:lang w:val="en-US" w:eastAsia="zh-CN"/>
        </w:rPr>
        <w:t>出力随机，造成市场不稳定性的问题，因此</w:t>
      </w:r>
      <w:r>
        <w:rPr>
          <w:rFonts w:hint="eastAsia" w:ascii="宋体" w:hAnsi="宋体" w:cs="宋体"/>
          <w:i w:val="0"/>
          <w:sz w:val="24"/>
          <w:szCs w:val="24"/>
          <w:lang w:val="en-US" w:eastAsia="zh-CN"/>
        </w:rPr>
        <w:t>主要</w:t>
      </w:r>
      <w:r>
        <w:rPr>
          <w:rFonts w:hint="eastAsia" w:ascii="宋体" w:hAnsi="宋体" w:eastAsia="宋体" w:cs="宋体"/>
          <w:i w:val="0"/>
          <w:sz w:val="24"/>
          <w:szCs w:val="24"/>
          <w:lang w:val="en-US" w:eastAsia="zh-CN"/>
        </w:rPr>
        <w:t>以计划电形式参与市场</w:t>
      </w:r>
      <w:r>
        <w:rPr>
          <w:rFonts w:hint="eastAsia" w:ascii="宋体" w:hAnsi="宋体" w:cs="宋体"/>
          <w:i w:val="0"/>
          <w:sz w:val="24"/>
          <w:szCs w:val="24"/>
          <w:lang w:val="en-US" w:eastAsia="zh-CN"/>
        </w:rPr>
        <w:t>，可以作为华电集团新能源的代表案例开展机制应对研究</w:t>
      </w:r>
      <w:r>
        <w:rPr>
          <w:rFonts w:hint="eastAsia" w:ascii="宋体" w:hAnsi="宋体" w:eastAsia="宋体" w:cs="宋体"/>
          <w:i w:val="0"/>
          <w:sz w:val="24"/>
          <w:szCs w:val="24"/>
          <w:lang w:val="en-US" w:eastAsia="zh-CN"/>
        </w:rPr>
        <w:t>。随着电力市场的改革深化，如何实现计划电与市场电的有限衔接是目前需要迫切考虑，对此</w:t>
      </w:r>
      <w:r>
        <w:rPr>
          <w:rFonts w:hint="eastAsia" w:ascii="宋体" w:hAnsi="宋体" w:cs="宋体"/>
          <w:i w:val="0"/>
          <w:sz w:val="24"/>
          <w:szCs w:val="24"/>
          <w:lang w:val="en-US" w:eastAsia="zh-CN"/>
        </w:rPr>
        <w:t>亟需</w:t>
      </w:r>
      <w:r>
        <w:rPr>
          <w:rFonts w:hint="eastAsia" w:ascii="宋体" w:hAnsi="宋体" w:eastAsia="宋体" w:cs="宋体"/>
          <w:i w:val="0"/>
          <w:sz w:val="24"/>
          <w:szCs w:val="24"/>
          <w:lang w:val="en-US" w:eastAsia="zh-CN"/>
        </w:rPr>
        <w:t>适应于风储的中长期电能量市场运行策略设计，以此种运行策略作为风电市场化初探路径</w:t>
      </w:r>
      <w:r>
        <w:rPr>
          <w:rFonts w:hint="eastAsia" w:ascii="宋体" w:hAnsi="宋体" w:cs="宋体"/>
          <w:i w:val="0"/>
          <w:sz w:val="24"/>
          <w:szCs w:val="24"/>
          <w:lang w:val="en-US" w:eastAsia="zh-CN"/>
        </w:rPr>
        <w:t>。图4-3描述了</w:t>
      </w:r>
      <w:r>
        <w:rPr>
          <w:rFonts w:hint="eastAsia" w:ascii="宋体" w:hAnsi="宋体" w:eastAsia="宋体" w:cs="宋体"/>
          <w:i w:val="0"/>
          <w:sz w:val="24"/>
          <w:szCs w:val="24"/>
          <w:lang w:val="en-US" w:eastAsia="zh-CN"/>
        </w:rPr>
        <w:t>运行策略流程：</w:t>
      </w:r>
    </w:p>
    <w:p>
      <w:pPr>
        <w:jc w:val="center"/>
      </w:pPr>
      <w:r>
        <w:drawing>
          <wp:inline distT="0" distB="0" distL="114300" distR="114300">
            <wp:extent cx="5149215" cy="5748020"/>
            <wp:effectExtent l="0" t="0" r="1905" b="5715"/>
            <wp:docPr id="1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8"/>
                    <pic:cNvPicPr>
                      <a:picLocks noChangeAspect="1"/>
                    </pic:cNvPicPr>
                  </pic:nvPicPr>
                  <pic:blipFill>
                    <a:blip r:embed="rId17"/>
                    <a:stretch>
                      <a:fillRect/>
                    </a:stretch>
                  </pic:blipFill>
                  <pic:spPr>
                    <a:xfrm>
                      <a:off x="0" y="0"/>
                      <a:ext cx="5149215" cy="5748020"/>
                    </a:xfrm>
                    <a:prstGeom prst="rect">
                      <a:avLst/>
                    </a:prstGeom>
                    <a:noFill/>
                    <a:ln>
                      <a:noFill/>
                    </a:ln>
                  </pic:spPr>
                </pic:pic>
              </a:graphicData>
            </a:graphic>
          </wp:inline>
        </w:drawing>
      </w:r>
    </w:p>
    <w:p>
      <w:pPr>
        <w:widowControl w:val="0"/>
        <w:numPr>
          <w:ilvl w:val="0"/>
          <w:numId w:val="0"/>
        </w:numPr>
        <w:tabs>
          <w:tab w:val="left" w:pos="785"/>
        </w:tabs>
        <w:adjustRightInd w:val="0"/>
        <w:snapToGrid w:val="0"/>
        <w:spacing w:line="360" w:lineRule="auto"/>
        <w:ind w:firstLine="480" w:firstLineChars="200"/>
        <w:jc w:val="center"/>
        <w:rPr>
          <w:rFonts w:hint="default"/>
          <w:sz w:val="24"/>
          <w:szCs w:val="24"/>
          <w:lang w:val="en-US" w:eastAsia="zh-CN"/>
        </w:rPr>
      </w:pPr>
      <w:r>
        <w:rPr>
          <w:rFonts w:hint="eastAsia"/>
          <w:sz w:val="24"/>
          <w:szCs w:val="24"/>
          <w:lang w:val="en-US" w:eastAsia="zh-CN"/>
        </w:rPr>
        <w:t>图4-3 运行策略流程图</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由上图，具体步骤如下：</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default" w:ascii="宋体" w:hAnsi="宋体" w:eastAsia="宋体" w:cs="宋体"/>
          <w:i w:val="0"/>
          <w:sz w:val="24"/>
          <w:szCs w:val="24"/>
          <w:lang w:val="en-US" w:eastAsia="zh-CN"/>
        </w:rPr>
        <w:t>步骤</w:t>
      </w:r>
      <w:r>
        <w:rPr>
          <w:rFonts w:hint="eastAsia" w:ascii="宋体" w:hAnsi="宋体" w:cs="宋体"/>
          <w:i w:val="0"/>
          <w:sz w:val="24"/>
          <w:szCs w:val="24"/>
          <w:lang w:val="en-US" w:eastAsia="zh-CN"/>
        </w:rPr>
        <w:t>1</w:t>
      </w:r>
      <w:r>
        <w:rPr>
          <w:rFonts w:hint="default" w:ascii="宋体" w:hAnsi="宋体" w:eastAsia="宋体" w:cs="宋体"/>
          <w:i w:val="0"/>
          <w:sz w:val="24"/>
          <w:szCs w:val="24"/>
          <w:lang w:val="en-US" w:eastAsia="zh-CN"/>
        </w:rPr>
        <w:t>：火电厂与大用户通过中长期电能量市场分别上报其容量及价格，交易中心以社会福利最大化为目标撮合竞价，确定火电商的中长期合约交易的直购电电量，并公布中标结果</w:t>
      </w:r>
      <w:r>
        <w:rPr>
          <w:rFonts w:hint="eastAsia" w:ascii="宋体" w:hAnsi="宋体" w:eastAsia="宋体" w:cs="宋体"/>
          <w:i w:val="0"/>
          <w:sz w:val="24"/>
          <w:szCs w:val="24"/>
          <w:lang w:val="en-US" w:eastAsia="zh-CN"/>
        </w:rPr>
        <w:t>。</w:t>
      </w:r>
    </w:p>
    <w:p>
      <w:pPr>
        <w:widowControl w:val="0"/>
        <w:numPr>
          <w:ilvl w:val="0"/>
          <w:numId w:val="0"/>
        </w:numPr>
        <w:tabs>
          <w:tab w:val="left" w:pos="785"/>
        </w:tabs>
        <w:adjustRightInd w:val="0"/>
        <w:snapToGrid w:val="0"/>
        <w:spacing w:line="360" w:lineRule="auto"/>
        <w:ind w:firstLine="480" w:firstLineChars="200"/>
        <w:jc w:val="both"/>
        <w:rPr>
          <w:rFonts w:hint="default" w:ascii="宋体" w:hAnsi="宋体" w:eastAsia="宋体" w:cs="宋体"/>
          <w:i w:val="0"/>
          <w:sz w:val="24"/>
          <w:szCs w:val="24"/>
          <w:lang w:val="en-US" w:eastAsia="zh-CN"/>
        </w:rPr>
      </w:pPr>
      <w:r>
        <w:rPr>
          <w:rFonts w:hint="default" w:ascii="宋体" w:hAnsi="宋体" w:eastAsia="宋体" w:cs="宋体"/>
          <w:i w:val="0"/>
          <w:sz w:val="24"/>
          <w:szCs w:val="24"/>
          <w:lang w:val="en-US" w:eastAsia="zh-CN"/>
        </w:rPr>
        <w:t>步骤</w:t>
      </w:r>
      <w:r>
        <w:rPr>
          <w:rFonts w:hint="eastAsia" w:ascii="宋体" w:hAnsi="宋体" w:cs="宋体"/>
          <w:i w:val="0"/>
          <w:sz w:val="24"/>
          <w:szCs w:val="24"/>
          <w:lang w:val="en-US" w:eastAsia="zh-CN"/>
        </w:rPr>
        <w:t>2</w:t>
      </w:r>
      <w:r>
        <w:rPr>
          <w:rFonts w:hint="default" w:ascii="宋体" w:hAnsi="宋体" w:eastAsia="宋体" w:cs="宋体"/>
          <w:i w:val="0"/>
          <w:sz w:val="24"/>
          <w:szCs w:val="24"/>
          <w:lang w:val="en-US" w:eastAsia="zh-CN"/>
        </w:rPr>
        <w:t>：火电厂与风电场双边协商，将其发电权益部分或全部转让给风电场</w:t>
      </w:r>
      <w:r>
        <w:rPr>
          <w:rFonts w:hint="eastAsia" w:ascii="宋体" w:hAnsi="宋体" w:eastAsia="宋体" w:cs="宋体"/>
          <w:i w:val="0"/>
          <w:sz w:val="24"/>
          <w:szCs w:val="24"/>
          <w:lang w:val="en-US" w:eastAsia="zh-CN"/>
        </w:rPr>
        <w:t>，</w:t>
      </w:r>
      <w:r>
        <w:rPr>
          <w:rFonts w:hint="default" w:ascii="宋体" w:hAnsi="宋体" w:eastAsia="宋体" w:cs="宋体"/>
          <w:i w:val="0"/>
          <w:sz w:val="24"/>
          <w:szCs w:val="24"/>
          <w:lang w:val="en-US" w:eastAsia="zh-CN"/>
        </w:rPr>
        <w:t>从而确定火电机组、风电机组的直购电份额。</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default" w:ascii="宋体" w:hAnsi="宋体" w:eastAsia="宋体" w:cs="宋体"/>
          <w:i w:val="0"/>
          <w:sz w:val="24"/>
          <w:szCs w:val="24"/>
          <w:lang w:val="en-US" w:eastAsia="zh-CN"/>
        </w:rPr>
        <w:t>步骤</w:t>
      </w:r>
      <w:r>
        <w:rPr>
          <w:rFonts w:hint="eastAsia" w:ascii="宋体" w:hAnsi="宋体" w:cs="宋体"/>
          <w:i w:val="0"/>
          <w:sz w:val="24"/>
          <w:szCs w:val="24"/>
          <w:lang w:val="en-US" w:eastAsia="zh-CN"/>
        </w:rPr>
        <w:t>3</w:t>
      </w:r>
      <w:r>
        <w:rPr>
          <w:rFonts w:hint="default" w:ascii="宋体" w:hAnsi="宋体" w:eastAsia="宋体" w:cs="宋体"/>
          <w:i w:val="0"/>
          <w:sz w:val="24"/>
          <w:szCs w:val="24"/>
          <w:lang w:val="en-US" w:eastAsia="zh-CN"/>
        </w:rPr>
        <w:t>：将直购电份额按照曲线分解形式分解至小时</w:t>
      </w:r>
      <w:r>
        <w:rPr>
          <w:rFonts w:hint="eastAsia" w:ascii="宋体" w:hAnsi="宋体" w:eastAsia="宋体" w:cs="宋体"/>
          <w:i w:val="0"/>
          <w:sz w:val="24"/>
          <w:szCs w:val="24"/>
          <w:lang w:val="en-US" w:eastAsia="zh-CN"/>
        </w:rPr>
        <w:t>。</w:t>
      </w:r>
    </w:p>
    <w:p>
      <w:pPr>
        <w:widowControl w:val="0"/>
        <w:numPr>
          <w:ilvl w:val="0"/>
          <w:numId w:val="0"/>
        </w:numPr>
        <w:tabs>
          <w:tab w:val="left" w:pos="785"/>
        </w:tabs>
        <w:adjustRightInd w:val="0"/>
        <w:snapToGrid w:val="0"/>
        <w:spacing w:line="360" w:lineRule="auto"/>
        <w:ind w:firstLine="480" w:firstLineChars="200"/>
        <w:jc w:val="both"/>
        <w:rPr>
          <w:rFonts w:hint="default" w:ascii="宋体" w:hAnsi="宋体" w:eastAsia="宋体" w:cs="宋体"/>
          <w:i w:val="0"/>
          <w:sz w:val="24"/>
          <w:szCs w:val="24"/>
          <w:lang w:val="en-US" w:eastAsia="zh-CN"/>
        </w:rPr>
      </w:pPr>
      <w:r>
        <w:rPr>
          <w:rFonts w:hint="default" w:ascii="宋体" w:hAnsi="宋体" w:eastAsia="宋体" w:cs="宋体"/>
          <w:i w:val="0"/>
          <w:sz w:val="24"/>
          <w:szCs w:val="24"/>
          <w:lang w:val="en-US" w:eastAsia="zh-CN"/>
        </w:rPr>
        <w:t>步骤</w:t>
      </w:r>
      <w:r>
        <w:rPr>
          <w:rFonts w:hint="eastAsia" w:ascii="宋体" w:hAnsi="宋体" w:cs="宋体"/>
          <w:i w:val="0"/>
          <w:sz w:val="24"/>
          <w:szCs w:val="24"/>
          <w:lang w:val="en-US" w:eastAsia="zh-CN"/>
        </w:rPr>
        <w:t>4</w:t>
      </w:r>
      <w:r>
        <w:rPr>
          <w:rFonts w:hint="default" w:ascii="宋体" w:hAnsi="宋体" w:eastAsia="宋体" w:cs="宋体"/>
          <w:i w:val="0"/>
          <w:sz w:val="24"/>
          <w:szCs w:val="24"/>
          <w:lang w:val="en-US" w:eastAsia="zh-CN"/>
        </w:rPr>
        <w:t>：引入中长期、日、时直购电合同约束以及机组直购电合同出力约束构建生产模拟模型，以系统总运营成本最小为目标，确定中长期各机组投运计划及投运机组出力计划</w:t>
      </w:r>
      <w:r>
        <w:rPr>
          <w:rFonts w:hint="eastAsia" w:ascii="宋体" w:hAnsi="宋体" w:eastAsia="宋体" w:cs="宋体"/>
          <w:i w:val="0"/>
          <w:sz w:val="24"/>
          <w:szCs w:val="24"/>
          <w:lang w:val="en-US" w:eastAsia="zh-CN"/>
        </w:rPr>
        <w:t>。</w:t>
      </w:r>
    </w:p>
    <w:p>
      <w:pPr>
        <w:widowControl w:val="0"/>
        <w:numPr>
          <w:ilvl w:val="0"/>
          <w:numId w:val="0"/>
        </w:numPr>
        <w:tabs>
          <w:tab w:val="left" w:pos="785"/>
        </w:tabs>
        <w:adjustRightInd w:val="0"/>
        <w:snapToGrid w:val="0"/>
        <w:spacing w:line="360" w:lineRule="auto"/>
        <w:ind w:firstLine="480" w:firstLineChars="200"/>
        <w:jc w:val="both"/>
        <w:rPr>
          <w:rFonts w:hint="default" w:ascii="宋体" w:hAnsi="宋体" w:eastAsia="宋体" w:cs="宋体"/>
          <w:i w:val="0"/>
          <w:sz w:val="24"/>
          <w:szCs w:val="24"/>
          <w:lang w:val="en-US" w:eastAsia="zh-CN"/>
        </w:rPr>
      </w:pPr>
      <w:r>
        <w:rPr>
          <w:rFonts w:hint="default" w:ascii="宋体" w:hAnsi="宋体" w:eastAsia="宋体" w:cs="宋体"/>
          <w:i w:val="0"/>
          <w:sz w:val="24"/>
          <w:szCs w:val="24"/>
          <w:lang w:val="en-US" w:eastAsia="zh-CN"/>
        </w:rPr>
        <w:t>步骤</w:t>
      </w:r>
      <w:r>
        <w:rPr>
          <w:rFonts w:hint="eastAsia" w:ascii="宋体" w:hAnsi="宋体" w:cs="宋体"/>
          <w:i w:val="0"/>
          <w:sz w:val="24"/>
          <w:szCs w:val="24"/>
          <w:lang w:val="en-US" w:eastAsia="zh-CN"/>
        </w:rPr>
        <w:t>5</w:t>
      </w:r>
      <w:r>
        <w:rPr>
          <w:rFonts w:hint="default" w:ascii="宋体" w:hAnsi="宋体" w:eastAsia="宋体" w:cs="宋体"/>
          <w:i w:val="0"/>
          <w:sz w:val="24"/>
          <w:szCs w:val="24"/>
          <w:lang w:val="en-US" w:eastAsia="zh-CN"/>
        </w:rPr>
        <w:t>：根据生产模拟结果，分析相应指标，探究并确定风-火合同电量交易最优比例。</w:t>
      </w:r>
    </w:p>
    <w:p>
      <w:pPr>
        <w:ind w:firstLine="420"/>
        <w:jc w:val="left"/>
        <w:rPr>
          <w:rFonts w:hint="default" w:ascii="宋体" w:hAnsi="宋体"/>
          <w:sz w:val="24"/>
          <w:szCs w:val="24"/>
          <w:lang w:val="en-US" w:eastAsia="zh-CN"/>
        </w:rPr>
      </w:pPr>
    </w:p>
    <w:p>
      <w:pPr>
        <w:pStyle w:val="3"/>
        <w:bidi w:val="0"/>
        <w:ind w:firstLine="420" w:firstLineChars="0"/>
        <w:rPr>
          <w:rFonts w:hint="eastAsia" w:ascii="黑体" w:hAnsi="黑体" w:eastAsia="黑体" w:cs="黑体"/>
          <w:sz w:val="28"/>
          <w:szCs w:val="28"/>
          <w:lang w:val="en-US" w:eastAsia="zh-CN"/>
        </w:rPr>
      </w:pPr>
      <w:bookmarkStart w:id="26" w:name="_Toc12844"/>
      <w:r>
        <w:rPr>
          <w:rFonts w:hint="eastAsia" w:ascii="黑体" w:hAnsi="黑体" w:eastAsia="黑体" w:cs="黑体"/>
          <w:sz w:val="28"/>
          <w:szCs w:val="28"/>
          <w:lang w:val="en-US" w:eastAsia="zh-CN"/>
        </w:rPr>
        <w:t>4.2 电力远期合同-现货市场联合运营机制</w:t>
      </w:r>
      <w:bookmarkEnd w:id="26"/>
    </w:p>
    <w:p>
      <w:pPr>
        <w:adjustRightInd w:val="0"/>
        <w:snapToGrid w:val="0"/>
        <w:spacing w:line="360" w:lineRule="auto"/>
        <w:ind w:firstLine="480" w:firstLineChars="200"/>
        <w:rPr>
          <w:rFonts w:ascii="宋体" w:hAnsi="宋体" w:cs="宋体"/>
          <w:color w:val="000000"/>
          <w:sz w:val="24"/>
          <w:szCs w:val="24"/>
        </w:rPr>
      </w:pPr>
      <w:r>
        <w:rPr>
          <w:rFonts w:hint="eastAsia" w:ascii="宋体" w:hAnsi="宋体" w:cs="宋体"/>
          <w:color w:val="000000"/>
          <w:sz w:val="24"/>
          <w:szCs w:val="24"/>
        </w:rPr>
        <w:t>我国中长期电力市场将逐步转化为金融合约市场，此时“计划电”能源转化为“市场电”已基本完成。在此市场阶段下，如何设计适合</w:t>
      </w:r>
      <w:r>
        <w:rPr>
          <w:rFonts w:hint="eastAsia" w:ascii="宋体" w:hAnsi="宋体" w:cs="宋体"/>
          <w:color w:val="000000"/>
          <w:sz w:val="24"/>
          <w:szCs w:val="24"/>
          <w:lang w:val="en-US" w:eastAsia="zh-CN"/>
        </w:rPr>
        <w:t>新能源发电</w:t>
      </w:r>
      <w:r>
        <w:rPr>
          <w:rFonts w:hint="eastAsia" w:ascii="宋体" w:hAnsi="宋体" w:cs="宋体"/>
          <w:color w:val="000000"/>
          <w:sz w:val="24"/>
          <w:szCs w:val="24"/>
        </w:rPr>
        <w:t>的金融产品，以及如何有效指导</w:t>
      </w:r>
      <w:r>
        <w:rPr>
          <w:rFonts w:hint="eastAsia" w:ascii="宋体" w:hAnsi="宋体" w:cs="宋体"/>
          <w:color w:val="000000"/>
          <w:sz w:val="24"/>
          <w:szCs w:val="24"/>
          <w:lang w:val="en-US" w:eastAsia="zh-CN"/>
        </w:rPr>
        <w:t>发电</w:t>
      </w:r>
      <w:r>
        <w:rPr>
          <w:rFonts w:hint="eastAsia" w:ascii="宋体" w:hAnsi="宋体" w:cs="宋体"/>
          <w:color w:val="000000"/>
          <w:sz w:val="24"/>
          <w:szCs w:val="24"/>
        </w:rPr>
        <w:t>企业在多市场的投标策略，从全市场角度增加</w:t>
      </w:r>
      <w:r>
        <w:rPr>
          <w:rFonts w:hint="eastAsia" w:ascii="宋体" w:hAnsi="宋体" w:cs="宋体"/>
          <w:color w:val="000000"/>
          <w:sz w:val="24"/>
          <w:szCs w:val="24"/>
          <w:lang w:val="en-US" w:eastAsia="zh-CN"/>
        </w:rPr>
        <w:t>新能源</w:t>
      </w:r>
      <w:r>
        <w:rPr>
          <w:rFonts w:hint="eastAsia" w:ascii="宋体" w:hAnsi="宋体" w:cs="宋体"/>
          <w:color w:val="000000"/>
          <w:sz w:val="24"/>
          <w:szCs w:val="24"/>
        </w:rPr>
        <w:t>市场化活力，成为电力市场改革推进的重点难点。对此，有必要研究金融合约市场建设初期考虑以电力远期合同为主要交易模式，设计</w:t>
      </w:r>
      <w:r>
        <w:rPr>
          <w:rFonts w:hint="eastAsia" w:ascii="宋体" w:hAnsi="宋体" w:cs="宋体"/>
          <w:color w:val="000000"/>
          <w:sz w:val="24"/>
          <w:szCs w:val="24"/>
          <w:lang w:val="en-US" w:eastAsia="zh-CN"/>
        </w:rPr>
        <w:t>新能源</w:t>
      </w:r>
      <w:r>
        <w:rPr>
          <w:rFonts w:hint="eastAsia" w:ascii="宋体" w:hAnsi="宋体" w:cs="宋体"/>
          <w:color w:val="000000"/>
          <w:sz w:val="24"/>
          <w:szCs w:val="24"/>
        </w:rPr>
        <w:t>参与电力远期合同</w:t>
      </w:r>
      <w:r>
        <w:rPr>
          <w:rFonts w:ascii="宋体" w:hAnsi="宋体" w:cs="宋体"/>
          <w:color w:val="000000"/>
          <w:sz w:val="24"/>
          <w:szCs w:val="24"/>
        </w:rPr>
        <w:t>-</w:t>
      </w:r>
      <w:r>
        <w:rPr>
          <w:rFonts w:hint="eastAsia" w:ascii="宋体" w:hAnsi="宋体" w:cs="宋体"/>
          <w:color w:val="000000"/>
          <w:sz w:val="24"/>
          <w:szCs w:val="24"/>
        </w:rPr>
        <w:t>现货市场运营策略，以及一套金融合约市场</w:t>
      </w:r>
      <w:r>
        <w:rPr>
          <w:rFonts w:ascii="宋体" w:hAnsi="宋体" w:cs="宋体"/>
          <w:color w:val="000000"/>
          <w:sz w:val="24"/>
          <w:szCs w:val="24"/>
        </w:rPr>
        <w:t>-</w:t>
      </w:r>
      <w:r>
        <w:rPr>
          <w:rFonts w:hint="eastAsia" w:ascii="宋体" w:hAnsi="宋体" w:cs="宋体"/>
          <w:color w:val="000000"/>
          <w:sz w:val="24"/>
          <w:szCs w:val="24"/>
        </w:rPr>
        <w:t>现货市场投标策略的市场运营交易评估体系，并研究构建联合运营效益评估指标，定量评估各市场主体对</w:t>
      </w:r>
      <w:r>
        <w:rPr>
          <w:rFonts w:hint="eastAsia" w:ascii="宋体" w:hAnsi="宋体" w:cs="宋体"/>
          <w:color w:val="000000"/>
          <w:sz w:val="24"/>
          <w:szCs w:val="24"/>
          <w:lang w:val="en-US" w:eastAsia="zh-CN"/>
        </w:rPr>
        <w:t>新能源</w:t>
      </w:r>
      <w:r>
        <w:rPr>
          <w:rFonts w:hint="eastAsia" w:ascii="宋体" w:hAnsi="宋体" w:cs="宋体"/>
          <w:color w:val="000000"/>
          <w:sz w:val="24"/>
          <w:szCs w:val="24"/>
        </w:rPr>
        <w:t>金融合约的接纳程度以及对风电市场化的激励程度。在此基础上，提出基于电力远期</w:t>
      </w:r>
      <w:r>
        <w:rPr>
          <w:rFonts w:ascii="宋体" w:hAnsi="宋体" w:cs="宋体"/>
          <w:color w:val="000000"/>
          <w:sz w:val="24"/>
          <w:szCs w:val="24"/>
        </w:rPr>
        <w:t>-</w:t>
      </w:r>
      <w:r>
        <w:rPr>
          <w:rFonts w:hint="eastAsia" w:ascii="宋体" w:hAnsi="宋体" w:cs="宋体"/>
          <w:color w:val="000000"/>
          <w:sz w:val="24"/>
          <w:szCs w:val="24"/>
        </w:rPr>
        <w:t>现货市场联合运营生产模拟的效益指标计算模型。具体技术路线如下：</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4.2.1电力远期合同-现货市场运营策略研究</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在高比例风电参与市场背景下，基于稳定市场运营的需求下，如何设计适合金融合约市场的风电交易方式，指导</w:t>
      </w:r>
      <w:r>
        <w:rPr>
          <w:rFonts w:hint="eastAsia" w:ascii="宋体" w:hAnsi="宋体" w:cs="宋体"/>
          <w:i w:val="0"/>
          <w:sz w:val="24"/>
          <w:szCs w:val="24"/>
          <w:lang w:val="en-US" w:eastAsia="zh-CN"/>
        </w:rPr>
        <w:t>新能源发电</w:t>
      </w:r>
      <w:r>
        <w:rPr>
          <w:rFonts w:hint="eastAsia" w:ascii="宋体" w:hAnsi="宋体" w:eastAsia="宋体" w:cs="宋体"/>
          <w:i w:val="0"/>
          <w:sz w:val="24"/>
          <w:szCs w:val="24"/>
          <w:lang w:val="en-US" w:eastAsia="zh-CN"/>
        </w:rPr>
        <w:t>企业在多市场中的投资决策，并正确引导风电企业生存与发展，是电力市场改革需要迫切解决的问题。为此设计风电参与电力远期合同-现货市场运营策略，如图</w:t>
      </w:r>
      <w:r>
        <w:rPr>
          <w:rFonts w:hint="eastAsia" w:ascii="宋体" w:hAnsi="宋体" w:cs="宋体"/>
          <w:i w:val="0"/>
          <w:sz w:val="24"/>
          <w:szCs w:val="24"/>
          <w:lang w:val="en-US" w:eastAsia="zh-CN"/>
        </w:rPr>
        <w:t>4</w:t>
      </w:r>
      <w:r>
        <w:rPr>
          <w:rFonts w:hint="eastAsia" w:ascii="宋体" w:hAnsi="宋体" w:eastAsia="宋体" w:cs="宋体"/>
          <w:i w:val="0"/>
          <w:sz w:val="24"/>
          <w:szCs w:val="24"/>
          <w:lang w:val="en-US" w:eastAsia="zh-CN"/>
        </w:rPr>
        <w:t>-4 所示，其思路如下：根据远期合约，电力远期合同-现货市场联合运营生产模型所得输入数据</w:t>
      </w:r>
      <w:r>
        <w:rPr>
          <w:rFonts w:hint="eastAsia" w:ascii="宋体" w:hAnsi="宋体" w:cs="宋体"/>
          <w:i w:val="0"/>
          <w:sz w:val="24"/>
          <w:szCs w:val="24"/>
          <w:lang w:val="en-US" w:eastAsia="zh-CN"/>
        </w:rPr>
        <w:t>（</w:t>
      </w:r>
      <w:r>
        <w:rPr>
          <w:rFonts w:hint="eastAsia" w:ascii="宋体" w:hAnsi="宋体" w:eastAsia="宋体" w:cs="宋体"/>
          <w:i w:val="0"/>
          <w:sz w:val="24"/>
          <w:szCs w:val="24"/>
          <w:lang w:val="en-US" w:eastAsia="zh-CN"/>
        </w:rPr>
        <w:t>风电商中标电量、节点电价、金融合约电量</w:t>
      </w:r>
      <w:r>
        <w:rPr>
          <w:rFonts w:hint="eastAsia" w:ascii="宋体" w:hAnsi="宋体" w:cs="宋体"/>
          <w:i w:val="0"/>
          <w:sz w:val="24"/>
          <w:szCs w:val="24"/>
          <w:lang w:val="en-US" w:eastAsia="zh-CN"/>
        </w:rPr>
        <w:t>）</w:t>
      </w:r>
      <w:r>
        <w:rPr>
          <w:rFonts w:hint="eastAsia" w:ascii="宋体" w:hAnsi="宋体" w:eastAsia="宋体" w:cs="宋体"/>
          <w:i w:val="0"/>
          <w:sz w:val="24"/>
          <w:szCs w:val="24"/>
          <w:lang w:val="en-US" w:eastAsia="zh-CN"/>
        </w:rPr>
        <w:t>；根据输入数据计算出反映各方主体的市场运营指标，再采用基于信息熵权理论的方法计算反映各方主体效益均衡的综合指标，进而通过分析不同金融合同比例下的综合运营指标；输出引导风电商在中长期金融合约市场与现货市场的电量分配比例。由此可知，本节所提出的电力市场运营分析体系，以及建立的运营分析指标兼顾发电侧、电网侧、用户侧，从全市场效益角度激励风电市场化交易，指导风电商在金融合约市场-现货市场的投标运营策略，以促进风电企业的可持续性发展。</w:t>
      </w:r>
    </w:p>
    <w:p>
      <w:pPr>
        <w:keepNext/>
        <w:widowControl/>
        <w:jc w:val="left"/>
      </w:pPr>
      <w:r>
        <w:rPr>
          <w:rFonts w:hint="eastAsia"/>
          <w:lang w:val="en-US" w:eastAsia="zh-CN"/>
        </w:rPr>
        <w:t xml:space="preserve">  </w:t>
      </w:r>
      <w:r>
        <w:drawing>
          <wp:inline distT="0" distB="0" distL="0" distR="0">
            <wp:extent cx="5363845" cy="2353310"/>
            <wp:effectExtent l="0" t="0" r="190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363845" cy="2353310"/>
                    </a:xfrm>
                    <a:prstGeom prst="rect">
                      <a:avLst/>
                    </a:prstGeom>
                    <a:noFill/>
                    <a:ln>
                      <a:noFill/>
                    </a:ln>
                  </pic:spPr>
                </pic:pic>
              </a:graphicData>
            </a:graphic>
          </wp:inline>
        </w:drawing>
      </w:r>
    </w:p>
    <w:p>
      <w:pPr>
        <w:widowControl w:val="0"/>
        <w:numPr>
          <w:ilvl w:val="0"/>
          <w:numId w:val="0"/>
        </w:numPr>
        <w:tabs>
          <w:tab w:val="left" w:pos="785"/>
        </w:tabs>
        <w:adjustRightInd w:val="0"/>
        <w:snapToGrid w:val="0"/>
        <w:spacing w:line="360" w:lineRule="auto"/>
        <w:ind w:firstLine="480" w:firstLineChars="200"/>
        <w:jc w:val="center"/>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图 4-4 电力市场运营分析体系框架</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4.2.2基于信息熵理论的电力远期合同-现货市场联合运营模型</w:t>
      </w:r>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hint="eastAsia" w:ascii="宋体" w:hAnsi="宋体" w:cs="宋体"/>
          <w:sz w:val="24"/>
          <w:szCs w:val="24"/>
          <w:lang w:eastAsia="zh-CN"/>
        </w:rPr>
        <w:t>）</w:t>
      </w:r>
      <w:r>
        <w:rPr>
          <w:rFonts w:hint="eastAsia" w:ascii="宋体" w:hAnsi="宋体" w:eastAsia="宋体" w:cs="宋体"/>
          <w:sz w:val="24"/>
          <w:szCs w:val="24"/>
        </w:rPr>
        <w:t>定义及表达式</w:t>
      </w:r>
    </w:p>
    <w:p>
      <w:pPr>
        <w:widowControl w:val="0"/>
        <w:numPr>
          <w:ilvl w:val="0"/>
          <w:numId w:val="0"/>
        </w:numPr>
        <w:tabs>
          <w:tab w:val="left" w:pos="785"/>
        </w:tabs>
        <w:adjustRightInd w:val="0"/>
        <w:snapToGrid w:val="0"/>
        <w:spacing w:line="360" w:lineRule="auto"/>
        <w:ind w:firstLine="480" w:firstLineChars="200"/>
        <w:jc w:val="both"/>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 xml:space="preserve"> 信息熵是用来衡量一个系统信息排序作用的一个重要指标，也是用来衡量一个系统信息排序混乱程度的一个重要指标。如果一个事情的混乱程度越大，事件的混乱和不确定性越大，也就说它的熵就越大，确定一个事物所可能需要的信息量就越大。信息熵是量化时间不确定性并衡量信息作用的指标，也可以对随机变化的事件进行统一测量。将信息源X对应的概率空间定义为 P(x1)，P( x2)， P（x3），</w:t>
      </w:r>
      <w:r>
        <w:rPr>
          <w:rFonts w:hint="eastAsia" w:ascii="宋体" w:hAnsi="宋体" w:eastAsia="宋体" w:cs="宋体"/>
          <w:i w:val="0"/>
          <w:sz w:val="24"/>
          <w:szCs w:val="24"/>
          <w:lang w:val="en-US" w:eastAsia="zh-CN"/>
        </w:rPr>
        <w:sym w:font="Symbol" w:char="F0BC"/>
      </w:r>
      <w:r>
        <w:rPr>
          <w:rFonts w:hint="eastAsia" w:ascii="宋体" w:hAnsi="宋体" w:eastAsia="宋体" w:cs="宋体"/>
          <w:i w:val="0"/>
          <w:sz w:val="24"/>
          <w:szCs w:val="24"/>
          <w:lang w:val="en-US" w:eastAsia="zh-CN"/>
        </w:rPr>
        <w:t xml:space="preserve"> P(xn ) ，定义信息量成为事件概率的负对数</w:t>
      </w:r>
      <m:oMath>
        <m:r>
          <m:rPr>
            <m:sty m:val="p"/>
          </m:rPr>
          <w:rPr>
            <w:rFonts w:hint="eastAsia" w:ascii="Cambria Math" w:hAnsi="Cambria Math" w:eastAsia="宋体" w:cs="宋体"/>
            <w:sz w:val="24"/>
            <w:szCs w:val="24"/>
            <w:lang w:val="en-US" w:eastAsia="zh-CN"/>
          </w:rPr>
          <m:t xml:space="preserve">H </m:t>
        </m:r>
        <m:d>
          <m:dPr>
            <m:ctrlPr>
              <w:rPr>
                <w:rFonts w:hint="eastAsia" w:ascii="Cambria Math" w:hAnsi="Cambria Math" w:eastAsia="宋体" w:cs="宋体"/>
                <w:i w:val="0"/>
                <w:sz w:val="24"/>
                <w:szCs w:val="24"/>
                <w:lang w:val="en-US" w:eastAsia="zh-CN"/>
              </w:rPr>
            </m:ctrlPr>
          </m:dPr>
          <m:e>
            <m:sSub>
              <m:sSubPr>
                <m:ctrlPr>
                  <w:rPr>
                    <w:rFonts w:hint="eastAsia" w:ascii="Cambria Math" w:hAnsi="Cambria Math" w:eastAsia="宋体" w:cs="宋体"/>
                    <w:i w:val="0"/>
                    <w:sz w:val="24"/>
                    <w:szCs w:val="24"/>
                    <w:lang w:val="en-US" w:eastAsia="zh-CN"/>
                  </w:rPr>
                </m:ctrlPr>
              </m:sSubPr>
              <m:e>
                <m:r>
                  <m:rPr>
                    <m:sty m:val="p"/>
                  </m:rPr>
                  <w:rPr>
                    <w:rFonts w:hint="eastAsia" w:ascii="Cambria Math" w:hAnsi="Cambria Math" w:eastAsia="宋体" w:cs="宋体"/>
                    <w:sz w:val="24"/>
                    <w:szCs w:val="24"/>
                    <w:lang w:val="en-US" w:eastAsia="zh-CN"/>
                  </w:rPr>
                  <m:t>x</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Sub>
            <m:ctrlPr>
              <w:rPr>
                <w:rFonts w:hint="eastAsia" w:ascii="Cambria Math" w:hAnsi="Cambria Math" w:eastAsia="宋体" w:cs="宋体"/>
                <w:i w:val="0"/>
                <w:sz w:val="24"/>
                <w:szCs w:val="24"/>
                <w:lang w:val="en-US" w:eastAsia="zh-CN"/>
              </w:rPr>
            </m:ctrlPr>
          </m:e>
        </m:d>
        <m:r>
          <m:rPr>
            <m:sty m:val="p"/>
          </m:rPr>
          <w:rPr>
            <w:rFonts w:hint="eastAsia" w:ascii="Cambria Math" w:hAnsi="Cambria Math" w:eastAsia="宋体" w:cs="宋体"/>
            <w:sz w:val="24"/>
            <w:szCs w:val="24"/>
            <w:lang w:val="en-US" w:eastAsia="zh-CN"/>
          </w:rPr>
          <m:t>=−P</m:t>
        </m:r>
        <m:d>
          <m:dPr>
            <m:ctrlPr>
              <w:rPr>
                <w:rFonts w:hint="eastAsia" w:ascii="Cambria Math" w:hAnsi="Cambria Math" w:eastAsia="宋体" w:cs="宋体"/>
                <w:i w:val="0"/>
                <w:sz w:val="24"/>
                <w:szCs w:val="24"/>
                <w:lang w:val="en-US" w:eastAsia="zh-CN"/>
              </w:rPr>
            </m:ctrlPr>
          </m:dPr>
          <m:e>
            <m:sSub>
              <m:sSubPr>
                <m:ctrlPr>
                  <w:rPr>
                    <w:rFonts w:hint="eastAsia" w:ascii="Cambria Math" w:hAnsi="Cambria Math" w:eastAsia="宋体" w:cs="宋体"/>
                    <w:i w:val="0"/>
                    <w:sz w:val="24"/>
                    <w:szCs w:val="24"/>
                    <w:lang w:val="en-US" w:eastAsia="zh-CN"/>
                  </w:rPr>
                </m:ctrlPr>
              </m:sSubPr>
              <m:e>
                <m:r>
                  <m:rPr>
                    <m:sty m:val="p"/>
                  </m:rPr>
                  <w:rPr>
                    <w:rFonts w:hint="eastAsia" w:ascii="Cambria Math" w:hAnsi="Cambria Math" w:eastAsia="宋体" w:cs="宋体"/>
                    <w:sz w:val="24"/>
                    <w:szCs w:val="24"/>
                    <w:lang w:val="en-US" w:eastAsia="zh-CN"/>
                  </w:rPr>
                  <m:t>x</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Sub>
            <m:ctrlPr>
              <w:rPr>
                <w:rFonts w:hint="eastAsia" w:ascii="Cambria Math" w:hAnsi="Cambria Math" w:eastAsia="宋体" w:cs="宋体"/>
                <w:i w:val="0"/>
                <w:sz w:val="24"/>
                <w:szCs w:val="24"/>
                <w:lang w:val="en-US" w:eastAsia="zh-CN"/>
              </w:rPr>
            </m:ctrlPr>
          </m:e>
        </m:d>
        <m:r>
          <m:rPr>
            <m:sty m:val="p"/>
          </m:rPr>
          <w:rPr>
            <w:rFonts w:hint="eastAsia" w:ascii="Cambria Math" w:hAnsi="Cambria Math" w:eastAsia="宋体" w:cs="宋体"/>
            <w:sz w:val="24"/>
            <w:szCs w:val="24"/>
            <w:lang w:val="en-US" w:eastAsia="zh-CN"/>
          </w:rPr>
          <m:t>logP(</m:t>
        </m:r>
        <m:sSub>
          <m:sSubPr>
            <m:ctrlPr>
              <w:rPr>
                <w:rFonts w:hint="eastAsia" w:ascii="Cambria Math" w:hAnsi="Cambria Math" w:eastAsia="宋体" w:cs="宋体"/>
                <w:i w:val="0"/>
                <w:sz w:val="24"/>
                <w:szCs w:val="24"/>
                <w:lang w:val="en-US" w:eastAsia="zh-CN"/>
              </w:rPr>
            </m:ctrlPr>
          </m:sSubPr>
          <m:e>
            <m:r>
              <m:rPr>
                <m:sty m:val="p"/>
              </m:rPr>
              <w:rPr>
                <w:rFonts w:hint="eastAsia" w:ascii="Cambria Math" w:hAnsi="Cambria Math" w:eastAsia="宋体" w:cs="宋体"/>
                <w:sz w:val="24"/>
                <w:szCs w:val="24"/>
                <w:lang w:val="en-US" w:eastAsia="zh-CN"/>
              </w:rPr>
              <m:t>x</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Sub>
        <m:r>
          <m:rPr>
            <m:sty m:val="p"/>
          </m:rPr>
          <w:rPr>
            <w:rFonts w:hint="eastAsia" w:ascii="Cambria Math" w:hAnsi="Cambria Math" w:eastAsia="宋体" w:cs="宋体"/>
            <w:sz w:val="24"/>
            <w:szCs w:val="24"/>
            <w:lang w:val="en-US" w:eastAsia="zh-CN"/>
          </w:rPr>
          <m:t>)</m:t>
        </m:r>
      </m:oMath>
      <w:r>
        <w:rPr>
          <w:rFonts w:hint="eastAsia" w:ascii="宋体" w:hAnsi="宋体" w:eastAsia="宋体" w:cs="宋体"/>
          <w:i w:val="0"/>
          <w:sz w:val="24"/>
          <w:szCs w:val="24"/>
          <w:lang w:val="en-US" w:eastAsia="zh-CN"/>
        </w:rPr>
        <w:t>，此时离散信息源提供的随机信息量的确定性等于离散信息源的期望不确定性。因此，离散信息源X的信息量 H(xi)的数学期望平均值之和可以表示为：</w:t>
      </w:r>
      <m:oMath>
        <m:r>
          <m:rPr>
            <m:sty m:val="p"/>
          </m:rPr>
          <w:rPr>
            <w:rFonts w:hint="eastAsia" w:ascii="Cambria Math" w:hAnsi="Cambria Math" w:eastAsia="宋体" w:cs="宋体"/>
            <w:sz w:val="24"/>
            <w:szCs w:val="24"/>
            <w:lang w:val="en-US" w:eastAsia="zh-CN"/>
          </w:rPr>
          <m:t xml:space="preserve">H </m:t>
        </m:r>
        <m:d>
          <m:dPr>
            <m:ctrlPr>
              <w:rPr>
                <w:rFonts w:hint="eastAsia" w:ascii="Cambria Math" w:hAnsi="Cambria Math" w:eastAsia="宋体" w:cs="宋体"/>
                <w:i w:val="0"/>
                <w:sz w:val="24"/>
                <w:szCs w:val="24"/>
                <w:lang w:val="en-US" w:eastAsia="zh-CN"/>
              </w:rPr>
            </m:ctrlPr>
          </m:dPr>
          <m:e>
            <m:r>
              <m:rPr>
                <m:sty m:val="p"/>
              </m:rPr>
              <w:rPr>
                <w:rFonts w:hint="eastAsia" w:ascii="Cambria Math" w:hAnsi="Cambria Math" w:eastAsia="宋体" w:cs="宋体"/>
                <w:sz w:val="24"/>
                <w:szCs w:val="24"/>
                <w:lang w:val="en-US" w:eastAsia="zh-CN"/>
              </w:rPr>
              <m:t>X</m:t>
            </m:r>
            <m:ctrlPr>
              <w:rPr>
                <w:rFonts w:hint="eastAsia" w:ascii="Cambria Math" w:hAnsi="Cambria Math" w:eastAsia="宋体" w:cs="宋体"/>
                <w:i w:val="0"/>
                <w:sz w:val="24"/>
                <w:szCs w:val="24"/>
                <w:lang w:val="en-US" w:eastAsia="zh-CN"/>
              </w:rPr>
            </m:ctrlPr>
          </m:e>
        </m:d>
        <m:r>
          <m:rPr>
            <m:sty m:val="p"/>
          </m:rPr>
          <w:rPr>
            <w:rFonts w:hint="eastAsia" w:ascii="Cambria Math" w:hAnsi="Cambria Math" w:eastAsia="宋体" w:cs="宋体"/>
            <w:sz w:val="24"/>
            <w:szCs w:val="24"/>
            <w:lang w:val="en-US" w:eastAsia="zh-CN"/>
          </w:rPr>
          <m:t>=−</m:t>
        </m:r>
        <m:r>
          <m:rPr>
            <m:sty m:val="p"/>
          </m:rPr>
          <w:rPr>
            <w:rFonts w:hint="eastAsia" w:ascii="Cambria Math" w:hAnsi="Cambria Math" w:eastAsia="宋体" w:cs="宋体"/>
            <w:sz w:val="24"/>
            <w:szCs w:val="24"/>
            <w:lang w:val="en-US" w:eastAsia="zh-CN"/>
          </w:rPr>
          <w:sym w:font="Symbol" w:char="F0E5"/>
        </m:r>
        <m:r>
          <m:rPr>
            <m:sty m:val="p"/>
          </m:rPr>
          <w:rPr>
            <w:rFonts w:hint="eastAsia" w:ascii="Cambria Math" w:hAnsi="Cambria Math" w:eastAsia="宋体" w:cs="宋体"/>
            <w:sz w:val="24"/>
            <w:szCs w:val="24"/>
            <w:lang w:val="en-US" w:eastAsia="zh-CN"/>
          </w:rPr>
          <m:t>P</m:t>
        </m:r>
        <m:d>
          <m:dPr>
            <m:ctrlPr>
              <w:rPr>
                <w:rFonts w:hint="eastAsia" w:ascii="Cambria Math" w:hAnsi="Cambria Math" w:eastAsia="宋体" w:cs="宋体"/>
                <w:i w:val="0"/>
                <w:sz w:val="24"/>
                <w:szCs w:val="24"/>
                <w:lang w:val="en-US" w:eastAsia="zh-CN"/>
              </w:rPr>
            </m:ctrlPr>
          </m:dPr>
          <m:e>
            <m:sSub>
              <m:sSubPr>
                <m:ctrlPr>
                  <w:rPr>
                    <w:rFonts w:hint="eastAsia" w:ascii="Cambria Math" w:hAnsi="Cambria Math" w:eastAsia="宋体" w:cs="宋体"/>
                    <w:i w:val="0"/>
                    <w:sz w:val="24"/>
                    <w:szCs w:val="24"/>
                    <w:lang w:val="en-US" w:eastAsia="zh-CN"/>
                  </w:rPr>
                </m:ctrlPr>
              </m:sSubPr>
              <m:e>
                <m:r>
                  <m:rPr>
                    <m:sty m:val="p"/>
                  </m:rPr>
                  <w:rPr>
                    <w:rFonts w:hint="eastAsia" w:ascii="Cambria Math" w:hAnsi="Cambria Math" w:eastAsia="宋体" w:cs="宋体"/>
                    <w:sz w:val="24"/>
                    <w:szCs w:val="24"/>
                    <w:lang w:val="en-US" w:eastAsia="zh-CN"/>
                  </w:rPr>
                  <m:t>x</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Sub>
            <m:ctrlPr>
              <w:rPr>
                <w:rFonts w:hint="eastAsia" w:ascii="Cambria Math" w:hAnsi="Cambria Math" w:eastAsia="宋体" w:cs="宋体"/>
                <w:i w:val="0"/>
                <w:sz w:val="24"/>
                <w:szCs w:val="24"/>
                <w:lang w:val="en-US" w:eastAsia="zh-CN"/>
              </w:rPr>
            </m:ctrlPr>
          </m:e>
        </m:d>
        <m:r>
          <m:rPr>
            <m:sty m:val="p"/>
          </m:rPr>
          <w:rPr>
            <w:rFonts w:hint="eastAsia" w:ascii="Cambria Math" w:hAnsi="Cambria Math" w:eastAsia="宋体" w:cs="宋体"/>
            <w:sz w:val="24"/>
            <w:szCs w:val="24"/>
            <w:lang w:val="en-US" w:eastAsia="zh-CN"/>
          </w:rPr>
          <m:t>logP(</m:t>
        </m:r>
        <m:sSub>
          <m:sSubPr>
            <m:ctrlPr>
              <w:rPr>
                <w:rFonts w:hint="eastAsia" w:ascii="Cambria Math" w:hAnsi="Cambria Math" w:eastAsia="宋体" w:cs="宋体"/>
                <w:i w:val="0"/>
                <w:sz w:val="24"/>
                <w:szCs w:val="24"/>
                <w:lang w:val="en-US" w:eastAsia="zh-CN"/>
              </w:rPr>
            </m:ctrlPr>
          </m:sSubPr>
          <m:e>
            <m:r>
              <m:rPr>
                <m:sty m:val="p"/>
              </m:rPr>
              <w:rPr>
                <w:rFonts w:hint="eastAsia" w:ascii="Cambria Math" w:hAnsi="Cambria Math" w:eastAsia="宋体" w:cs="宋体"/>
                <w:sz w:val="24"/>
                <w:szCs w:val="24"/>
                <w:lang w:val="en-US" w:eastAsia="zh-CN"/>
              </w:rPr>
              <m:t>x</m:t>
            </m:r>
            <m:ctrlPr>
              <w:rPr>
                <w:rFonts w:hint="eastAsia" w:ascii="Cambria Math" w:hAnsi="Cambria Math" w:eastAsia="宋体" w:cs="宋体"/>
                <w:i w:val="0"/>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i w:val="0"/>
                <w:sz w:val="24"/>
                <w:szCs w:val="24"/>
                <w:lang w:val="en-US" w:eastAsia="zh-CN"/>
              </w:rPr>
            </m:ctrlPr>
          </m:sub>
        </m:sSub>
        <m:r>
          <m:rPr>
            <m:sty m:val="p"/>
          </m:rPr>
          <w:rPr>
            <w:rFonts w:hint="eastAsia" w:ascii="Cambria Math" w:hAnsi="Cambria Math" w:eastAsia="宋体" w:cs="宋体"/>
            <w:sz w:val="24"/>
            <w:szCs w:val="24"/>
            <w:lang w:val="en-US" w:eastAsia="zh-CN"/>
          </w:rPr>
          <m:t>)</m:t>
        </m:r>
      </m:oMath>
      <w:r>
        <w:rPr>
          <w:rFonts w:hint="eastAsia" w:ascii="宋体" w:hAnsi="宋体" w:eastAsia="宋体" w:cs="宋体"/>
          <w:i w:val="0"/>
          <w:sz w:val="24"/>
          <w:szCs w:val="24"/>
          <w:lang w:val="en-US" w:eastAsia="zh-CN"/>
        </w:rPr>
        <w:t>，也就是信息的熵表达式，即如果系统可能处于许多不同的状态，并且每个状态出现的概率为 P(xi)，则该系统的熵就定义为上述公式。</w:t>
      </w:r>
    </w:p>
    <w:p>
      <w:pPr>
        <w:numPr>
          <w:ilvl w:val="0"/>
          <w:numId w:val="0"/>
        </w:num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hint="eastAsia" w:ascii="宋体" w:hAnsi="宋体" w:cs="宋体"/>
          <w:sz w:val="24"/>
          <w:szCs w:val="24"/>
          <w:lang w:eastAsia="zh-CN"/>
        </w:rPr>
        <w:t>）</w:t>
      </w:r>
      <w:r>
        <w:rPr>
          <w:rFonts w:hint="eastAsia" w:ascii="宋体" w:hAnsi="宋体" w:eastAsia="宋体" w:cs="宋体"/>
          <w:sz w:val="24"/>
          <w:szCs w:val="24"/>
        </w:rPr>
        <w:t xml:space="preserve">基本原理 </w:t>
      </w:r>
    </w:p>
    <w:p>
      <w:pPr>
        <w:numPr>
          <w:ilvl w:val="0"/>
          <w:numId w:val="0"/>
        </w:numPr>
        <w:adjustRightInd w:val="0"/>
        <w:snapToGrid w:val="0"/>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由信息熵表达式 </w:t>
      </w:r>
      <m:oMath>
        <m:r>
          <m:rPr>
            <m:sty m:val="p"/>
          </m:rPr>
          <w:rPr>
            <w:rFonts w:hint="eastAsia" w:ascii="Cambria Math" w:hAnsi="Cambria Math" w:eastAsia="宋体" w:cs="宋体"/>
            <w:sz w:val="24"/>
            <w:szCs w:val="24"/>
          </w:rPr>
          <m:t xml:space="preserve">H </m:t>
        </m:r>
        <m:d>
          <m:dPr>
            <m:ctrlPr>
              <w:rPr>
                <w:rFonts w:hint="eastAsia" w:ascii="Cambria Math" w:hAnsi="Cambria Math" w:eastAsia="宋体" w:cs="宋体"/>
                <w:sz w:val="24"/>
                <w:szCs w:val="24"/>
              </w:rPr>
            </m:ctrlPr>
          </m:d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r>
          <m:rPr>
            <m:sty m:val="p"/>
          </m:rPr>
          <w:rPr>
            <w:rFonts w:hint="eastAsia" w:ascii="Cambria Math" w:hAnsi="Cambria Math" w:eastAsia="宋体" w:cs="宋体"/>
            <w:sz w:val="24"/>
            <w:szCs w:val="24"/>
          </w:rPr>
          <w:sym w:font="Symbol" w:char="F0E5"/>
        </m:r>
        <m:r>
          <m:rPr>
            <m:sty m:val="p"/>
          </m:rPr>
          <w:rPr>
            <w:rFonts w:hint="eastAsia" w:ascii="Cambria Math" w:hAnsi="Cambria Math" w:eastAsia="宋体" w:cs="宋体"/>
            <w:sz w:val="24"/>
            <w:szCs w:val="24"/>
          </w:rPr>
          <m:t>P</m:t>
        </m:r>
        <m:d>
          <m:dPr>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logP(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oMath>
      <w:r>
        <w:rPr>
          <w:rFonts w:hint="eastAsia" w:ascii="宋体" w:hAnsi="宋体" w:eastAsia="宋体" w:cs="宋体"/>
          <w:sz w:val="24"/>
          <w:szCs w:val="24"/>
        </w:rPr>
        <w:t>可以看出，某一个指标x</w:t>
      </w:r>
      <w:r>
        <w:rPr>
          <w:rFonts w:hint="eastAsia" w:ascii="宋体" w:hAnsi="宋体" w:eastAsia="宋体" w:cs="宋体"/>
          <w:sz w:val="24"/>
          <w:szCs w:val="24"/>
          <w:vertAlign w:val="subscript"/>
        </w:rPr>
        <w:t>i</w:t>
      </w:r>
      <w:r>
        <w:rPr>
          <w:rFonts w:hint="eastAsia" w:ascii="宋体" w:hAnsi="宋体" w:eastAsia="宋体" w:cs="宋体"/>
          <w:sz w:val="24"/>
          <w:szCs w:val="24"/>
        </w:rPr>
        <w:t>的熵值P与该指标的变异程度以及所提供的重要信息量成反比，由此可知，如果P越小，该指标对综合评价结果的影响力就越大，那么对应的，该指标在该综合评价指标 所占的份额，也就是权重也越大。由以上的影响关系可以知道，通过计算各指标x</w:t>
      </w:r>
      <w:r>
        <w:rPr>
          <w:rFonts w:hint="eastAsia" w:ascii="宋体" w:hAnsi="宋体" w:eastAsia="宋体" w:cs="宋体"/>
          <w:sz w:val="24"/>
          <w:szCs w:val="24"/>
          <w:vertAlign w:val="subscript"/>
        </w:rPr>
        <w:t>i</w:t>
      </w:r>
      <w:r>
        <w:rPr>
          <w:rFonts w:hint="eastAsia" w:ascii="宋体" w:hAnsi="宋体" w:eastAsia="宋体" w:cs="宋体"/>
          <w:sz w:val="24"/>
          <w:szCs w:val="24"/>
        </w:rPr>
        <w:t xml:space="preserve">的熵权以及熵值P，再对权值和熵值进行加权计算可以得到一个综合熵，这个综合熵就是可以更客观反映综合评价计算结果。 </w:t>
      </w:r>
    </w:p>
    <w:p>
      <w:pPr>
        <w:numPr>
          <w:ilvl w:val="0"/>
          <w:numId w:val="0"/>
        </w:numPr>
        <w:adjustRightInd w:val="0"/>
        <w:snapToGrid w:val="0"/>
        <w:spacing w:line="360" w:lineRule="auto"/>
        <w:ind w:left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hint="eastAsia" w:ascii="宋体" w:hAnsi="宋体" w:cs="宋体"/>
          <w:sz w:val="24"/>
          <w:szCs w:val="24"/>
          <w:lang w:eastAsia="zh-CN"/>
        </w:rPr>
        <w:t>）</w:t>
      </w:r>
      <w:r>
        <w:rPr>
          <w:rFonts w:hint="eastAsia" w:ascii="宋体" w:hAnsi="宋体" w:eastAsia="宋体" w:cs="宋体"/>
          <w:sz w:val="24"/>
          <w:szCs w:val="24"/>
        </w:rPr>
        <w:t>利用信息的熵权进行理论分析和计算</w:t>
      </w:r>
    </w:p>
    <w:p>
      <w:pPr>
        <w:numPr>
          <w:ilvl w:val="0"/>
          <w:numId w:val="0"/>
        </w:num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1）选取6个运营指标的历史数据从历史数据中选取m个月份，每个月份n个运营分析指标，形成m*n阶的历史运营指标矩阵，第i个对象的第j个指标的数值即为此月份此类型的运营指标值（i=1,2,…,n;j=1,2,…,m）。</w:t>
      </w:r>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2）指标归一化</w:t>
      </w:r>
      <w:r>
        <w:rPr>
          <w:rFonts w:hint="eastAsia" w:ascii="宋体" w:hAnsi="宋体" w:cs="宋体"/>
          <w:sz w:val="24"/>
          <w:szCs w:val="24"/>
          <w:lang w:eastAsia="zh-CN"/>
        </w:rPr>
        <w:t>，</w:t>
      </w:r>
      <w:r>
        <w:rPr>
          <w:rFonts w:hint="eastAsia" w:ascii="宋体" w:hAnsi="宋体" w:eastAsia="宋体" w:cs="宋体"/>
          <w:sz w:val="24"/>
          <w:szCs w:val="24"/>
        </w:rPr>
        <w:t>在进行加权计算确定综合评价指标结果时，必须确定所采用的指标属于同质指标，即它们的单位应该是一致的。如果出现不是同质指标，必须对其度量单位进行了标准化。由此，实现指标的相对化才能很好地解决了指标值的同质化和均一化的问题。但由于正、负向指标的增值代表不同的的意义。因此，</w:t>
      </w:r>
      <w:r>
        <w:rPr>
          <w:rFonts w:hint="eastAsia" w:ascii="宋体" w:hAnsi="宋体" w:cs="宋体"/>
          <w:sz w:val="24"/>
          <w:szCs w:val="24"/>
          <w:lang w:val="en-US" w:eastAsia="zh-CN"/>
        </w:rPr>
        <w:t>可以</w:t>
      </w:r>
      <w:r>
        <w:rPr>
          <w:rFonts w:hint="eastAsia" w:ascii="宋体" w:hAnsi="宋体" w:eastAsia="宋体" w:cs="宋体"/>
          <w:sz w:val="24"/>
          <w:szCs w:val="24"/>
        </w:rPr>
        <w:t>对正、负指标使用不同的算法进行标准化加工。</w:t>
      </w:r>
      <w:r>
        <w:rPr>
          <w:rFonts w:hint="eastAsia" w:ascii="宋体" w:hAnsi="宋体" w:cs="宋体"/>
          <w:sz w:val="24"/>
          <w:szCs w:val="24"/>
          <w:lang w:val="en-US" w:eastAsia="zh-CN"/>
        </w:rPr>
        <w:t>例如，可以</w:t>
      </w:r>
      <w:r>
        <w:rPr>
          <w:rFonts w:hint="eastAsia" w:ascii="宋体" w:hAnsi="宋体" w:eastAsia="宋体" w:cs="宋体"/>
          <w:sz w:val="24"/>
          <w:szCs w:val="24"/>
        </w:rPr>
        <w:t>采用极差变化法，设有m个方案的n个指标值构成的矩阵X = (x</w:t>
      </w:r>
      <w:r>
        <w:rPr>
          <w:rFonts w:hint="eastAsia" w:ascii="宋体" w:hAnsi="宋体" w:eastAsia="宋体" w:cs="宋体"/>
          <w:sz w:val="24"/>
          <w:szCs w:val="24"/>
          <w:vertAlign w:val="subscript"/>
        </w:rPr>
        <w:t>ij</w:t>
      </w:r>
      <w:r>
        <w:rPr>
          <w:rFonts w:hint="eastAsia" w:ascii="宋体" w:hAnsi="宋体" w:eastAsia="宋体" w:cs="宋体"/>
          <w:sz w:val="24"/>
          <w:szCs w:val="24"/>
        </w:rPr>
        <w:t>)</w:t>
      </w:r>
      <w:r>
        <w:rPr>
          <w:rFonts w:hint="eastAsia" w:ascii="宋体" w:hAnsi="宋体" w:eastAsia="宋体" w:cs="宋体"/>
          <w:sz w:val="24"/>
          <w:szCs w:val="24"/>
          <w:vertAlign w:val="subscript"/>
        </w:rPr>
        <w:t>m*n</w:t>
      </w:r>
      <w:r>
        <w:rPr>
          <w:rFonts w:hint="eastAsia" w:ascii="宋体" w:hAnsi="宋体" w:cs="宋体"/>
          <w:sz w:val="24"/>
          <w:szCs w:val="24"/>
          <w:lang w:eastAsia="zh-CN"/>
        </w:rPr>
        <w:t>，</w:t>
      </w:r>
      <w:r>
        <w:rPr>
          <w:rFonts w:hint="eastAsia" w:ascii="宋体" w:hAnsi="宋体" w:eastAsia="宋体" w:cs="宋体"/>
          <w:sz w:val="24"/>
          <w:szCs w:val="24"/>
        </w:rPr>
        <w:t>称为决策矩阵</w:t>
      </w:r>
      <w:r>
        <w:rPr>
          <w:rFonts w:hint="eastAsia" w:ascii="宋体" w:hAnsi="宋体" w:cs="宋体"/>
          <w:sz w:val="24"/>
          <w:szCs w:val="24"/>
          <w:lang w:eastAsia="zh-CN"/>
        </w:rPr>
        <w:t>，</w:t>
      </w:r>
      <w:r>
        <w:rPr>
          <w:rFonts w:hint="eastAsia" w:ascii="宋体" w:hAnsi="宋体" w:eastAsia="宋体" w:cs="宋体"/>
          <w:sz w:val="24"/>
          <w:szCs w:val="24"/>
        </w:rPr>
        <w:t>在决策矩阵X = (x</w:t>
      </w:r>
      <w:r>
        <w:rPr>
          <w:rFonts w:hint="eastAsia" w:ascii="宋体" w:hAnsi="宋体" w:eastAsia="宋体" w:cs="宋体"/>
          <w:sz w:val="24"/>
          <w:szCs w:val="24"/>
          <w:vertAlign w:val="subscript"/>
        </w:rPr>
        <w:t>ij</w:t>
      </w:r>
      <w:r>
        <w:rPr>
          <w:rFonts w:hint="eastAsia" w:ascii="宋体" w:hAnsi="宋体" w:eastAsia="宋体" w:cs="宋体"/>
          <w:sz w:val="24"/>
          <w:szCs w:val="24"/>
        </w:rPr>
        <w:t>)</w:t>
      </w:r>
      <w:r>
        <w:rPr>
          <w:rFonts w:hint="eastAsia" w:ascii="宋体" w:hAnsi="宋体" w:eastAsia="宋体" w:cs="宋体"/>
          <w:sz w:val="24"/>
          <w:szCs w:val="24"/>
          <w:vertAlign w:val="subscript"/>
        </w:rPr>
        <w:t>m*n</w:t>
      </w:r>
      <w:r>
        <w:rPr>
          <w:rFonts w:hint="eastAsia" w:ascii="宋体" w:hAnsi="宋体" w:eastAsia="宋体" w:cs="宋体"/>
          <w:sz w:val="24"/>
          <w:szCs w:val="24"/>
        </w:rPr>
        <w:t>中，对于正向指标：</w:t>
      </w:r>
    </w:p>
    <w:p>
      <w:pPr>
        <w:adjustRightInd w:val="0"/>
        <w:snapToGrid w:val="0"/>
        <w:spacing w:line="360" w:lineRule="auto"/>
        <w:ind w:firstLine="480" w:firstLineChars="200"/>
        <w:rPr>
          <w:rFonts w:hint="eastAsia" w:ascii="宋体" w:hAnsi="宋体" w:cs="宋体"/>
          <w:sz w:val="24"/>
          <w:szCs w:val="24"/>
          <w:lang w:eastAsia="zh-CN"/>
        </w:rPr>
      </w:p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r>
              <m:rPr/>
              <w:rPr>
                <w:rFonts w:hint="eastAsia" w:ascii="Cambria Math" w:hAnsi="Cambria Math" w:eastAsia="宋体" w:cs="宋体"/>
                <w:sz w:val="24"/>
                <w:szCs w:val="24"/>
              </w:rPr>
              <m:t>−</m:t>
            </m:r>
            <m:func>
              <m:funcPr>
                <m:ctrlPr>
                  <w:rPr>
                    <w:rFonts w:hint="eastAsia" w:ascii="Cambria Math" w:hAnsi="Cambria Math" w:eastAsia="宋体" w:cs="宋体"/>
                    <w:i/>
                    <w:sz w:val="24"/>
                    <w:szCs w:val="24"/>
                  </w:rPr>
                </m:ctrlPr>
              </m:funcPr>
              <m:fName>
                <m:limLow>
                  <m:limLowPr>
                    <m:ctrlPr>
                      <w:rPr>
                        <w:rFonts w:hint="eastAsia" w:ascii="Cambria Math" w:hAnsi="Cambria Math" w:eastAsia="宋体" w:cs="宋体"/>
                        <w:i/>
                        <w:sz w:val="24"/>
                        <w:szCs w:val="24"/>
                      </w:rPr>
                    </m:ctrlPr>
                  </m:limLowPr>
                  <m:e>
                    <m:r>
                      <m:rPr>
                        <m:sty m:val="p"/>
                      </m:rPr>
                      <w:rPr>
                        <w:rFonts w:hint="eastAsia" w:ascii="Cambria Math" w:hAnsi="Cambria Math" w:eastAsia="宋体" w:cs="宋体"/>
                        <w:sz w:val="24"/>
                        <w:szCs w:val="24"/>
                      </w:rPr>
                      <m:t>min</m:t>
                    </m:r>
                    <m:ctrlPr>
                      <w:rPr>
                        <w:rFonts w:hint="eastAsia" w:ascii="Cambria Math" w:hAnsi="Cambria Math" w:eastAsia="宋体" w:cs="宋体"/>
                        <w:i/>
                        <w:sz w:val="24"/>
                        <w:szCs w:val="24"/>
                      </w:rPr>
                    </m:ctrlPr>
                  </m:e>
                  <m:lim>
                    <m:r>
                      <m:rPr/>
                      <w:rPr>
                        <w:rFonts w:hint="eastAsia" w:ascii="Cambria Math" w:hAnsi="Cambria Math" w:eastAsia="宋体" w:cs="宋体"/>
                        <w:sz w:val="24"/>
                        <w:szCs w:val="24"/>
                      </w:rPr>
                      <m:t>1≤i≤m</m:t>
                    </m:r>
                    <m:ctrlPr>
                      <w:rPr>
                        <w:rFonts w:hint="eastAsia" w:ascii="Cambria Math" w:hAnsi="Cambria Math" w:eastAsia="宋体" w:cs="宋体"/>
                        <w:i/>
                        <w:sz w:val="24"/>
                        <w:szCs w:val="24"/>
                      </w:rPr>
                    </m:ctrlPr>
                  </m:lim>
                </m:limLow>
                <m:ctrlPr>
                  <w:rPr>
                    <w:rFonts w:hint="eastAsia" w:ascii="Cambria Math" w:hAnsi="Cambria Math" w:eastAsia="宋体" w:cs="宋体"/>
                    <w:i/>
                    <w:sz w:val="24"/>
                    <w:szCs w:val="24"/>
                  </w:rPr>
                </m:ctrlPr>
              </m:fName>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func>
            <m:ctrlPr>
              <w:rPr>
                <w:rFonts w:hint="eastAsia" w:ascii="Cambria Math" w:hAnsi="Cambria Math" w:eastAsia="宋体" w:cs="宋体"/>
                <w:i/>
                <w:sz w:val="24"/>
                <w:szCs w:val="24"/>
              </w:rPr>
            </m:ctrlPr>
          </m:num>
          <m:den>
            <m:func>
              <m:funcPr>
                <m:ctrlPr>
                  <w:rPr>
                    <w:rFonts w:hint="eastAsia" w:ascii="Cambria Math" w:hAnsi="Cambria Math" w:eastAsia="宋体" w:cs="宋体"/>
                    <w:i/>
                    <w:sz w:val="24"/>
                    <w:szCs w:val="24"/>
                  </w:rPr>
                </m:ctrlPr>
              </m:funcPr>
              <m:fName>
                <m:limLow>
                  <m:limLowPr>
                    <m:ctrlPr>
                      <w:rPr>
                        <w:rFonts w:hint="eastAsia" w:ascii="Cambria Math" w:hAnsi="Cambria Math" w:eastAsia="宋体" w:cs="宋体"/>
                        <w:i/>
                        <w:sz w:val="24"/>
                        <w:szCs w:val="24"/>
                      </w:rPr>
                    </m:ctrlPr>
                  </m:limLowPr>
                  <m:e>
                    <m:r>
                      <m:rPr>
                        <m:sty m:val="p"/>
                      </m:rPr>
                      <w:rPr>
                        <w:rFonts w:hint="eastAsia" w:ascii="Cambria Math" w:hAnsi="Cambria Math" w:eastAsia="宋体" w:cs="宋体"/>
                        <w:sz w:val="24"/>
                        <w:szCs w:val="24"/>
                      </w:rPr>
                      <m:t>max</m:t>
                    </m:r>
                    <m:ctrlPr>
                      <w:rPr>
                        <w:rFonts w:hint="eastAsia" w:ascii="Cambria Math" w:hAnsi="Cambria Math" w:eastAsia="宋体" w:cs="宋体"/>
                        <w:i/>
                        <w:sz w:val="24"/>
                        <w:szCs w:val="24"/>
                      </w:rPr>
                    </m:ctrlPr>
                  </m:e>
                  <m:lim>
                    <m:r>
                      <m:rPr/>
                      <w:rPr>
                        <w:rFonts w:hint="eastAsia" w:ascii="Cambria Math" w:hAnsi="Cambria Math" w:eastAsia="宋体" w:cs="宋体"/>
                        <w:sz w:val="24"/>
                        <w:szCs w:val="24"/>
                      </w:rPr>
                      <m:t>1≤i≤m</m:t>
                    </m:r>
                    <m:ctrlPr>
                      <w:rPr>
                        <w:rFonts w:hint="eastAsia" w:ascii="Cambria Math" w:hAnsi="Cambria Math" w:eastAsia="宋体" w:cs="宋体"/>
                        <w:i/>
                        <w:sz w:val="24"/>
                        <w:szCs w:val="24"/>
                      </w:rPr>
                    </m:ctrlPr>
                  </m:lim>
                </m:limLow>
                <m:ctrlPr>
                  <w:rPr>
                    <w:rFonts w:hint="eastAsia" w:ascii="Cambria Math" w:hAnsi="Cambria Math" w:eastAsia="宋体" w:cs="宋体"/>
                    <w:i/>
                    <w:sz w:val="24"/>
                    <w:szCs w:val="24"/>
                  </w:rPr>
                </m:ctrlPr>
              </m:fName>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func>
            <m:r>
              <m:rPr/>
              <w:rPr>
                <w:rFonts w:hint="eastAsia" w:ascii="Cambria Math" w:hAnsi="Cambria Math" w:eastAsia="宋体" w:cs="宋体"/>
                <w:sz w:val="24"/>
                <w:szCs w:val="24"/>
              </w:rPr>
              <m:t>−</m:t>
            </m:r>
            <m:func>
              <m:funcPr>
                <m:ctrlPr>
                  <w:rPr>
                    <w:rFonts w:hint="eastAsia" w:ascii="Cambria Math" w:hAnsi="Cambria Math" w:eastAsia="宋体" w:cs="宋体"/>
                    <w:i/>
                    <w:sz w:val="24"/>
                    <w:szCs w:val="24"/>
                  </w:rPr>
                </m:ctrlPr>
              </m:funcPr>
              <m:fName>
                <m:limLow>
                  <m:limLowPr>
                    <m:ctrlPr>
                      <w:rPr>
                        <w:rFonts w:hint="eastAsia" w:ascii="Cambria Math" w:hAnsi="Cambria Math" w:eastAsia="宋体" w:cs="宋体"/>
                        <w:i/>
                        <w:sz w:val="24"/>
                        <w:szCs w:val="24"/>
                      </w:rPr>
                    </m:ctrlPr>
                  </m:limLowPr>
                  <m:e>
                    <m:r>
                      <m:rPr>
                        <m:sty m:val="p"/>
                      </m:rPr>
                      <w:rPr>
                        <w:rFonts w:hint="eastAsia" w:ascii="Cambria Math" w:hAnsi="Cambria Math" w:eastAsia="宋体" w:cs="宋体"/>
                        <w:sz w:val="24"/>
                        <w:szCs w:val="24"/>
                      </w:rPr>
                      <m:t>min</m:t>
                    </m:r>
                    <m:ctrlPr>
                      <w:rPr>
                        <w:rFonts w:hint="eastAsia" w:ascii="Cambria Math" w:hAnsi="Cambria Math" w:eastAsia="宋体" w:cs="宋体"/>
                        <w:i/>
                        <w:sz w:val="24"/>
                        <w:szCs w:val="24"/>
                      </w:rPr>
                    </m:ctrlPr>
                  </m:e>
                  <m:lim>
                    <m:r>
                      <m:rPr/>
                      <w:rPr>
                        <w:rFonts w:hint="eastAsia" w:ascii="Cambria Math" w:hAnsi="Cambria Math" w:eastAsia="宋体" w:cs="宋体"/>
                        <w:sz w:val="24"/>
                        <w:szCs w:val="24"/>
                      </w:rPr>
                      <m:t>1≤i≤m</m:t>
                    </m:r>
                    <m:ctrlPr>
                      <w:rPr>
                        <w:rFonts w:hint="eastAsia" w:ascii="Cambria Math" w:hAnsi="Cambria Math" w:eastAsia="宋体" w:cs="宋体"/>
                        <w:i/>
                        <w:sz w:val="24"/>
                        <w:szCs w:val="24"/>
                      </w:rPr>
                    </m:ctrlPr>
                  </m:lim>
                </m:limLow>
                <m:ctrlPr>
                  <w:rPr>
                    <w:rFonts w:hint="eastAsia" w:ascii="Cambria Math" w:hAnsi="Cambria Math" w:eastAsia="宋体" w:cs="宋体"/>
                    <w:i/>
                    <w:sz w:val="24"/>
                    <w:szCs w:val="24"/>
                  </w:rPr>
                </m:ctrlPr>
              </m:fName>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func>
            <m:ctrlPr>
              <w:rPr>
                <w:rFonts w:hint="eastAsia" w:ascii="Cambria Math" w:hAnsi="Cambria Math" w:eastAsia="宋体" w:cs="宋体"/>
                <w:i/>
                <w:sz w:val="24"/>
                <w:szCs w:val="24"/>
              </w:rPr>
            </m:ctrlPr>
          </m:den>
        </m:f>
        <m:r>
          <m:rPr/>
          <w:rPr>
            <w:rFonts w:hint="eastAsia" w:ascii="Cambria Math" w:hAnsi="Cambria Math" w:eastAsia="宋体" w:cs="宋体"/>
            <w:sz w:val="24"/>
            <w:szCs w:val="24"/>
          </w:rPr>
          <m:t>(1≤i≤m,1≤j≤n)</m:t>
        </m:r>
      </m:oMath>
      <w:r>
        <w:rPr>
          <w:rFonts w:hint="eastAsia" w:ascii="宋体" w:hAnsi="宋体" w:eastAsia="宋体" w:cs="宋体"/>
          <w:sz w:val="24"/>
          <w:szCs w:val="24"/>
        </w:rPr>
        <w:t xml:space="preserve"> </w:t>
      </w:r>
      <w:r>
        <w:rPr>
          <w:rFonts w:hint="eastAsia" w:ascii="宋体" w:hAnsi="宋体" w:cs="宋体"/>
          <w:sz w:val="24"/>
          <w:szCs w:val="24"/>
          <w:lang w:eastAsia="zh-CN"/>
        </w:rPr>
        <w:t>，</w:t>
      </w:r>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对于负向指标：</w:t>
      </w:r>
    </w:p>
    <w:p>
      <w:pPr>
        <w:adjustRightInd w:val="0"/>
        <w:snapToGrid w:val="0"/>
        <w:spacing w:line="360" w:lineRule="auto"/>
        <w:ind w:firstLine="480" w:firstLineChars="200"/>
        <w:rPr>
          <w:rFonts w:hint="eastAsia" w:ascii="宋体" w:hAnsi="宋体" w:cs="宋体"/>
          <w:sz w:val="24"/>
          <w:szCs w:val="24"/>
          <w:lang w:eastAsia="zh-CN"/>
        </w:rPr>
      </w:p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func>
              <m:funcPr>
                <m:ctrlPr>
                  <w:rPr>
                    <w:rFonts w:hint="eastAsia" w:ascii="Cambria Math" w:hAnsi="Cambria Math" w:eastAsia="宋体" w:cs="宋体"/>
                    <w:i/>
                    <w:sz w:val="24"/>
                    <w:szCs w:val="24"/>
                  </w:rPr>
                </m:ctrlPr>
              </m:funcPr>
              <m:fName>
                <m:limLow>
                  <m:limLowPr>
                    <m:ctrlPr>
                      <w:rPr>
                        <w:rFonts w:hint="eastAsia" w:ascii="Cambria Math" w:hAnsi="Cambria Math" w:eastAsia="宋体" w:cs="宋体"/>
                        <w:i/>
                        <w:sz w:val="24"/>
                        <w:szCs w:val="24"/>
                      </w:rPr>
                    </m:ctrlPr>
                  </m:limLowPr>
                  <m:e>
                    <m:r>
                      <m:rPr>
                        <m:sty m:val="p"/>
                      </m:rPr>
                      <w:rPr>
                        <w:rFonts w:hint="eastAsia" w:ascii="Cambria Math" w:hAnsi="Cambria Math" w:eastAsia="宋体" w:cs="宋体"/>
                        <w:sz w:val="24"/>
                        <w:szCs w:val="24"/>
                      </w:rPr>
                      <m:t>max</m:t>
                    </m:r>
                    <m:ctrlPr>
                      <w:rPr>
                        <w:rFonts w:hint="eastAsia" w:ascii="Cambria Math" w:hAnsi="Cambria Math" w:eastAsia="宋体" w:cs="宋体"/>
                        <w:i/>
                        <w:sz w:val="24"/>
                        <w:szCs w:val="24"/>
                      </w:rPr>
                    </m:ctrlPr>
                  </m:e>
                  <m:lim>
                    <m:r>
                      <m:rPr/>
                      <w:rPr>
                        <w:rFonts w:hint="eastAsia" w:ascii="Cambria Math" w:hAnsi="Cambria Math" w:eastAsia="宋体" w:cs="宋体"/>
                        <w:sz w:val="24"/>
                        <w:szCs w:val="24"/>
                      </w:rPr>
                      <m:t>1≤i≤m</m:t>
                    </m:r>
                    <m:ctrlPr>
                      <w:rPr>
                        <w:rFonts w:hint="eastAsia" w:ascii="Cambria Math" w:hAnsi="Cambria Math" w:eastAsia="宋体" w:cs="宋体"/>
                        <w:i/>
                        <w:sz w:val="24"/>
                        <w:szCs w:val="24"/>
                      </w:rPr>
                    </m:ctrlPr>
                  </m:lim>
                </m:limLow>
                <m:ctrlPr>
                  <w:rPr>
                    <w:rFonts w:hint="eastAsia" w:ascii="Cambria Math" w:hAnsi="Cambria Math" w:eastAsia="宋体" w:cs="宋体"/>
                    <w:i/>
                    <w:sz w:val="24"/>
                    <w:szCs w:val="24"/>
                  </w:rPr>
                </m:ctrlPr>
              </m:fName>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func>
            <m:r>
              <m:rPr/>
              <w:rPr>
                <w:rFonts w:hint="eastAsia" w:ascii="Cambria Math" w:hAnsi="Cambria Math" w:eastAsia="宋体" w:cs="宋体"/>
                <w:sz w:val="24"/>
                <w:szCs w:val="24"/>
              </w:rPr>
              <m:t>−</m:t>
            </m:r>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num>
          <m:den>
            <m:func>
              <m:funcPr>
                <m:ctrlPr>
                  <w:rPr>
                    <w:rFonts w:hint="eastAsia" w:ascii="Cambria Math" w:hAnsi="Cambria Math" w:eastAsia="宋体" w:cs="宋体"/>
                    <w:i/>
                    <w:sz w:val="24"/>
                    <w:szCs w:val="24"/>
                  </w:rPr>
                </m:ctrlPr>
              </m:funcPr>
              <m:fName>
                <m:limLow>
                  <m:limLowPr>
                    <m:ctrlPr>
                      <w:rPr>
                        <w:rFonts w:hint="eastAsia" w:ascii="Cambria Math" w:hAnsi="Cambria Math" w:eastAsia="宋体" w:cs="宋体"/>
                        <w:i/>
                        <w:sz w:val="24"/>
                        <w:szCs w:val="24"/>
                      </w:rPr>
                    </m:ctrlPr>
                  </m:limLowPr>
                  <m:e>
                    <m:r>
                      <m:rPr>
                        <m:sty m:val="p"/>
                      </m:rPr>
                      <w:rPr>
                        <w:rFonts w:hint="eastAsia" w:ascii="Cambria Math" w:hAnsi="Cambria Math" w:eastAsia="宋体" w:cs="宋体"/>
                        <w:sz w:val="24"/>
                        <w:szCs w:val="24"/>
                      </w:rPr>
                      <m:t>max</m:t>
                    </m:r>
                    <m:ctrlPr>
                      <w:rPr>
                        <w:rFonts w:hint="eastAsia" w:ascii="Cambria Math" w:hAnsi="Cambria Math" w:eastAsia="宋体" w:cs="宋体"/>
                        <w:i/>
                        <w:sz w:val="24"/>
                        <w:szCs w:val="24"/>
                      </w:rPr>
                    </m:ctrlPr>
                  </m:e>
                  <m:lim>
                    <m:r>
                      <m:rPr/>
                      <w:rPr>
                        <w:rFonts w:hint="eastAsia" w:ascii="Cambria Math" w:hAnsi="Cambria Math" w:eastAsia="宋体" w:cs="宋体"/>
                        <w:sz w:val="24"/>
                        <w:szCs w:val="24"/>
                      </w:rPr>
                      <m:t>1≤i≤m</m:t>
                    </m:r>
                    <m:ctrlPr>
                      <w:rPr>
                        <w:rFonts w:hint="eastAsia" w:ascii="Cambria Math" w:hAnsi="Cambria Math" w:eastAsia="宋体" w:cs="宋体"/>
                        <w:i/>
                        <w:sz w:val="24"/>
                        <w:szCs w:val="24"/>
                      </w:rPr>
                    </m:ctrlPr>
                  </m:lim>
                </m:limLow>
                <m:ctrlPr>
                  <w:rPr>
                    <w:rFonts w:hint="eastAsia" w:ascii="Cambria Math" w:hAnsi="Cambria Math" w:eastAsia="宋体" w:cs="宋体"/>
                    <w:i/>
                    <w:sz w:val="24"/>
                    <w:szCs w:val="24"/>
                  </w:rPr>
                </m:ctrlPr>
              </m:fName>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func>
            <m:r>
              <m:rPr/>
              <w:rPr>
                <w:rFonts w:hint="eastAsia" w:ascii="Cambria Math" w:hAnsi="Cambria Math" w:eastAsia="宋体" w:cs="宋体"/>
                <w:sz w:val="24"/>
                <w:szCs w:val="24"/>
              </w:rPr>
              <m:t>−</m:t>
            </m:r>
            <m:func>
              <m:funcPr>
                <m:ctrlPr>
                  <w:rPr>
                    <w:rFonts w:hint="eastAsia" w:ascii="Cambria Math" w:hAnsi="Cambria Math" w:eastAsia="宋体" w:cs="宋体"/>
                    <w:i/>
                    <w:sz w:val="24"/>
                    <w:szCs w:val="24"/>
                  </w:rPr>
                </m:ctrlPr>
              </m:funcPr>
              <m:fName>
                <m:limLow>
                  <m:limLowPr>
                    <m:ctrlPr>
                      <w:rPr>
                        <w:rFonts w:hint="eastAsia" w:ascii="Cambria Math" w:hAnsi="Cambria Math" w:eastAsia="宋体" w:cs="宋体"/>
                        <w:i/>
                        <w:sz w:val="24"/>
                        <w:szCs w:val="24"/>
                      </w:rPr>
                    </m:ctrlPr>
                  </m:limLowPr>
                  <m:e>
                    <m:r>
                      <m:rPr>
                        <m:sty m:val="p"/>
                      </m:rPr>
                      <w:rPr>
                        <w:rFonts w:hint="eastAsia" w:ascii="Cambria Math" w:hAnsi="Cambria Math" w:eastAsia="宋体" w:cs="宋体"/>
                        <w:sz w:val="24"/>
                        <w:szCs w:val="24"/>
                      </w:rPr>
                      <m:t>min</m:t>
                    </m:r>
                    <m:ctrlPr>
                      <w:rPr>
                        <w:rFonts w:hint="eastAsia" w:ascii="Cambria Math" w:hAnsi="Cambria Math" w:eastAsia="宋体" w:cs="宋体"/>
                        <w:i/>
                        <w:sz w:val="24"/>
                        <w:szCs w:val="24"/>
                      </w:rPr>
                    </m:ctrlPr>
                  </m:e>
                  <m:lim>
                    <m:r>
                      <m:rPr/>
                      <w:rPr>
                        <w:rFonts w:hint="eastAsia" w:ascii="Cambria Math" w:hAnsi="Cambria Math" w:eastAsia="宋体" w:cs="宋体"/>
                        <w:sz w:val="24"/>
                        <w:szCs w:val="24"/>
                      </w:rPr>
                      <m:t>1≤i≤m</m:t>
                    </m:r>
                    <m:ctrlPr>
                      <w:rPr>
                        <w:rFonts w:hint="eastAsia" w:ascii="Cambria Math" w:hAnsi="Cambria Math" w:eastAsia="宋体" w:cs="宋体"/>
                        <w:i/>
                        <w:sz w:val="24"/>
                        <w:szCs w:val="24"/>
                      </w:rPr>
                    </m:ctrlPr>
                  </m:lim>
                </m:limLow>
                <m:ctrlPr>
                  <w:rPr>
                    <w:rFonts w:hint="eastAsia" w:ascii="Cambria Math" w:hAnsi="Cambria Math" w:eastAsia="宋体" w:cs="宋体"/>
                    <w:i/>
                    <w:sz w:val="24"/>
                    <w:szCs w:val="24"/>
                  </w:rPr>
                </m:ctrlPr>
              </m:fName>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func>
            <m:ctrlPr>
              <w:rPr>
                <w:rFonts w:hint="eastAsia" w:ascii="Cambria Math" w:hAnsi="Cambria Math" w:eastAsia="宋体" w:cs="宋体"/>
                <w:i/>
                <w:sz w:val="24"/>
                <w:szCs w:val="24"/>
              </w:rPr>
            </m:ctrlPr>
          </m:den>
        </m:f>
        <m:r>
          <m:rPr/>
          <w:rPr>
            <w:rFonts w:hint="eastAsia" w:ascii="Cambria Math" w:hAnsi="Cambria Math" w:eastAsia="宋体" w:cs="宋体"/>
            <w:sz w:val="24"/>
            <w:szCs w:val="24"/>
          </w:rPr>
          <m:t>(1≤i≤m,1≤j≤n)</m:t>
        </m:r>
      </m:oMath>
      <w:r>
        <w:rPr>
          <w:rFonts w:hint="eastAsia" w:ascii="宋体" w:hAnsi="宋体" w:cs="宋体"/>
          <w:sz w:val="24"/>
          <w:szCs w:val="24"/>
          <w:lang w:eastAsia="zh-CN"/>
        </w:rPr>
        <w:t>，</w:t>
      </w:r>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从而生成矩阵Y = (y</w:t>
      </w:r>
      <w:r>
        <w:rPr>
          <w:rFonts w:hint="eastAsia" w:ascii="宋体" w:hAnsi="宋体" w:eastAsia="宋体" w:cs="宋体"/>
          <w:sz w:val="24"/>
          <w:szCs w:val="24"/>
          <w:vertAlign w:val="subscript"/>
        </w:rPr>
        <w:t>ij</w:t>
      </w:r>
      <w:r>
        <w:rPr>
          <w:rFonts w:hint="eastAsia" w:ascii="宋体" w:hAnsi="宋体" w:eastAsia="宋体" w:cs="宋体"/>
          <w:sz w:val="24"/>
          <w:szCs w:val="24"/>
        </w:rPr>
        <w:t>)</w:t>
      </w:r>
      <w:r>
        <w:rPr>
          <w:rFonts w:hint="eastAsia" w:ascii="宋体" w:hAnsi="宋体" w:eastAsia="宋体" w:cs="宋体"/>
          <w:sz w:val="24"/>
          <w:szCs w:val="24"/>
          <w:vertAlign w:val="subscript"/>
        </w:rPr>
        <w:t>m*n</w:t>
      </w:r>
      <w:r>
        <w:rPr>
          <w:rFonts w:hint="eastAsia" w:ascii="宋体" w:hAnsi="宋体" w:eastAsia="宋体" w:cs="宋体"/>
          <w:sz w:val="24"/>
          <w:szCs w:val="24"/>
        </w:rPr>
        <w:t>，称为极差范围变化的标准化矩阵。经过上述变化后，矩阵X中指标均转化为正向指标，并且均能满足标准化指标的要求，即在</w:t>
      </w:r>
      <m:oMath>
        <m:r>
          <m:rPr/>
          <w:rPr>
            <w:rFonts w:hint="eastAsia" w:ascii="Cambria Math" w:hAnsi="Cambria Math" w:eastAsia="宋体" w:cs="宋体"/>
            <w:sz w:val="24"/>
            <w:szCs w:val="24"/>
          </w:rPr>
          <m:t>0≤</m:t>
        </m:r>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r>
          <m:rPr/>
          <w:rPr>
            <w:rFonts w:hint="eastAsia" w:ascii="Cambria Math" w:hAnsi="Cambria Math" w:eastAsia="宋体" w:cs="宋体"/>
            <w:sz w:val="24"/>
            <w:szCs w:val="24"/>
          </w:rPr>
          <m:t>≤1</m:t>
        </m:r>
      </m:oMath>
      <w:r>
        <w:rPr>
          <w:rFonts w:hint="eastAsia" w:ascii="宋体" w:hAnsi="宋体" w:eastAsia="宋体" w:cs="宋体"/>
          <w:sz w:val="24"/>
          <w:szCs w:val="24"/>
        </w:rPr>
        <w:t xml:space="preserve">的范围内。正向指标的含义就是相对值越高其所反映的信息越多，那么它的权重就越大，1表示最好的值，0表示最差的值。各项指标均采用绝对值形式，均为负向指标，即波动率越小越好，因此采用负向指标归一化方式。 </w:t>
      </w:r>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3）计算指标y</w:t>
      </w:r>
      <w:r>
        <w:rPr>
          <w:rFonts w:hint="eastAsia" w:ascii="宋体" w:hAnsi="宋体" w:eastAsia="宋体" w:cs="宋体"/>
          <w:sz w:val="24"/>
          <w:szCs w:val="24"/>
          <w:vertAlign w:val="subscript"/>
        </w:rPr>
        <w:t>ij</w:t>
      </w:r>
      <w:r>
        <w:rPr>
          <w:rFonts w:hint="eastAsia" w:ascii="宋体" w:hAnsi="宋体" w:eastAsia="宋体" w:cs="宋体"/>
          <w:sz w:val="24"/>
          <w:szCs w:val="24"/>
        </w:rPr>
        <w:t>的比率</w:t>
      </w:r>
      <w:r>
        <w:rPr>
          <w:rFonts w:hint="eastAsia" w:ascii="宋体" w:hAnsi="宋体" w:cs="宋体"/>
          <w:sz w:val="24"/>
          <w:szCs w:val="24"/>
          <w:lang w:eastAsia="zh-CN"/>
        </w:rPr>
        <w:t>，</w:t>
      </w:r>
      <w:r>
        <w:rPr>
          <w:rFonts w:hint="eastAsia" w:ascii="宋体" w:hAnsi="宋体" w:eastAsia="宋体" w:cs="宋体"/>
          <w:sz w:val="24"/>
          <w:szCs w:val="24"/>
        </w:rPr>
        <w:t>计算第j项指标</w:t>
      </w:r>
      <w:r>
        <w:rPr>
          <w:rFonts w:hint="eastAsia" w:ascii="宋体" w:hAnsi="宋体" w:cs="宋体"/>
          <w:sz w:val="24"/>
          <w:szCs w:val="24"/>
          <w:lang w:val="en-US" w:eastAsia="zh-CN"/>
        </w:rPr>
        <w:t>下</w:t>
      </w:r>
      <w:r>
        <w:rPr>
          <w:rFonts w:hint="eastAsia" w:ascii="宋体" w:hAnsi="宋体" w:eastAsia="宋体" w:cs="宋体"/>
          <w:sz w:val="24"/>
          <w:szCs w:val="24"/>
        </w:rPr>
        <w:t>，第i个对象占该指标的比重，即：</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g</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num>
          <m:den>
            <m:nary>
              <m:naryPr>
                <m:chr m:val="∑"/>
                <m:limLoc m:val="undOvr"/>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i/>
                    <w:sz w:val="24"/>
                    <w:szCs w:val="24"/>
                  </w:rPr>
                </m:ctrlPr>
              </m:sup>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nary>
            <m:ctrlPr>
              <w:rPr>
                <w:rFonts w:hint="eastAsia" w:ascii="Cambria Math" w:hAnsi="Cambria Math" w:eastAsia="宋体" w:cs="宋体"/>
                <w:i/>
                <w:sz w:val="24"/>
                <w:szCs w:val="24"/>
              </w:rPr>
            </m:ctrlPr>
          </m:den>
        </m:f>
      </m:oMath>
      <w:r>
        <w:rPr>
          <w:rFonts w:hint="eastAsia" w:ascii="宋体" w:hAnsi="宋体" w:eastAsia="宋体" w:cs="宋体"/>
          <w:sz w:val="24"/>
          <w:szCs w:val="24"/>
        </w:rPr>
        <w:t xml:space="preserve">式中， </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表示为第i个月，第j项指标； </w:t>
      </w:r>
      <m:oMath>
        <m:nary>
          <m:naryPr>
            <m:chr m:val="∑"/>
            <m:limLoc m:val="undOvr"/>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i/>
                <w:sz w:val="24"/>
                <w:szCs w:val="24"/>
              </w:rPr>
            </m:ctrlPr>
          </m:sup>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nary>
      </m:oMath>
      <w:r>
        <w:rPr>
          <w:rFonts w:hint="eastAsia" w:ascii="宋体" w:hAnsi="宋体" w:eastAsia="宋体" w:cs="宋体"/>
          <w:sz w:val="24"/>
          <w:szCs w:val="24"/>
        </w:rPr>
        <w:t xml:space="preserve">表示在第j项指标下，m个月的风险值之和。 </w:t>
      </w:r>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4）计算指标</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oMath>
      <w:r>
        <w:rPr>
          <w:rFonts w:hint="eastAsia" w:ascii="宋体" w:hAnsi="宋体" w:eastAsia="宋体" w:cs="宋体"/>
          <w:sz w:val="24"/>
          <w:szCs w:val="24"/>
        </w:rPr>
        <w:t>的熵权值，即：</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yi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r>
              <m:rPr/>
              <w:rPr>
                <w:rFonts w:hint="eastAsia" w:ascii="Cambria Math" w:hAnsi="Cambria Math" w:eastAsia="宋体" w:cs="宋体"/>
                <w:sz w:val="24"/>
                <w:szCs w:val="24"/>
              </w:rPr>
              <m:t>1</m:t>
            </m:r>
            <m:ctrlPr>
              <w:rPr>
                <w:rFonts w:hint="eastAsia" w:ascii="Cambria Math" w:hAnsi="Cambria Math" w:eastAsia="宋体" w:cs="宋体"/>
                <w:i/>
                <w:sz w:val="24"/>
                <w:szCs w:val="24"/>
              </w:rPr>
            </m:ctrlPr>
          </m:num>
          <m:den>
            <m:func>
              <m:funcPr>
                <m:ctrlPr>
                  <w:rPr>
                    <w:rFonts w:hint="eastAsia" w:ascii="Cambria Math" w:hAnsi="Cambria Math" w:eastAsia="宋体" w:cs="宋体"/>
                    <w:i/>
                    <w:sz w:val="24"/>
                    <w:szCs w:val="24"/>
                  </w:rPr>
                </m:ctrlPr>
              </m:funcPr>
              <m:fName>
                <m:r>
                  <m:rPr>
                    <m:sty m:val="p"/>
                  </m:rPr>
                  <w:rPr>
                    <w:rFonts w:hint="eastAsia" w:ascii="Cambria Math" w:hAnsi="Cambria Math" w:eastAsia="宋体" w:cs="宋体"/>
                    <w:sz w:val="24"/>
                    <w:szCs w:val="24"/>
                  </w:rPr>
                  <m:t>ln</m:t>
                </m:r>
                <m:ctrlPr>
                  <w:rPr>
                    <w:rFonts w:hint="eastAsia" w:ascii="Cambria Math" w:hAnsi="Cambria Math" w:eastAsia="宋体" w:cs="宋体"/>
                    <w:i/>
                    <w:sz w:val="24"/>
                    <w:szCs w:val="24"/>
                  </w:rPr>
                </m:ctrlPr>
              </m:fName>
              <m:e>
                <m:r>
                  <m:rPr/>
                  <w:rPr>
                    <w:rFonts w:hint="eastAsia" w:ascii="Cambria Math" w:hAnsi="Cambria Math" w:eastAsia="宋体" w:cs="宋体"/>
                    <w:sz w:val="24"/>
                    <w:szCs w:val="24"/>
                  </w:rPr>
                  <m:t>m</m:t>
                </m:r>
                <m:ctrlPr>
                  <w:rPr>
                    <w:rFonts w:hint="eastAsia" w:ascii="Cambria Math" w:hAnsi="Cambria Math" w:eastAsia="宋体" w:cs="宋体"/>
                    <w:i/>
                    <w:sz w:val="24"/>
                    <w:szCs w:val="24"/>
                  </w:rPr>
                </m:ctrlPr>
              </m:e>
            </m:func>
            <m:nary>
              <m:naryPr>
                <m:chr m:val="∑"/>
                <m:limLoc m:val="undOvr"/>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i/>
                    <w:sz w:val="24"/>
                    <w:szCs w:val="24"/>
                  </w:rPr>
                </m:ctrlPr>
              </m:sup>
              <m:e>
                <m:r>
                  <m:rPr/>
                  <w:rPr>
                    <w:rFonts w:hint="eastAsia" w:ascii="Cambria Math" w:hAnsi="Cambria Math" w:eastAsia="宋体" w:cs="宋体"/>
                    <w:sz w:val="24"/>
                    <w:szCs w:val="24"/>
                  </w:rPr>
                  <m:t>(</m:t>
                </m:r>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g</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func>
                  <m:funcPr>
                    <m:ctrlPr>
                      <w:rPr>
                        <w:rFonts w:hint="eastAsia" w:ascii="Cambria Math" w:hAnsi="Cambria Math" w:eastAsia="宋体" w:cs="宋体"/>
                        <w:i/>
                        <w:sz w:val="24"/>
                        <w:szCs w:val="24"/>
                      </w:rPr>
                    </m:ctrlPr>
                  </m:funcPr>
                  <m:fName>
                    <m:r>
                      <m:rPr>
                        <m:sty m:val="p"/>
                      </m:rPr>
                      <w:rPr>
                        <w:rFonts w:hint="eastAsia" w:ascii="Cambria Math" w:hAnsi="Cambria Math" w:eastAsia="宋体" w:cs="宋体"/>
                        <w:sz w:val="24"/>
                        <w:szCs w:val="24"/>
                      </w:rPr>
                      <m:t>ln</m:t>
                    </m:r>
                    <m:ctrlPr>
                      <w:rPr>
                        <w:rFonts w:hint="eastAsia" w:ascii="Cambria Math" w:hAnsi="Cambria Math" w:eastAsia="宋体" w:cs="宋体"/>
                        <w:i/>
                        <w:sz w:val="24"/>
                        <w:szCs w:val="24"/>
                      </w:rPr>
                    </m:ctrlPr>
                  </m:fName>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g</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func>
                <m:r>
                  <m:rPr/>
                  <w:rPr>
                    <w:rFonts w:hint="eastAsia" w:ascii="Cambria Math" w:hAnsi="Cambria Math" w:eastAsia="宋体" w:cs="宋体"/>
                    <w:sz w:val="24"/>
                    <w:szCs w:val="24"/>
                  </w:rPr>
                  <m:t>)</m:t>
                </m:r>
                <m:ctrlPr>
                  <w:rPr>
                    <w:rFonts w:hint="eastAsia" w:ascii="Cambria Math" w:hAnsi="Cambria Math" w:eastAsia="宋体" w:cs="宋体"/>
                    <w:i/>
                    <w:sz w:val="24"/>
                    <w:szCs w:val="24"/>
                  </w:rPr>
                </m:ctrlPr>
              </m:e>
            </m:nary>
            <m:ctrlPr>
              <w:rPr>
                <w:rFonts w:hint="eastAsia" w:ascii="Cambria Math" w:hAnsi="Cambria Math" w:eastAsia="宋体" w:cs="宋体"/>
                <w:i/>
                <w:sz w:val="24"/>
                <w:szCs w:val="24"/>
              </w:rPr>
            </m:ctrlPr>
          </m:den>
        </m:f>
      </m:oMath>
      <w:r>
        <w:rPr>
          <w:rFonts w:hint="eastAsia" w:ascii="宋体" w:hAnsi="宋体" w:eastAsia="宋体" w:cs="宋体"/>
          <w:sz w:val="24"/>
          <w:szCs w:val="24"/>
        </w:rPr>
        <w:t xml:space="preserve">其中有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yi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w:sym w:font="Symbol" w:char="F0CE"/>
        </m:r>
        <m:r>
          <m:rPr>
            <m:sty m:val="p"/>
          </m:rPr>
          <w:rPr>
            <w:rFonts w:hint="eastAsia" w:ascii="Cambria Math" w:hAnsi="Cambria Math" w:eastAsia="宋体" w:cs="宋体"/>
            <w:sz w:val="24"/>
            <w:szCs w:val="24"/>
          </w:rPr>
          <m:t>[0,1]</m:t>
        </m:r>
      </m:oMath>
      <w:r>
        <w:rPr>
          <w:rFonts w:hint="eastAsia" w:ascii="宋体" w:hAnsi="宋体" w:eastAsia="宋体" w:cs="宋体"/>
          <w:sz w:val="24"/>
          <w:szCs w:val="24"/>
        </w:rPr>
        <w:t xml:space="preserve"> 。 </w:t>
      </w:r>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5）计算指标</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oMath>
      <w:r>
        <w:rPr>
          <w:rFonts w:hint="eastAsia" w:ascii="宋体" w:hAnsi="宋体" w:eastAsia="宋体" w:cs="宋体"/>
          <w:sz w:val="24"/>
          <w:szCs w:val="24"/>
        </w:rPr>
        <w:t>的差异性系数，即：</w:t>
      </w:r>
      <m:oMath>
        <m:r>
          <m:rPr>
            <m:sty m:val="p"/>
          </m:rPr>
          <w:rPr>
            <w:rFonts w:hint="eastAsia" w:ascii="Cambria Math" w:hAnsi="Cambria Math" w:eastAsia="宋体" w:cs="宋体"/>
            <w:sz w:val="24"/>
            <w:szCs w:val="24"/>
          </w:rPr>
          <m:t xml:space="preserve"> </m:t>
        </m:r>
        <m:r>
          <m:rPr>
            <m:sty m:val="p"/>
          </m:rPr>
          <w:rPr>
            <w:rFonts w:hint="eastAsia" w:ascii="Cambria Math" w:hAnsi="Cambria Math" w:eastAsia="宋体" w:cs="宋体"/>
            <w:sz w:val="24"/>
            <w:szCs w:val="24"/>
          </w:rPr>
          <w:sym w:font="Symbol" w:char="F071"/>
        </m:r>
        <m:r>
          <m:rPr>
            <m:sty m:val="p"/>
          </m:rPr>
          <w:rPr>
            <w:rFonts w:hint="eastAsia" w:ascii="Cambria Math" w:hAnsi="Cambria Math" w:eastAsia="宋体" w:cs="宋体"/>
            <w:sz w:val="24"/>
            <w:szCs w:val="24"/>
            <w:vertAlign w:val="subscript"/>
          </w:rPr>
          <m:t>yi=1−</m:t>
        </m:r>
        <m:sSub>
          <m:sSubPr>
            <m:ctrlPr>
              <w:rPr>
                <w:rFonts w:hint="eastAsia" w:ascii="Cambria Math" w:hAnsi="Cambria Math" w:eastAsia="宋体" w:cs="宋体"/>
                <w:sz w:val="24"/>
                <w:szCs w:val="24"/>
                <w:vertAlign w:val="subscript"/>
              </w:rPr>
            </m:ctrlPr>
          </m:sSubPr>
          <m:e>
            <m:r>
              <m:rPr/>
              <w:rPr>
                <w:rFonts w:hint="eastAsia" w:ascii="Cambria Math" w:hAnsi="Cambria Math" w:eastAsia="宋体" w:cs="宋体"/>
                <w:sz w:val="24"/>
                <w:szCs w:val="24"/>
                <w:vertAlign w:val="subscript"/>
              </w:rPr>
              <m:t>f</m:t>
            </m:r>
            <m:ctrlPr>
              <w:rPr>
                <w:rFonts w:hint="eastAsia" w:ascii="Cambria Math" w:hAnsi="Cambria Math" w:eastAsia="宋体" w:cs="宋体"/>
                <w:sz w:val="24"/>
                <w:szCs w:val="24"/>
                <w:vertAlign w:val="subscript"/>
              </w:rPr>
            </m:ctrlPr>
          </m:e>
          <m:sub>
            <m:r>
              <m:rPr/>
              <w:rPr>
                <w:rFonts w:hint="eastAsia" w:ascii="Cambria Math" w:hAnsi="Cambria Math" w:eastAsia="宋体" w:cs="宋体"/>
                <w:sz w:val="24"/>
                <w:szCs w:val="24"/>
                <w:vertAlign w:val="subscript"/>
              </w:rPr>
              <m:t>yi</m:t>
            </m:r>
            <m:ctrlPr>
              <w:rPr>
                <w:rFonts w:hint="eastAsia" w:ascii="Cambria Math" w:hAnsi="Cambria Math" w:eastAsia="宋体" w:cs="宋体"/>
                <w:sz w:val="24"/>
                <w:szCs w:val="24"/>
                <w:vertAlign w:val="subscript"/>
              </w:rPr>
            </m:ctrlPr>
          </m:sub>
        </m:sSub>
      </m:oMath>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6）计算指标 </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oMath>
      <w:r>
        <w:rPr>
          <w:rFonts w:hint="eastAsia" w:ascii="宋体" w:hAnsi="宋体" w:eastAsia="宋体" w:cs="宋体"/>
          <w:sz w:val="24"/>
          <w:szCs w:val="24"/>
        </w:rPr>
        <w:t>对应的熵权系数，即：</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sSub>
              <m:sSubPr>
                <m:ctrlPr>
                  <w:rPr>
                    <w:rFonts w:hint="eastAsia" w:ascii="Cambria Math" w:hAnsi="Cambria Math" w:eastAsia="宋体" w:cs="宋体"/>
                    <w:i/>
                    <w:sz w:val="24"/>
                    <w:szCs w:val="24"/>
                  </w:rPr>
                </m:ctrlPr>
              </m:sSubPr>
              <m:e>
                <m:r>
                  <m:rPr>
                    <m:sty m:val="p"/>
                  </m:rPr>
                  <w:rPr>
                    <w:rFonts w:hint="eastAsia" w:ascii="Cambria Math" w:hAnsi="Cambria Math" w:eastAsia="宋体" w:cs="宋体"/>
                    <w:sz w:val="24"/>
                    <w:szCs w:val="24"/>
                  </w:rPr>
                  <w:sym w:font="Symbol" w:char="F071"/>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yi</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num>
          <m:den>
            <m:nary>
              <m:naryPr>
                <m:chr m:val="∑"/>
                <m:limLoc m:val="undOvr"/>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i/>
                    <w:sz w:val="24"/>
                    <w:szCs w:val="24"/>
                  </w:rPr>
                </m:ctrlPr>
              </m:sup>
              <m:e>
                <m:sSub>
                  <m:sSubPr>
                    <m:ctrlPr>
                      <w:rPr>
                        <w:rFonts w:hint="eastAsia" w:ascii="Cambria Math" w:hAnsi="Cambria Math" w:eastAsia="宋体" w:cs="宋体"/>
                        <w:i/>
                        <w:sz w:val="24"/>
                        <w:szCs w:val="24"/>
                      </w:rPr>
                    </m:ctrlPr>
                  </m:sSubPr>
                  <m:e>
                    <m:r>
                      <m:rPr>
                        <m:sty m:val="p"/>
                      </m:rPr>
                      <w:rPr>
                        <w:rFonts w:hint="eastAsia" w:ascii="Cambria Math" w:hAnsi="Cambria Math" w:eastAsia="宋体" w:cs="宋体"/>
                        <w:sz w:val="24"/>
                        <w:szCs w:val="24"/>
                      </w:rPr>
                      <w:sym w:font="Symbol" w:char="F071"/>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yi</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nary>
            <m:ctrlPr>
              <w:rPr>
                <w:rFonts w:hint="eastAsia" w:ascii="Cambria Math" w:hAnsi="Cambria Math" w:eastAsia="宋体" w:cs="宋体"/>
                <w:i/>
                <w:sz w:val="24"/>
                <w:szCs w:val="24"/>
              </w:rPr>
            </m:ctrlPr>
          </m:den>
        </m:f>
      </m:oMath>
      <w:r>
        <w:rPr>
          <w:rFonts w:hint="eastAsia" w:ascii="宋体" w:hAnsi="宋体" w:eastAsia="宋体" w:cs="宋体"/>
          <w:sz w:val="24"/>
          <w:szCs w:val="24"/>
        </w:rPr>
        <w:t xml:space="preserve"> 且有</w:t>
      </w:r>
      <m:oMath>
        <m:nary>
          <m:naryPr>
            <m:chr m:val="∑"/>
            <m:limLoc m:val="undOvr"/>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i/>
                <w:sz w:val="24"/>
                <w:szCs w:val="24"/>
              </w:rPr>
            </m:ctrlPr>
          </m:sup>
          <m:e>
            <m:sSub>
              <m:sSubPr>
                <m:ctrlPr>
                  <w:rPr>
                    <w:rFonts w:hint="eastAsia" w:ascii="Cambria Math" w:hAnsi="Cambria Math" w:eastAsia="宋体" w:cs="宋体"/>
                    <w:i/>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i/>
                    <w:sz w:val="24"/>
                    <w:szCs w:val="24"/>
                  </w:rPr>
                </m:ctrlPr>
              </m:sub>
            </m:sSub>
            <m:r>
              <m:rPr/>
              <w:rPr>
                <w:rFonts w:hint="eastAsia" w:ascii="Cambria Math" w:hAnsi="Cambria Math" w:eastAsia="宋体" w:cs="宋体"/>
                <w:sz w:val="24"/>
                <w:szCs w:val="24"/>
              </w:rPr>
              <m:t>=1</m:t>
            </m:r>
            <m:ctrlPr>
              <w:rPr>
                <w:rFonts w:hint="eastAsia" w:ascii="Cambria Math" w:hAnsi="Cambria Math" w:eastAsia="宋体" w:cs="宋体"/>
                <w:i/>
                <w:sz w:val="24"/>
                <w:szCs w:val="24"/>
              </w:rPr>
            </m:ctrlPr>
          </m:e>
        </m:nary>
      </m:oMath>
      <w:r>
        <w:rPr>
          <w:rFonts w:hint="eastAsia" w:ascii="宋体" w:hAnsi="宋体" w:eastAsia="宋体" w:cs="宋体"/>
          <w:sz w:val="24"/>
          <w:szCs w:val="24"/>
        </w:rPr>
        <w:t>。</w:t>
      </w:r>
    </w:p>
    <w:p>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7）计算综合指标</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，即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nary>
          <m:naryPr>
            <m:chr m:val="∑"/>
            <m:limLoc m:val="undOvr"/>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i/>
                <w:sz w:val="24"/>
                <w:szCs w:val="24"/>
              </w:rPr>
            </m:ctrlPr>
          </m:sup>
          <m:e>
            <m:sSub>
              <m:sSubPr>
                <m:ctrlPr>
                  <w:rPr>
                    <w:rFonts w:hint="eastAsia" w:ascii="Cambria Math" w:hAnsi="Cambria Math" w:eastAsia="宋体" w:cs="宋体"/>
                    <w:i/>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i/>
                    <w:sz w:val="24"/>
                    <w:szCs w:val="24"/>
                  </w:rPr>
                </m:ctrlPr>
              </m:sub>
            </m:sSub>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ctrlPr>
              <w:rPr>
                <w:rFonts w:hint="eastAsia" w:ascii="Cambria Math" w:hAnsi="Cambria Math" w:eastAsia="宋体" w:cs="宋体"/>
                <w:i/>
                <w:sz w:val="24"/>
                <w:szCs w:val="24"/>
              </w:rPr>
            </m:ctrlPr>
          </m:e>
        </m:nary>
      </m:oMath>
      <w:r>
        <w:rPr>
          <w:rFonts w:hint="eastAsia" w:ascii="宋体" w:hAnsi="宋体" w:eastAsia="宋体" w:cs="宋体"/>
          <w:sz w:val="24"/>
          <w:szCs w:val="24"/>
        </w:rPr>
        <w:t>(j=1,2,…,n)。</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4.2.3 电力远期合同-现货市场联合运营生产模拟模型</w:t>
      </w:r>
    </w:p>
    <w:p>
      <w:pPr>
        <w:adjustRightInd w:val="0"/>
        <w:snapToGrid w:val="0"/>
        <w:spacing w:line="360" w:lineRule="auto"/>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为了求取各市场主体的效益评估指标，需确定中标电量、节点电价、金融合约电量，而这三者与电力远期合同-现货市场联合运营生产模拟运行有关。因此</w:t>
      </w:r>
      <w:r>
        <w:rPr>
          <w:rFonts w:hint="eastAsia" w:ascii="宋体" w:hAnsi="宋体" w:cs="宋体"/>
          <w:color w:val="000000"/>
          <w:sz w:val="24"/>
          <w:szCs w:val="24"/>
          <w:lang w:eastAsia="zh-CN"/>
        </w:rPr>
        <w:t>，</w:t>
      </w:r>
      <w:r>
        <w:rPr>
          <w:rFonts w:hint="eastAsia" w:ascii="宋体" w:hAnsi="宋体" w:cs="宋体"/>
          <w:color w:val="000000"/>
          <w:sz w:val="24"/>
          <w:szCs w:val="24"/>
          <w:lang w:val="en-US" w:eastAsia="zh-CN"/>
        </w:rPr>
        <w:t>需要</w:t>
      </w:r>
      <w:r>
        <w:rPr>
          <w:rFonts w:hint="eastAsia" w:ascii="宋体" w:hAnsi="宋体" w:eastAsia="宋体" w:cs="宋体"/>
          <w:color w:val="000000"/>
          <w:sz w:val="24"/>
          <w:szCs w:val="24"/>
        </w:rPr>
        <w:t>构建电力远期合同-现货市场联合运营生产的效益指标计算模型，通过求解模型确定风电机组在中长期各时段的出清结果，以及各时段节点电价。计算模型</w:t>
      </w:r>
      <w:r>
        <w:rPr>
          <w:rFonts w:hint="eastAsia" w:ascii="宋体" w:hAnsi="宋体" w:cs="宋体"/>
          <w:color w:val="000000"/>
          <w:sz w:val="24"/>
          <w:szCs w:val="24"/>
          <w:lang w:val="en-US" w:eastAsia="zh-CN"/>
        </w:rPr>
        <w:t>可以抽象成目标函数，约束条件两个部分，其理论与可行性方法如下描述</w:t>
      </w:r>
      <w:r>
        <w:rPr>
          <w:rFonts w:hint="eastAsia" w:ascii="宋体" w:hAnsi="宋体" w:eastAsia="宋体" w:cs="宋体"/>
          <w:color w:val="000000"/>
          <w:sz w:val="24"/>
          <w:szCs w:val="24"/>
        </w:rPr>
        <w:t>。</w:t>
      </w:r>
    </w:p>
    <w:p>
      <w:pPr>
        <w:numPr>
          <w:ilvl w:val="0"/>
          <w:numId w:val="0"/>
        </w:numPr>
        <w:adjustRightInd w:val="0"/>
        <w:snapToGrid w:val="0"/>
        <w:spacing w:line="360" w:lineRule="auto"/>
        <w:ind w:left="480" w:leftChars="0"/>
        <w:rPr>
          <w:rFonts w:hint="eastAsia" w:ascii="宋体" w:hAnsi="宋体" w:eastAsia="宋体" w:cs="宋体"/>
          <w:color w:val="000000"/>
          <w:sz w:val="24"/>
          <w:szCs w:val="24"/>
        </w:rPr>
      </w:pPr>
      <w:r>
        <w:rPr>
          <w:rFonts w:hint="eastAsia" w:ascii="宋体" w:hAnsi="宋体" w:cs="宋体"/>
          <w:color w:val="000000"/>
          <w:sz w:val="24"/>
          <w:szCs w:val="24"/>
          <w:lang w:eastAsia="zh-CN"/>
        </w:rPr>
        <w:t>（</w:t>
      </w:r>
      <w:r>
        <w:rPr>
          <w:rFonts w:hint="eastAsia" w:ascii="宋体" w:hAnsi="宋体" w:cs="宋体"/>
          <w:color w:val="000000"/>
          <w:sz w:val="24"/>
          <w:szCs w:val="24"/>
          <w:lang w:val="en-US" w:eastAsia="zh-CN"/>
        </w:rPr>
        <w:t>1</w:t>
      </w:r>
      <w:r>
        <w:rPr>
          <w:rFonts w:hint="eastAsia" w:ascii="宋体" w:hAnsi="宋体" w:cs="宋体"/>
          <w:color w:val="000000"/>
          <w:sz w:val="24"/>
          <w:szCs w:val="24"/>
          <w:lang w:eastAsia="zh-CN"/>
        </w:rPr>
        <w:t>）</w:t>
      </w:r>
      <w:r>
        <w:rPr>
          <w:rFonts w:hint="eastAsia" w:ascii="宋体" w:hAnsi="宋体" w:eastAsia="宋体" w:cs="宋体"/>
          <w:color w:val="000000"/>
          <w:sz w:val="24"/>
          <w:szCs w:val="24"/>
        </w:rPr>
        <w:t>目标函数</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电力远期合同-现货市场联合运营生产的效益指标计算模型以最小化系统总运营成本为目标，其目标函数如下所示：</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r>
          <m:rPr/>
          <w:rPr>
            <w:rFonts w:hint="eastAsia" w:ascii="Cambria Math" w:hAnsi="Cambria Math" w:eastAsia="宋体" w:cs="宋体"/>
            <w:color w:val="000000"/>
            <w:sz w:val="24"/>
            <w:szCs w:val="24"/>
          </w:rPr>
          <m:t>min</m:t>
        </m:r>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i=1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N</m:t>
            </m:r>
            <m:ctrlPr>
              <w:rPr>
                <w:rFonts w:hint="eastAsia" w:ascii="Cambria Math" w:hAnsi="Cambria Math" w:eastAsia="宋体" w:cs="宋体"/>
                <w:i/>
                <w:color w:val="000000"/>
                <w:sz w:val="24"/>
                <w:szCs w:val="24"/>
              </w:rPr>
            </m:ctrlPr>
          </m:sup>
          <m:e>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t=1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p>
              <m:e>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C</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C</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ctrlPr>
                  <w:rPr>
                    <w:rFonts w:hint="eastAsia" w:ascii="Cambria Math" w:hAnsi="Cambria Math" w:eastAsia="宋体" w:cs="宋体"/>
                    <w:i/>
                    <w:color w:val="000000"/>
                    <w:sz w:val="24"/>
                    <w:szCs w:val="24"/>
                  </w:rPr>
                </m:ctrlPr>
              </m:e>
            </m:nary>
            <m:ctrlPr>
              <w:rPr>
                <w:rFonts w:hint="eastAsia" w:ascii="Cambria Math" w:hAnsi="Cambria Math" w:eastAsia="宋体" w:cs="宋体"/>
                <w:i/>
                <w:color w:val="000000"/>
                <w:sz w:val="24"/>
                <w:szCs w:val="24"/>
              </w:rPr>
            </m:ctrlPr>
          </m:e>
        </m:nary>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6</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式中，N表示机组的总台数；T表示所考虑的总时段数，每月可考虑720、744 或672时段，则T为720、744或672；</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 xml:space="preserve">表示机组i在时间t的出力； </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C</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oMath>
      <w:r>
        <w:rPr>
          <w:rFonts w:hint="eastAsia" w:ascii="宋体" w:hAnsi="宋体" w:eastAsia="宋体" w:cs="宋体"/>
          <w:color w:val="000000"/>
          <w:sz w:val="24"/>
          <w:szCs w:val="24"/>
        </w:rPr>
        <w:t>、</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C</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分别是机组i在时间t的运行、启动成本，其中机组运行成本,</w:t>
      </w:r>
      <w:r>
        <w:rPr>
          <w:rFonts w:hint="eastAsia" w:ascii="宋体" w:hAnsi="宋体" w:eastAsia="宋体" w:cs="宋体"/>
          <w:i/>
          <w:color w:val="000000"/>
          <w:sz w:val="24"/>
          <w:szCs w:val="24"/>
        </w:rPr>
        <w:t xml:space="preserve"> </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C</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oMath>
      <w:r>
        <w:rPr>
          <w:rFonts w:hint="eastAsia" w:ascii="宋体" w:hAnsi="宋体" w:eastAsia="宋体" w:cs="宋体"/>
          <w:color w:val="000000"/>
          <w:sz w:val="24"/>
          <w:szCs w:val="24"/>
        </w:rPr>
        <w:t>是一个多段线性函数，与申报电量与电价有关。</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2</w:t>
      </w:r>
      <w:r>
        <w:rPr>
          <w:rFonts w:hint="eastAsia" w:ascii="宋体" w:hAnsi="宋体" w:eastAsia="宋体" w:cs="宋体"/>
          <w:color w:val="000000"/>
          <w:sz w:val="24"/>
          <w:szCs w:val="24"/>
        </w:rPr>
        <w:t>）约束条件</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1）系统功率平衡约束</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i=1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N</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w=1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W</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w,t</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ctrlPr>
              <w:rPr>
                <w:rFonts w:hint="eastAsia" w:ascii="Cambria Math" w:hAnsi="Cambria Math" w:eastAsia="宋体" w:cs="宋体"/>
                <w:i/>
                <w:color w:val="000000"/>
                <w:sz w:val="24"/>
                <w:szCs w:val="24"/>
              </w:rPr>
            </m:ctrlPr>
          </m:e>
        </m:nary>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7</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式中，</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表示机组i在时间t的出力，</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w,t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表示可再生能源机组w在时间t的出力，</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为时段 t 的系统负荷需求。</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2）系统正备用容量约束</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i=1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N</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8</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式中，</w:t>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是机组i在时间t的开停机状态,</w:t>
      </w:r>
      <w:r>
        <w:rPr>
          <w:rFonts w:hint="eastAsia" w:ascii="宋体" w:hAnsi="宋体" w:eastAsia="宋体" w:cs="宋体"/>
          <w:i/>
          <w:color w:val="000000"/>
          <w:sz w:val="24"/>
          <w:szCs w:val="24"/>
        </w:rPr>
        <w:t xml:space="preserve"> </w:t>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=0</m:t>
        </m:r>
      </m:oMath>
      <w:r>
        <w:rPr>
          <w:rFonts w:hint="eastAsia" w:ascii="宋体" w:hAnsi="宋体" w:eastAsia="宋体" w:cs="宋体"/>
          <w:color w:val="000000"/>
          <w:sz w:val="24"/>
          <w:szCs w:val="24"/>
        </w:rPr>
        <w:t>是机组停机状态,</w:t>
      </w:r>
      <w:r>
        <w:rPr>
          <w:rFonts w:hint="eastAsia" w:ascii="宋体" w:hAnsi="宋体" w:eastAsia="宋体" w:cs="宋体"/>
          <w:i/>
          <w:color w:val="000000"/>
          <w:sz w:val="24"/>
          <w:szCs w:val="24"/>
        </w:rPr>
        <w:t xml:space="preserve"> </w:t>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=1</m:t>
        </m:r>
      </m:oMath>
      <w:r>
        <w:rPr>
          <w:rFonts w:hint="eastAsia" w:ascii="宋体" w:hAnsi="宋体" w:eastAsia="宋体" w:cs="宋体"/>
          <w:color w:val="000000"/>
          <w:sz w:val="24"/>
          <w:szCs w:val="24"/>
        </w:rPr>
        <w:t>是机组开机状态；</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是机组i在时间t的最大输出功率；</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是时间t的系统需要的正备用容量。</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3）系统负备用容量约束</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i=1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N</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min</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9</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式中，</w:t>
      </w:r>
      <m:oMath>
        <m:r>
          <m:rPr/>
          <w:rPr>
            <w:rFonts w:hint="eastAsia" w:ascii="Cambria Math" w:hAnsi="Cambria Math" w:eastAsia="宋体" w:cs="宋体"/>
            <w:color w:val="000000"/>
            <w:sz w:val="24"/>
            <w:szCs w:val="24"/>
          </w:rPr>
          <m:t xml:space="preserve"> </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min</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是机组i在时间t的最小输出功率；</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是时间t的系统需要的负备用容量。</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4） 系统旋转备用约束</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利用旋转备用来出力可再生能源不确定性对系统的影响。其中，利用正旋转备用容量补偿由于高估可再生能源出力所造成的发电缺额：</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i=1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N</m:t>
            </m:r>
            <m:ctrlPr>
              <w:rPr>
                <w:rFonts w:hint="eastAsia" w:ascii="Cambria Math" w:hAnsi="Cambria Math" w:eastAsia="宋体" w:cs="宋体"/>
                <w:i/>
                <w:color w:val="000000"/>
                <w:sz w:val="24"/>
                <w:szCs w:val="24"/>
              </w:rPr>
            </m:ctrlPr>
          </m:sup>
          <m:e>
            <m:r>
              <m:rPr/>
              <w:rPr>
                <w:rFonts w:hint="eastAsia" w:ascii="Cambria Math" w:hAnsi="Cambria Math" w:eastAsia="宋体" w:cs="宋体"/>
                <w:color w:val="000000"/>
                <w:sz w:val="24"/>
                <w:szCs w:val="24"/>
              </w:rPr>
              <m:t>△S</m:t>
            </m:r>
            <m:ctrlPr>
              <w:rPr>
                <w:rFonts w:hint="eastAsia" w:ascii="Cambria Math" w:hAnsi="Cambria Math" w:eastAsia="宋体" w:cs="宋体"/>
                <w:i/>
                <w:color w:val="000000"/>
                <w:sz w:val="24"/>
                <w:szCs w:val="24"/>
              </w:rPr>
            </m:ctrlPr>
          </m:e>
        </m:nary>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w</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w=1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W</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w,t</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10</w:t>
      </w:r>
      <w:r>
        <w:rPr>
          <w:rFonts w:hint="eastAsia" w:ascii="宋体" w:hAnsi="宋体" w:eastAsia="宋体" w:cs="宋体"/>
          <w:color w:val="000000"/>
          <w:sz w:val="24"/>
          <w:szCs w:val="24"/>
        </w:rPr>
        <w:t>)</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r>
          <m:rPr/>
          <w:rPr>
            <w:rFonts w:hint="eastAsia" w:ascii="Cambria Math" w:hAnsi="Cambria Math" w:eastAsia="宋体" w:cs="宋体"/>
            <w:color w:val="000000"/>
            <w:sz w:val="24"/>
            <w:szCs w:val="24"/>
          </w:rPr>
          <m:t>0≤△S</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r>
          <m:rPr>
            <m:sty m:val="p"/>
          </m:rPr>
          <w:rPr>
            <w:rFonts w:hint="eastAsia" w:ascii="Cambria Math" w:hAnsi="Cambria Math" w:eastAsia="宋体" w:cs="宋体"/>
            <w:color w:val="000000"/>
            <w:sz w:val="24"/>
            <w:szCs w:val="24"/>
          </w:rPr>
          <m:t>min⁡</m:t>
        </m:r>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11</w:t>
      </w:r>
      <w:r>
        <w:rPr>
          <w:rFonts w:hint="eastAsia" w:ascii="宋体" w:hAnsi="宋体" w:eastAsia="宋体" w:cs="宋体"/>
          <w:color w:val="000000"/>
          <w:sz w:val="24"/>
          <w:szCs w:val="24"/>
        </w:rPr>
        <w:t>)</w:t>
      </w:r>
    </w:p>
    <w:p>
      <w:pPr>
        <w:adjustRightInd w:val="0"/>
        <w:snapToGrid w:val="0"/>
        <w:spacing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式中，</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w</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oMath>
      <w:r>
        <w:rPr>
          <w:rFonts w:hint="eastAsia" w:ascii="宋体" w:hAnsi="宋体" w:eastAsia="宋体" w:cs="宋体"/>
          <w:color w:val="000000"/>
          <w:sz w:val="24"/>
          <w:szCs w:val="24"/>
        </w:rPr>
        <w:t>为可再生能源出力对正旋转备用的需求系数；</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为常规机组的旋转备用响应时间，本模型取1h；</w:t>
      </w:r>
      <m:oMath>
        <m:r>
          <m:rPr/>
          <w:rPr>
            <w:rFonts w:hint="eastAsia" w:ascii="Cambria Math" w:hAnsi="Cambria Math" w:eastAsia="宋体" w:cs="宋体"/>
            <w:color w:val="000000"/>
            <w:sz w:val="24"/>
            <w:szCs w:val="24"/>
          </w:rPr>
          <m:t>△S</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为时间t上调旋转备用要求；</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为机组i最大上爬坡速率。</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i=1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N</m:t>
            </m:r>
            <m:ctrlPr>
              <w:rPr>
                <w:rFonts w:hint="eastAsia" w:ascii="Cambria Math" w:hAnsi="Cambria Math" w:eastAsia="宋体" w:cs="宋体"/>
                <w:i/>
                <w:color w:val="000000"/>
                <w:sz w:val="24"/>
                <w:szCs w:val="24"/>
              </w:rPr>
            </m:ctrlPr>
          </m:sup>
          <m:e>
            <m:r>
              <m:rPr/>
              <w:rPr>
                <w:rFonts w:hint="eastAsia" w:ascii="Cambria Math" w:hAnsi="Cambria Math" w:eastAsia="宋体" w:cs="宋体"/>
                <w:color w:val="000000"/>
                <w:sz w:val="24"/>
                <w:szCs w:val="24"/>
              </w:rPr>
              <m:t>△S</m:t>
            </m:r>
            <m:ctrlPr>
              <w:rPr>
                <w:rFonts w:hint="eastAsia" w:ascii="Cambria Math" w:hAnsi="Cambria Math" w:eastAsia="宋体" w:cs="宋体"/>
                <w:i/>
                <w:color w:val="000000"/>
                <w:sz w:val="24"/>
                <w:szCs w:val="24"/>
              </w:rPr>
            </m:ctrlPr>
          </m:e>
        </m:nary>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w</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w=1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W</m:t>
            </m:r>
            <m:ctrlPr>
              <w:rPr>
                <w:rFonts w:hint="eastAsia" w:ascii="Cambria Math" w:hAnsi="Cambria Math" w:eastAsia="宋体" w:cs="宋体"/>
                <w:i/>
                <w:color w:val="000000"/>
                <w:sz w:val="24"/>
                <w:szCs w:val="24"/>
              </w:rPr>
            </m:ctrlPr>
          </m:sup>
          <m:e>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w,t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f</m:t>
                </m:r>
                <m:ctrlPr>
                  <w:rPr>
                    <w:rFonts w:hint="eastAsia" w:ascii="Cambria Math" w:hAnsi="Cambria Math" w:eastAsia="宋体" w:cs="宋体"/>
                    <w:i/>
                    <w:color w:val="000000"/>
                    <w:sz w:val="24"/>
                    <w:szCs w:val="24"/>
                  </w:rPr>
                </m:ctrlPr>
              </m:sup>
            </m:sSubSup>
            <m:ctrlPr>
              <w:rPr>
                <w:rFonts w:hint="eastAsia" w:ascii="Cambria Math" w:hAnsi="Cambria Math" w:eastAsia="宋体" w:cs="宋体"/>
                <w:i/>
                <w:color w:val="000000"/>
                <w:sz w:val="24"/>
                <w:szCs w:val="24"/>
              </w:rPr>
            </m:ctrlPr>
          </m:e>
        </m:nary>
        <m:r>
          <m:rPr/>
          <w:rPr>
            <w:rFonts w:hint="eastAsia" w:ascii="Cambria Math" w:hAnsi="Cambria Math" w:eastAsia="宋体" w:cs="宋体"/>
            <w:color w:val="000000"/>
            <w:sz w:val="24"/>
            <w:szCs w:val="24"/>
          </w:rPr>
          <m:t>−</m:t>
        </m:r>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w=1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W</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w,t</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12</w:t>
      </w:r>
      <w:r>
        <w:rPr>
          <w:rFonts w:hint="eastAsia" w:ascii="宋体" w:hAnsi="宋体" w:eastAsia="宋体" w:cs="宋体"/>
          <w:color w:val="000000"/>
          <w:sz w:val="24"/>
          <w:szCs w:val="24"/>
        </w:rPr>
        <w:t>)</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r>
          <m:rPr/>
          <w:rPr>
            <w:rFonts w:hint="eastAsia" w:ascii="Cambria Math" w:hAnsi="Cambria Math" w:eastAsia="宋体" w:cs="宋体"/>
            <w:color w:val="000000"/>
            <w:sz w:val="24"/>
            <w:szCs w:val="24"/>
          </w:rPr>
          <m:t>0≤△S</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r>
          <m:rPr>
            <m:sty m:val="p"/>
          </m:rPr>
          <w:rPr>
            <w:rFonts w:hint="eastAsia" w:ascii="Cambria Math" w:hAnsi="Cambria Math" w:eastAsia="宋体" w:cs="宋体"/>
            <w:color w:val="000000"/>
            <w:sz w:val="24"/>
            <w:szCs w:val="24"/>
          </w:rPr>
          <m:t>min⁡</m:t>
        </m:r>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min</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13</w:t>
      </w:r>
      <w:r>
        <w:rPr>
          <w:rFonts w:hint="eastAsia" w:ascii="宋体" w:hAnsi="宋体" w:eastAsia="宋体" w:cs="宋体"/>
          <w:color w:val="000000"/>
          <w:sz w:val="24"/>
          <w:szCs w:val="24"/>
        </w:rPr>
        <w:t>)</w:t>
      </w:r>
    </w:p>
    <w:p>
      <w:pPr>
        <w:adjustRightInd w:val="0"/>
        <w:snapToGrid w:val="0"/>
        <w:spacing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式中，</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w</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oMath>
      <w:r>
        <w:rPr>
          <w:rFonts w:hint="eastAsia" w:ascii="宋体" w:hAnsi="宋体" w:eastAsia="宋体" w:cs="宋体"/>
          <w:color w:val="000000"/>
          <w:sz w:val="24"/>
          <w:szCs w:val="24"/>
        </w:rPr>
        <w:t>为可再生能源出力对负旋转备用的需求系数；</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w,t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f</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为可再生能源机组w的预测出力；</w:t>
      </w:r>
      <m:oMath>
        <m:r>
          <m:rPr/>
          <w:rPr>
            <w:rFonts w:hint="eastAsia" w:ascii="Cambria Math" w:hAnsi="Cambria Math" w:eastAsia="宋体" w:cs="宋体"/>
            <w:color w:val="000000"/>
            <w:sz w:val="24"/>
            <w:szCs w:val="24"/>
          </w:rPr>
          <m:t>△S</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R</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为时间t上调旋转备用要求；</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为机组i最大爬坡速率。</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（5）机组出力上下限约束</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min</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14</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（6）机组爬坡约束</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i,t−1</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i,t−1</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min</m:t>
            </m:r>
            <m:ctrlPr>
              <w:rPr>
                <w:rFonts w:hint="eastAsia" w:ascii="Cambria Math" w:hAnsi="Cambria Math" w:eastAsia="宋体" w:cs="宋体"/>
                <w:i/>
                <w:color w:val="000000"/>
                <w:sz w:val="24"/>
                <w:szCs w:val="24"/>
              </w:rPr>
            </m:ctrlPr>
          </m:sup>
        </m:sSubSup>
        <m:d>
          <m:dPr>
            <m:ctrlPr>
              <w:rPr>
                <w:rFonts w:hint="eastAsia" w:ascii="Cambria Math" w:hAnsi="Cambria Math" w:eastAsia="宋体" w:cs="宋体"/>
                <w:i/>
                <w:color w:val="000000"/>
                <w:sz w:val="24"/>
                <w:szCs w:val="24"/>
              </w:rPr>
            </m:ctrlPr>
          </m:dPr>
          <m:e>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i,t−1</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d>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d>
          <m:dPr>
            <m:ctrlPr>
              <w:rPr>
                <w:rFonts w:hint="eastAsia" w:ascii="Cambria Math" w:hAnsi="Cambria Math" w:eastAsia="宋体" w:cs="宋体"/>
                <w:i/>
                <w:color w:val="000000"/>
                <w:sz w:val="24"/>
                <w:szCs w:val="24"/>
              </w:rPr>
            </m:ctrlPr>
          </m:dPr>
          <m:e>
            <m:r>
              <m:rPr/>
              <w:rPr>
                <w:rFonts w:hint="eastAsia" w:ascii="Cambria Math" w:hAnsi="Cambria Math" w:eastAsia="宋体" w:cs="宋体"/>
                <w:color w:val="000000"/>
                <w:sz w:val="24"/>
                <w:szCs w:val="24"/>
              </w:rPr>
              <m:t>1−</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d>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15</w:t>
      </w:r>
      <w:r>
        <w:rPr>
          <w:rFonts w:hint="eastAsia" w:ascii="宋体" w:hAnsi="宋体" w:eastAsia="宋体" w:cs="宋体"/>
          <w:color w:val="000000"/>
          <w:sz w:val="24"/>
          <w:szCs w:val="24"/>
        </w:rPr>
        <w:t>)</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i,t−1</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min</m:t>
            </m:r>
            <m:ctrlPr>
              <w:rPr>
                <w:rFonts w:hint="eastAsia" w:ascii="Cambria Math" w:hAnsi="Cambria Math" w:eastAsia="宋体" w:cs="宋体"/>
                <w:i/>
                <w:color w:val="000000"/>
                <w:sz w:val="24"/>
                <w:szCs w:val="24"/>
              </w:rPr>
            </m:ctrlPr>
          </m:sup>
        </m:sSubSup>
        <m:d>
          <m:dPr>
            <m:ctrlPr>
              <w:rPr>
                <w:rFonts w:hint="eastAsia" w:ascii="Cambria Math" w:hAnsi="Cambria Math" w:eastAsia="宋体" w:cs="宋体"/>
                <w:i/>
                <w:color w:val="000000"/>
                <w:sz w:val="24"/>
                <w:szCs w:val="24"/>
              </w:rPr>
            </m:ctrlPr>
          </m:dPr>
          <m:e>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i,t−1</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d>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d>
          <m:dPr>
            <m:ctrlPr>
              <w:rPr>
                <w:rFonts w:hint="eastAsia" w:ascii="Cambria Math" w:hAnsi="Cambria Math" w:eastAsia="宋体" w:cs="宋体"/>
                <w:i/>
                <w:color w:val="000000"/>
                <w:sz w:val="24"/>
                <w:szCs w:val="24"/>
              </w:rPr>
            </m:ctrlPr>
          </m:dPr>
          <m:e>
            <m:r>
              <m:rPr/>
              <w:rPr>
                <w:rFonts w:hint="eastAsia" w:ascii="Cambria Math" w:hAnsi="Cambria Math" w:eastAsia="宋体" w:cs="宋体"/>
                <w:color w:val="000000"/>
                <w:sz w:val="24"/>
                <w:szCs w:val="24"/>
              </w:rPr>
              <m:t>1−</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i,t−1</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d>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16</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（7）机组最小连续开停时间约束</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i,t−1</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≥0</m:t>
        </m:r>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17</w:t>
      </w:r>
      <w:r>
        <w:rPr>
          <w:rFonts w:hint="eastAsia" w:ascii="宋体" w:hAnsi="宋体" w:eastAsia="宋体" w:cs="宋体"/>
          <w:color w:val="000000"/>
          <w:sz w:val="24"/>
          <w:szCs w:val="24"/>
        </w:rPr>
        <w:t>)</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i,t−1</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≥0</m:t>
        </m:r>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18</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式中，</w:t>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为机组i在时间t的开停机状态；</w:t>
      </w:r>
      <m:oMath>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为机组的最小连续开、停机时间；</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w:t>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为机组i在时间t时已经连续开、停机时间，利用</w:t>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(i=1-N,t=1-T)这个状态变量来表示：</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k=t−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U</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t−1</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i,k</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19</w:t>
      </w:r>
      <w:r>
        <w:rPr>
          <w:rFonts w:hint="eastAsia" w:ascii="宋体" w:hAnsi="宋体" w:eastAsia="宋体" w:cs="宋体"/>
          <w:color w:val="000000"/>
          <w:sz w:val="24"/>
          <w:szCs w:val="24"/>
        </w:rPr>
        <w:t>)</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k=t−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D</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t−1</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i,k</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20</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（8）机组最大启停次数约束</w:t>
      </w:r>
    </w:p>
    <w:p>
      <w:pPr>
        <w:tabs>
          <w:tab w:val="center" w:pos="4200"/>
          <w:tab w:val="right" w:pos="8400"/>
        </w:tabs>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8"/>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d>
          <m:dPr>
            <m:begChr m:val="{"/>
            <m:endChr m:val=""/>
            <m:ctrlPr>
              <w:rPr>
                <w:rFonts w:hint="eastAsia" w:ascii="Cambria Math" w:hAnsi="Cambria Math" w:eastAsia="宋体" w:cs="宋体"/>
                <w:iCs/>
                <w:color w:val="000000"/>
                <w:sz w:val="24"/>
                <w:szCs w:val="24"/>
              </w:rPr>
            </m:ctrlPr>
          </m:dPr>
          <m:e>
            <m:eqArr>
              <m:eqArrPr>
                <m:ctrlPr>
                  <w:rPr>
                    <w:rFonts w:hint="eastAsia" w:ascii="Cambria Math" w:hAnsi="Cambria Math" w:eastAsia="宋体" w:cs="宋体"/>
                    <w:iCs/>
                    <w:color w:val="000000"/>
                    <w:sz w:val="24"/>
                    <w:szCs w:val="24"/>
                  </w:rPr>
                </m:ctrlPr>
              </m:eqArrPr>
              <m:e>
                <m:r>
                  <m:rPr>
                    <m:sty m:val="p"/>
                  </m:rPr>
                  <w:rPr>
                    <w:rFonts w:hint="eastAsia" w:ascii="Cambria Math" w:hAnsi="Cambria Math" w:eastAsia="宋体" w:cs="宋体"/>
                    <w:color w:val="000000"/>
                    <w:sz w:val="24"/>
                    <w:szCs w:val="24"/>
                  </w:rPr>
                  <m:t>1    仅当</m:t>
                </m:r>
                <m:sSub>
                  <m:sSubPr>
                    <m:ctrlPr>
                      <w:rPr>
                        <w:rFonts w:hint="eastAsia" w:ascii="Cambria Math" w:hAnsi="Cambria Math" w:eastAsia="宋体" w:cs="宋体"/>
                        <w:iCs/>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Cs/>
                        <w:color w:val="000000"/>
                        <w:sz w:val="24"/>
                        <w:szCs w:val="24"/>
                      </w:rPr>
                    </m:ctrlPr>
                  </m:e>
                  <m:sub>
                    <m:r>
                      <m:rPr>
                        <m:sty m:val="p"/>
                      </m:rPr>
                      <w:rPr>
                        <w:rFonts w:hint="eastAsia" w:ascii="Cambria Math" w:hAnsi="Cambria Math" w:eastAsia="宋体" w:cs="宋体"/>
                        <w:color w:val="000000"/>
                        <w:sz w:val="24"/>
                        <w:szCs w:val="24"/>
                      </w:rPr>
                      <m:t>i,t</m:t>
                    </m:r>
                    <m:ctrlPr>
                      <w:rPr>
                        <w:rFonts w:hint="eastAsia" w:ascii="Cambria Math" w:hAnsi="Cambria Math" w:eastAsia="宋体" w:cs="宋体"/>
                        <w:iCs/>
                        <w:color w:val="000000"/>
                        <w:sz w:val="24"/>
                        <w:szCs w:val="24"/>
                      </w:rPr>
                    </m:ctrlPr>
                  </m:sub>
                </m:sSub>
                <m:r>
                  <m:rPr>
                    <m:sty m:val="p"/>
                  </m:rPr>
                  <w:rPr>
                    <w:rFonts w:hint="eastAsia" w:ascii="Cambria Math" w:hAnsi="Cambria Math" w:eastAsia="宋体" w:cs="宋体"/>
                    <w:color w:val="000000"/>
                    <w:sz w:val="24"/>
                    <w:szCs w:val="24"/>
                  </w:rPr>
                  <m:t>=1且</m:t>
                </m:r>
                <m:sSub>
                  <m:sSubPr>
                    <m:ctrlPr>
                      <w:rPr>
                        <w:rFonts w:hint="eastAsia" w:ascii="Cambria Math" w:hAnsi="Cambria Math" w:eastAsia="宋体" w:cs="宋体"/>
                        <w:iCs/>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Cs/>
                        <w:color w:val="000000"/>
                        <w:sz w:val="24"/>
                        <w:szCs w:val="24"/>
                      </w:rPr>
                    </m:ctrlPr>
                  </m:e>
                  <m:sub>
                    <m:r>
                      <m:rPr>
                        <m:sty m:val="p"/>
                      </m:rPr>
                      <w:rPr>
                        <w:rFonts w:hint="eastAsia" w:ascii="Cambria Math" w:hAnsi="Cambria Math" w:eastAsia="宋体" w:cs="宋体"/>
                        <w:color w:val="000000"/>
                        <w:sz w:val="24"/>
                        <w:szCs w:val="24"/>
                      </w:rPr>
                      <m:t>i,t</m:t>
                    </m:r>
                    <m:ctrlPr>
                      <w:rPr>
                        <w:rFonts w:hint="eastAsia" w:ascii="Cambria Math" w:hAnsi="Cambria Math" w:eastAsia="宋体" w:cs="宋体"/>
                        <w:iCs/>
                        <w:color w:val="000000"/>
                        <w:sz w:val="24"/>
                        <w:szCs w:val="24"/>
                      </w:rPr>
                    </m:ctrlPr>
                  </m:sub>
                </m:sSub>
                <m:r>
                  <m:rPr>
                    <m:sty m:val="p"/>
                  </m:rPr>
                  <w:rPr>
                    <w:rFonts w:hint="eastAsia" w:ascii="Cambria Math" w:hAnsi="Cambria Math" w:eastAsia="宋体" w:cs="宋体"/>
                    <w:color w:val="000000"/>
                    <w:sz w:val="24"/>
                    <w:szCs w:val="24"/>
                  </w:rPr>
                  <m:t>=0</m:t>
                </m:r>
                <m:ctrlPr>
                  <w:rPr>
                    <w:rFonts w:hint="eastAsia" w:ascii="Cambria Math" w:hAnsi="Cambria Math" w:eastAsia="宋体" w:cs="宋体"/>
                    <w:iCs/>
                    <w:color w:val="000000"/>
                    <w:sz w:val="24"/>
                    <w:szCs w:val="24"/>
                  </w:rPr>
                </m:ctrlPr>
              </m:e>
              <m:e>
                <m:r>
                  <m:rPr>
                    <m:sty m:val="p"/>
                  </m:rPr>
                  <w:rPr>
                    <w:rFonts w:hint="eastAsia" w:ascii="Cambria Math" w:hAnsi="Cambria Math" w:eastAsia="宋体" w:cs="宋体"/>
                    <w:color w:val="000000"/>
                    <w:sz w:val="24"/>
                    <w:szCs w:val="24"/>
                  </w:rPr>
                  <m:t>0                             其余情况</m:t>
                </m:r>
                <m:ctrlPr>
                  <w:rPr>
                    <w:rFonts w:hint="eastAsia" w:ascii="Cambria Math" w:hAnsi="Cambria Math" w:eastAsia="宋体" w:cs="宋体"/>
                    <w:iCs/>
                    <w:color w:val="000000"/>
                    <w:sz w:val="24"/>
                    <w:szCs w:val="24"/>
                  </w:rPr>
                </m:ctrlPr>
              </m:e>
            </m:eqArr>
            <m:ctrlPr>
              <w:rPr>
                <w:rFonts w:hint="eastAsia" w:ascii="Cambria Math" w:hAnsi="Cambria Math" w:eastAsia="宋体" w:cs="宋体"/>
                <w:iCs/>
                <w:color w:val="000000"/>
                <w:sz w:val="24"/>
                <w:szCs w:val="24"/>
              </w:rPr>
            </m:ctrlPr>
          </m:e>
        </m:d>
      </m:oMath>
      <w:r>
        <w:rPr>
          <w:rFonts w:hint="eastAsia" w:ascii="宋体" w:hAnsi="宋体" w:eastAsia="宋体" w:cs="宋体"/>
          <w:iCs/>
          <w:color w:val="000000"/>
          <w:position w:val="-10"/>
          <w:sz w:val="24"/>
          <w:szCs w:val="24"/>
        </w:rPr>
        <w:object>
          <v:shape id="_x0000_i1027" o:spt="75" type="#_x0000_t75" style="height:17pt;width:13pt;" o:ole="t" filled="f" o:preferrelative="t" stroked="f" coordsize="21600,21600">
            <v:path/>
            <v:fill on="f" focussize="0,0"/>
            <v:stroke on="f"/>
            <v:imagedata r:id="rId20" o:title=""/>
            <o:lock v:ext="edit" aspectratio="t"/>
            <w10:wrap type="none"/>
            <w10:anchorlock/>
          </v:shape>
          <o:OLEObject Type="Embed" ProgID="Equation.KSEE3" ShapeID="_x0000_i1027" DrawAspect="Content" ObjectID="_1468075727" r:id="rId19">
            <o:LockedField>false</o:LockedField>
          </o:OLEObject>
        </w:object>
      </w:r>
      <w:r>
        <w:rPr>
          <w:rFonts w:hint="eastAsia" w:ascii="宋体" w:hAnsi="宋体" w:eastAsia="宋体" w:cs="宋体"/>
          <w:color w:val="000000"/>
          <w:sz w:val="24"/>
          <w:szCs w:val="24"/>
        </w:rPr>
        <w:tab/>
      </w:r>
      <w:r>
        <w:rPr>
          <w:rFonts w:hint="eastAsia" w:ascii="宋体" w:hAnsi="宋体" w:eastAsia="宋体" w:cs="宋体"/>
          <w:color w:val="000000"/>
          <w:sz w:val="24"/>
          <w:szCs w:val="24"/>
        </w:rPr>
        <w:t>(5-</w:t>
      </w:r>
      <w:r>
        <w:rPr>
          <w:rFonts w:hint="eastAsia" w:ascii="宋体" w:hAnsi="宋体" w:eastAsia="宋体" w:cs="宋体"/>
          <w:color w:val="000000"/>
          <w:sz w:val="24"/>
          <w:szCs w:val="24"/>
          <w:lang w:val="en-US" w:eastAsia="zh-CN"/>
        </w:rPr>
        <w:t>21</w:t>
      </w:r>
      <w:r>
        <w:rPr>
          <w:rFonts w:hint="eastAsia" w:ascii="宋体" w:hAnsi="宋体" w:eastAsia="宋体" w:cs="宋体"/>
          <w:color w:val="000000"/>
          <w:sz w:val="24"/>
          <w:szCs w:val="24"/>
        </w:rPr>
        <w:t>)</w:t>
      </w:r>
    </w:p>
    <w:p>
      <w:pPr>
        <w:tabs>
          <w:tab w:val="center" w:pos="4200"/>
          <w:tab w:val="right" w:pos="8400"/>
        </w:tabs>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ab/>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7"/>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d>
          <m:dPr>
            <m:begChr m:val="{"/>
            <m:endChr m:val=""/>
            <m:ctrlPr>
              <w:rPr>
                <w:rFonts w:hint="eastAsia" w:ascii="Cambria Math" w:hAnsi="Cambria Math" w:eastAsia="宋体" w:cs="宋体"/>
                <w:iCs/>
                <w:color w:val="000000"/>
                <w:sz w:val="24"/>
                <w:szCs w:val="24"/>
              </w:rPr>
            </m:ctrlPr>
          </m:dPr>
          <m:e>
            <m:eqArr>
              <m:eqArrPr>
                <m:ctrlPr>
                  <w:rPr>
                    <w:rFonts w:hint="eastAsia" w:ascii="Cambria Math" w:hAnsi="Cambria Math" w:eastAsia="宋体" w:cs="宋体"/>
                    <w:iCs/>
                    <w:color w:val="000000"/>
                    <w:sz w:val="24"/>
                    <w:szCs w:val="24"/>
                  </w:rPr>
                </m:ctrlPr>
              </m:eqArrPr>
              <m:e>
                <m:r>
                  <m:rPr>
                    <m:sty m:val="p"/>
                  </m:rPr>
                  <w:rPr>
                    <w:rFonts w:hint="eastAsia" w:ascii="Cambria Math" w:hAnsi="Cambria Math" w:eastAsia="宋体" w:cs="宋体"/>
                    <w:color w:val="000000"/>
                    <w:sz w:val="24"/>
                    <w:szCs w:val="24"/>
                  </w:rPr>
                  <m:t>1    仅当</m:t>
                </m:r>
                <m:sSub>
                  <m:sSubPr>
                    <m:ctrlPr>
                      <w:rPr>
                        <w:rFonts w:hint="eastAsia" w:ascii="Cambria Math" w:hAnsi="Cambria Math" w:eastAsia="宋体" w:cs="宋体"/>
                        <w:iCs/>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Cs/>
                        <w:color w:val="000000"/>
                        <w:sz w:val="24"/>
                        <w:szCs w:val="24"/>
                      </w:rPr>
                    </m:ctrlPr>
                  </m:e>
                  <m:sub>
                    <m:r>
                      <m:rPr>
                        <m:sty m:val="p"/>
                      </m:rPr>
                      <w:rPr>
                        <w:rFonts w:hint="eastAsia" w:ascii="Cambria Math" w:hAnsi="Cambria Math" w:eastAsia="宋体" w:cs="宋体"/>
                        <w:color w:val="000000"/>
                        <w:sz w:val="24"/>
                        <w:szCs w:val="24"/>
                      </w:rPr>
                      <m:t>i,t</m:t>
                    </m:r>
                    <m:ctrlPr>
                      <w:rPr>
                        <w:rFonts w:hint="eastAsia" w:ascii="Cambria Math" w:hAnsi="Cambria Math" w:eastAsia="宋体" w:cs="宋体"/>
                        <w:iCs/>
                        <w:color w:val="000000"/>
                        <w:sz w:val="24"/>
                        <w:szCs w:val="24"/>
                      </w:rPr>
                    </m:ctrlPr>
                  </m:sub>
                </m:sSub>
                <m:r>
                  <m:rPr>
                    <m:sty m:val="p"/>
                  </m:rPr>
                  <w:rPr>
                    <w:rFonts w:hint="eastAsia" w:ascii="Cambria Math" w:hAnsi="Cambria Math" w:eastAsia="宋体" w:cs="宋体"/>
                    <w:color w:val="000000"/>
                    <w:sz w:val="24"/>
                    <w:szCs w:val="24"/>
                  </w:rPr>
                  <m:t>=1且</m:t>
                </m:r>
                <m:sSub>
                  <m:sSubPr>
                    <m:ctrlPr>
                      <w:rPr>
                        <w:rFonts w:hint="eastAsia" w:ascii="Cambria Math" w:hAnsi="Cambria Math" w:eastAsia="宋体" w:cs="宋体"/>
                        <w:iCs/>
                        <w:color w:val="000000"/>
                        <w:sz w:val="24"/>
                        <w:szCs w:val="24"/>
                      </w:rPr>
                    </m:ctrlPr>
                  </m:sSubPr>
                  <m:e>
                    <m:r>
                      <m:rPr>
                        <m:sty m:val="p"/>
                      </m:rPr>
                      <w:rPr>
                        <w:rFonts w:hint="eastAsia" w:ascii="Cambria Math" w:hAnsi="Cambria Math" w:eastAsia="宋体" w:cs="宋体"/>
                        <w:sz w:val="24"/>
                        <w:szCs w:val="24"/>
                      </w:rPr>
                      <w:sym w:font="Symbol" w:char="F061"/>
                    </m:r>
                    <m:ctrlPr>
                      <w:rPr>
                        <w:rFonts w:hint="eastAsia" w:ascii="Cambria Math" w:hAnsi="Cambria Math" w:eastAsia="宋体" w:cs="宋体"/>
                        <w:iCs/>
                        <w:color w:val="000000"/>
                        <w:sz w:val="24"/>
                        <w:szCs w:val="24"/>
                      </w:rPr>
                    </m:ctrlPr>
                  </m:e>
                  <m:sub>
                    <m:r>
                      <m:rPr>
                        <m:sty m:val="p"/>
                      </m:rPr>
                      <w:rPr>
                        <w:rFonts w:hint="eastAsia" w:ascii="Cambria Math" w:hAnsi="Cambria Math" w:eastAsia="宋体" w:cs="宋体"/>
                        <w:color w:val="000000"/>
                        <w:sz w:val="24"/>
                        <w:szCs w:val="24"/>
                      </w:rPr>
                      <m:t>i,t</m:t>
                    </m:r>
                    <m:ctrlPr>
                      <w:rPr>
                        <w:rFonts w:hint="eastAsia" w:ascii="Cambria Math" w:hAnsi="Cambria Math" w:eastAsia="宋体" w:cs="宋体"/>
                        <w:iCs/>
                        <w:color w:val="000000"/>
                        <w:sz w:val="24"/>
                        <w:szCs w:val="24"/>
                      </w:rPr>
                    </m:ctrlPr>
                  </m:sub>
                </m:sSub>
                <m:r>
                  <m:rPr>
                    <m:sty m:val="p"/>
                  </m:rPr>
                  <w:rPr>
                    <w:rFonts w:hint="eastAsia" w:ascii="Cambria Math" w:hAnsi="Cambria Math" w:eastAsia="宋体" w:cs="宋体"/>
                    <w:color w:val="000000"/>
                    <w:sz w:val="24"/>
                    <w:szCs w:val="24"/>
                  </w:rPr>
                  <m:t>=0</m:t>
                </m:r>
                <m:ctrlPr>
                  <w:rPr>
                    <w:rFonts w:hint="eastAsia" w:ascii="Cambria Math" w:hAnsi="Cambria Math" w:eastAsia="宋体" w:cs="宋体"/>
                    <w:iCs/>
                    <w:color w:val="000000"/>
                    <w:sz w:val="24"/>
                    <w:szCs w:val="24"/>
                  </w:rPr>
                </m:ctrlPr>
              </m:e>
              <m:e>
                <m:r>
                  <m:rPr>
                    <m:sty m:val="p"/>
                  </m:rPr>
                  <w:rPr>
                    <w:rFonts w:hint="eastAsia" w:ascii="Cambria Math" w:hAnsi="Cambria Math" w:eastAsia="宋体" w:cs="宋体"/>
                    <w:color w:val="000000"/>
                    <w:sz w:val="24"/>
                    <w:szCs w:val="24"/>
                  </w:rPr>
                  <m:t>0                             其余情况</m:t>
                </m:r>
                <m:ctrlPr>
                  <w:rPr>
                    <w:rFonts w:hint="eastAsia" w:ascii="Cambria Math" w:hAnsi="Cambria Math" w:eastAsia="宋体" w:cs="宋体"/>
                    <w:iCs/>
                    <w:color w:val="000000"/>
                    <w:sz w:val="24"/>
                    <w:szCs w:val="24"/>
                  </w:rPr>
                </m:ctrlPr>
              </m:e>
            </m:eqArr>
            <m:ctrlPr>
              <w:rPr>
                <w:rFonts w:hint="eastAsia" w:ascii="Cambria Math" w:hAnsi="Cambria Math" w:eastAsia="宋体" w:cs="宋体"/>
                <w:iCs/>
                <w:color w:val="000000"/>
                <w:sz w:val="24"/>
                <w:szCs w:val="24"/>
              </w:rPr>
            </m:ctrlPr>
          </m:e>
        </m:d>
      </m:oMath>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22</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w:t>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8"/>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式中表示机组i在时间t有没有转换成启动状态；</w:t>
      </w:r>
      <m:oMath>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7"/>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oMath>
      <w:r>
        <w:rPr>
          <w:rFonts w:hint="eastAsia" w:ascii="宋体" w:hAnsi="宋体" w:eastAsia="宋体" w:cs="宋体"/>
          <w:color w:val="000000"/>
          <w:sz w:val="24"/>
          <w:szCs w:val="24"/>
        </w:rPr>
        <w:t>为机组i在时间t有没有转换成停机状态。相应机组i的启停次数限制</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t=1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8"/>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m:sty m:val="p"/>
              </m:rPr>
              <w:rPr>
                <w:rFonts w:hint="eastAsia" w:ascii="Cambria Math" w:hAnsi="Cambria Math" w:eastAsia="宋体" w:cs="宋体"/>
                <w:sz w:val="24"/>
                <w:szCs w:val="24"/>
              </w:rPr>
              <w:sym w:font="Symbol" w:char="F068"/>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23</w:t>
      </w:r>
      <w:r>
        <w:rPr>
          <w:rFonts w:hint="eastAsia" w:ascii="宋体" w:hAnsi="宋体" w:eastAsia="宋体" w:cs="宋体"/>
          <w:color w:val="000000"/>
          <w:sz w:val="24"/>
          <w:szCs w:val="24"/>
        </w:rPr>
        <w:t>)</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nary>
          <m:naryPr>
            <m:chr m:val="∑"/>
            <m:limLoc m:val="undOvr"/>
            <m:ctrlPr>
              <w:rPr>
                <w:rFonts w:hint="eastAsia" w:ascii="Cambria Math" w:hAnsi="Cambria Math" w:eastAsia="宋体" w:cs="宋体"/>
                <w:i/>
                <w:color w:val="000000"/>
                <w:sz w:val="24"/>
                <w:szCs w:val="24"/>
              </w:rPr>
            </m:ctrlPr>
          </m:naryPr>
          <m:sub>
            <m:r>
              <m:rPr/>
              <w:rPr>
                <w:rFonts w:hint="eastAsia" w:ascii="Cambria Math" w:hAnsi="Cambria Math" w:eastAsia="宋体" w:cs="宋体"/>
                <w:color w:val="000000"/>
                <w:sz w:val="24"/>
                <w:szCs w:val="24"/>
              </w:rPr>
              <m:t>t=1</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T</m:t>
            </m:r>
            <m:ctrlPr>
              <w:rPr>
                <w:rFonts w:hint="eastAsia" w:ascii="Cambria Math" w:hAnsi="Cambria Math" w:eastAsia="宋体" w:cs="宋体"/>
                <w:i/>
                <w:color w:val="000000"/>
                <w:sz w:val="24"/>
                <w:szCs w:val="24"/>
              </w:rPr>
            </m:ctrlPr>
          </m:sup>
          <m:e>
            <m:sSub>
              <m:sSubPr>
                <m:ctrlPr>
                  <w:rPr>
                    <w:rFonts w:hint="eastAsia" w:ascii="Cambria Math" w:hAnsi="Cambria Math" w:eastAsia="宋体" w:cs="宋体"/>
                    <w:i/>
                    <w:color w:val="000000"/>
                    <w:sz w:val="24"/>
                    <w:szCs w:val="24"/>
                  </w:rPr>
                </m:ctrlPr>
              </m:sSubPr>
              <m:e>
                <m:r>
                  <m:rPr>
                    <m:sty m:val="p"/>
                  </m:rPr>
                  <w:rPr>
                    <w:rFonts w:hint="eastAsia" w:ascii="Cambria Math" w:hAnsi="Cambria Math" w:eastAsia="宋体" w:cs="宋体"/>
                    <w:sz w:val="24"/>
                    <w:szCs w:val="24"/>
                  </w:rPr>
                  <w:sym w:font="Symbol" w:char="F067"/>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i,t</m:t>
                </m:r>
                <m:ctrlPr>
                  <w:rPr>
                    <w:rFonts w:hint="eastAsia" w:ascii="Cambria Math" w:hAnsi="Cambria Math" w:eastAsia="宋体" w:cs="宋体"/>
                    <w:i/>
                    <w:color w:val="000000"/>
                    <w:sz w:val="24"/>
                    <w:szCs w:val="24"/>
                  </w:rPr>
                </m:ctrlPr>
              </m:sub>
            </m:sSub>
            <m:ctrlPr>
              <w:rPr>
                <w:rFonts w:hint="eastAsia" w:ascii="Cambria Math" w:hAnsi="Cambria Math" w:eastAsia="宋体" w:cs="宋体"/>
                <w:i/>
                <w:color w:val="000000"/>
                <w:sz w:val="24"/>
                <w:szCs w:val="24"/>
              </w:rPr>
            </m:ctrlPr>
          </m:e>
        </m:nary>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m:sty m:val="p"/>
              </m:rPr>
              <w:rPr>
                <w:rFonts w:hint="eastAsia" w:ascii="Cambria Math" w:hAnsi="Cambria Math" w:eastAsia="宋体" w:cs="宋体"/>
                <w:sz w:val="24"/>
                <w:szCs w:val="24"/>
              </w:rPr>
              <w:sym w:font="Symbol" w:char="F067"/>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i</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24</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（9）可再生能源机组出力约束</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r>
          <m:rPr/>
          <w:rPr>
            <w:rFonts w:hint="eastAsia" w:ascii="Cambria Math" w:hAnsi="Cambria Math" w:eastAsia="宋体" w:cs="宋体"/>
            <w:color w:val="000000"/>
            <w:sz w:val="24"/>
            <w:szCs w:val="24"/>
          </w:rPr>
          <m:t>0≤</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w,t</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w,t</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f</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25</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（10）线路潮流约束</w:t>
      </w:r>
    </w:p>
    <w:p>
      <w:pPr>
        <w:tabs>
          <w:tab w:val="center" w:pos="4200"/>
          <w:tab w:val="right" w:pos="8400"/>
        </w:tabs>
        <w:adjustRightInd w:val="0"/>
        <w:snapToGrid w:val="0"/>
        <w:spacing w:line="360" w:lineRule="auto"/>
        <w:ind w:firstLine="420"/>
        <w:jc w:val="center"/>
        <w:rPr>
          <w:rFonts w:hint="eastAsia" w:ascii="宋体" w:hAnsi="宋体" w:eastAsia="宋体" w:cs="宋体"/>
          <w:color w:val="000000"/>
          <w:sz w:val="24"/>
          <w:szCs w:val="24"/>
        </w:rPr>
      </w:pPr>
      <w:r>
        <w:rPr>
          <w:rFonts w:hint="eastAsia" w:ascii="宋体" w:hAnsi="宋体" w:eastAsia="宋体" w:cs="宋体"/>
          <w:color w:val="000000"/>
          <w:sz w:val="24"/>
          <w:szCs w:val="24"/>
        </w:rPr>
        <w:tab/>
      </w:r>
      <m:oMath>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l</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r>
          <m:rPr/>
          <w:rPr>
            <w:rFonts w:hint="eastAsia" w:ascii="Cambria Math" w:hAnsi="Cambria Math" w:eastAsia="宋体" w:cs="宋体"/>
            <w:color w:val="000000"/>
            <w:sz w:val="24"/>
            <w:szCs w:val="24"/>
          </w:rPr>
          <m:t>≤</m:t>
        </m:r>
        <m:sSub>
          <m:sSubPr>
            <m:ctrlPr>
              <w:rPr>
                <w:rFonts w:hint="eastAsia" w:ascii="Cambria Math" w:hAnsi="Cambria Math" w:eastAsia="宋体" w:cs="宋体"/>
                <w:i/>
                <w:color w:val="000000"/>
                <w:sz w:val="24"/>
                <w:szCs w:val="24"/>
              </w:rPr>
            </m:ctrlPr>
          </m:sSub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l</m:t>
            </m:r>
            <m:ctrlPr>
              <w:rPr>
                <w:rFonts w:hint="eastAsia" w:ascii="Cambria Math" w:hAnsi="Cambria Math" w:eastAsia="宋体" w:cs="宋体"/>
                <w:i/>
                <w:color w:val="000000"/>
                <w:sz w:val="24"/>
                <w:szCs w:val="24"/>
              </w:rPr>
            </m:ctrlPr>
          </m:sub>
        </m:sSub>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l</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26</w:t>
      </w:r>
      <w:r>
        <w:rPr>
          <w:rFonts w:hint="eastAsia" w:ascii="宋体" w:hAnsi="宋体" w:eastAsia="宋体" w:cs="宋体"/>
          <w:color w:val="000000"/>
          <w:sz w:val="24"/>
          <w:szCs w:val="24"/>
        </w:rPr>
        <w:t>)</w:t>
      </w:r>
    </w:p>
    <w:p>
      <w:pPr>
        <w:adjustRightInd w:val="0"/>
        <w:snapToGrid w:val="0"/>
        <w:spacing w:line="360" w:lineRule="auto"/>
        <w:ind w:firstLine="420"/>
        <w:rPr>
          <w:rFonts w:hint="eastAsia" w:ascii="宋体" w:hAnsi="宋体" w:eastAsia="宋体" w:cs="宋体"/>
          <w:color w:val="000000"/>
          <w:sz w:val="24"/>
          <w:szCs w:val="24"/>
        </w:rPr>
      </w:pPr>
      <w:r>
        <w:rPr>
          <w:rFonts w:hint="eastAsia" w:ascii="宋体" w:hAnsi="宋体" w:eastAsia="宋体" w:cs="宋体"/>
          <w:color w:val="000000"/>
          <w:sz w:val="24"/>
          <w:szCs w:val="24"/>
        </w:rPr>
        <w:t>式中，</w:t>
      </w:r>
      <m:oMath>
        <m:r>
          <m:rPr/>
          <w:rPr>
            <w:rFonts w:hint="eastAsia" w:ascii="Cambria Math" w:hAnsi="Cambria Math" w:eastAsia="宋体" w:cs="宋体"/>
            <w:color w:val="000000"/>
            <w:sz w:val="24"/>
            <w:szCs w:val="24"/>
          </w:rPr>
          <m:t>−</m:t>
        </m:r>
        <m:sSubSup>
          <m:sSubSupPr>
            <m:ctrlPr>
              <w:rPr>
                <w:rFonts w:hint="eastAsia" w:ascii="Cambria Math" w:hAnsi="Cambria Math" w:eastAsia="宋体" w:cs="宋体"/>
                <w:i/>
                <w:color w:val="000000"/>
                <w:sz w:val="24"/>
                <w:szCs w:val="24"/>
              </w:rPr>
            </m:ctrlPr>
          </m:sSubSupPr>
          <m:e>
            <m:r>
              <m:rPr/>
              <w:rPr>
                <w:rFonts w:hint="eastAsia" w:ascii="Cambria Math" w:hAnsi="Cambria Math" w:eastAsia="宋体" w:cs="宋体"/>
                <w:color w:val="000000"/>
                <w:sz w:val="24"/>
                <w:szCs w:val="24"/>
              </w:rPr>
              <m:t>P</m:t>
            </m:r>
            <m:ctrlPr>
              <w:rPr>
                <w:rFonts w:hint="eastAsia" w:ascii="Cambria Math" w:hAnsi="Cambria Math" w:eastAsia="宋体" w:cs="宋体"/>
                <w:i/>
                <w:color w:val="000000"/>
                <w:sz w:val="24"/>
                <w:szCs w:val="24"/>
              </w:rPr>
            </m:ctrlPr>
          </m:e>
          <m:sub>
            <m:r>
              <m:rPr/>
              <w:rPr>
                <w:rFonts w:hint="eastAsia" w:ascii="Cambria Math" w:hAnsi="Cambria Math" w:eastAsia="宋体" w:cs="宋体"/>
                <w:color w:val="000000"/>
                <w:sz w:val="24"/>
                <w:szCs w:val="24"/>
              </w:rPr>
              <m:t>l</m:t>
            </m:r>
            <m:ctrlPr>
              <w:rPr>
                <w:rFonts w:hint="eastAsia" w:ascii="Cambria Math" w:hAnsi="Cambria Math" w:eastAsia="宋体" w:cs="宋体"/>
                <w:i/>
                <w:color w:val="000000"/>
                <w:sz w:val="24"/>
                <w:szCs w:val="24"/>
              </w:rPr>
            </m:ctrlPr>
          </m:sub>
          <m:sup>
            <m:r>
              <m:rPr/>
              <w:rPr>
                <w:rFonts w:hint="eastAsia" w:ascii="Cambria Math" w:hAnsi="Cambria Math" w:eastAsia="宋体" w:cs="宋体"/>
                <w:color w:val="000000"/>
                <w:sz w:val="24"/>
                <w:szCs w:val="24"/>
              </w:rPr>
              <m:t>max</m:t>
            </m:r>
            <m:ctrlPr>
              <w:rPr>
                <w:rFonts w:hint="eastAsia" w:ascii="Cambria Math" w:hAnsi="Cambria Math" w:eastAsia="宋体" w:cs="宋体"/>
                <w:i/>
                <w:color w:val="000000"/>
                <w:sz w:val="24"/>
                <w:szCs w:val="24"/>
              </w:rPr>
            </m:ctrlPr>
          </m:sup>
        </m:sSubSup>
      </m:oMath>
      <w:r>
        <w:rPr>
          <w:rFonts w:hint="eastAsia" w:ascii="宋体" w:hAnsi="宋体" w:eastAsia="宋体" w:cs="宋体"/>
          <w:color w:val="000000"/>
          <w:sz w:val="24"/>
          <w:szCs w:val="24"/>
        </w:rPr>
        <w:t>为线路l可以传输的最大容量。</w:t>
      </w:r>
    </w:p>
    <w:p>
      <w:pPr>
        <w:adjustRightInd w:val="0"/>
        <w:snapToGrid w:val="0"/>
        <w:spacing w:line="360" w:lineRule="auto"/>
        <w:ind w:firstLine="420"/>
        <w:rPr>
          <w:rFonts w:hint="eastAsia" w:ascii="宋体" w:hAnsi="宋体" w:eastAsia="宋体" w:cs="宋体"/>
          <w:color w:val="000000"/>
          <w:sz w:val="24"/>
          <w:szCs w:val="24"/>
        </w:rPr>
      </w:pP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4.2.4 联合运营效益评估指标体系</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电力远期合同-现货市场联合运营机制研究力求规避三方市场波动效益风险，实现全方位提升风电市场化活跃度，提出5个运营效益分析指标，评估效果使利益最大化及波动效益风险最小化。</w:t>
      </w:r>
    </w:p>
    <w:p>
      <w:pPr>
        <w:keepNext w:val="0"/>
        <w:keepLines w:val="0"/>
        <w:widowControl/>
        <w:numPr>
          <w:ilvl w:val="0"/>
          <w:numId w:val="2"/>
        </w:numPr>
        <w:suppressLineNumbers w:val="0"/>
        <w:ind w:firstLine="420" w:firstLineChars="0"/>
        <w:jc w:val="left"/>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电价波动率</w:t>
      </w:r>
      <w:r>
        <w:rPr>
          <w:rFonts w:hint="eastAsia" w:ascii="宋体" w:hAnsi="宋体" w:cs="宋体"/>
          <w:color w:val="000000"/>
          <w:position w:val="-6"/>
          <w:sz w:val="24"/>
          <w:szCs w:val="24"/>
          <w:lang w:val="en-US" w:eastAsia="zh-CN"/>
        </w:rPr>
        <w:object>
          <v:shape id="_x0000_i1028" o:spt="75" type="#_x0000_t75" style="height:11pt;width:15pt;" o:ole="t" filled="f" o:preferrelative="t" stroked="f" coordsize="21600,21600">
            <v:path/>
            <v:fill on="f" focussize="0,0"/>
            <v:stroke on="f"/>
            <v:imagedata r:id="rId22" o:title=""/>
            <o:lock v:ext="edit" aspectratio="t"/>
            <w10:wrap type="none"/>
            <w10:anchorlock/>
          </v:shape>
          <o:OLEObject Type="Embed" ProgID="Equation.KSEE3" ShapeID="_x0000_i1028" DrawAspect="Content" ObjectID="_1468075728" r:id="rId21">
            <o:LockedField>false</o:LockedField>
          </o:OLEObject>
        </w:objec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即电力远期合同-现货市场联合运营生产模拟运行的电价曲线波动率。</w:t>
      </w:r>
    </w:p>
    <w:p>
      <w:pPr>
        <w:keepNext w:val="0"/>
        <w:keepLines w:val="0"/>
        <w:pageBreakBefore w:val="0"/>
        <w:widowControl/>
        <w:numPr>
          <w:ilvl w:val="0"/>
          <w:numId w:val="0"/>
        </w:numPr>
        <w:suppressLineNumbers w:val="0"/>
        <w:tabs>
          <w:tab w:val="center" w:pos="4200"/>
          <w:tab w:val="right" w:pos="8400"/>
        </w:tabs>
        <w:kinsoku/>
        <w:wordWrap/>
        <w:overflowPunct/>
        <w:topLinePunct w:val="0"/>
        <w:autoSpaceDE/>
        <w:autoSpaceDN/>
        <w:bidi w:val="0"/>
        <w:adjustRightInd/>
        <w:snapToGrid/>
        <w:ind w:firstLine="420" w:firstLineChars="0"/>
        <w:jc w:val="left"/>
        <w:textAlignment w:val="auto"/>
        <w:rPr>
          <w:rFonts w:hint="default" w:ascii="宋体" w:hAnsi="宋体" w:cs="宋体"/>
          <w:color w:val="000000"/>
          <w:sz w:val="24"/>
          <w:szCs w:val="24"/>
          <w:lang w:val="en-US" w:eastAsia="zh-CN"/>
        </w:rPr>
      </w:pPr>
      <w:r>
        <w:rPr>
          <w:rFonts w:hint="eastAsia" w:ascii="宋体" w:hAnsi="宋体" w:cs="宋体"/>
          <w:color w:val="000000"/>
          <w:position w:val="-28"/>
          <w:sz w:val="24"/>
          <w:szCs w:val="24"/>
          <w:lang w:val="en-US" w:eastAsia="zh-CN"/>
        </w:rPr>
        <w:tab/>
      </w:r>
      <w:r>
        <w:rPr>
          <w:rFonts w:hint="default" w:ascii="宋体" w:hAnsi="宋体" w:cs="宋体"/>
          <w:color w:val="000000"/>
          <w:position w:val="-28"/>
          <w:sz w:val="24"/>
          <w:szCs w:val="24"/>
          <w:lang w:val="en-US" w:eastAsia="zh-CN"/>
        </w:rPr>
        <w:object>
          <v:shape id="_x0000_i1029" o:spt="75" type="#_x0000_t75" style="height:33pt;width:37pt;" o:ole="t" filled="f" o:preferrelative="t" stroked="f" coordsize="21600,21600">
            <v:path/>
            <v:fill on="f" focussize="0,0"/>
            <v:stroke on="f"/>
            <v:imagedata r:id="rId24" o:title=""/>
            <o:lock v:ext="edit" aspectratio="t"/>
            <w10:wrap type="none"/>
            <w10:anchorlock/>
          </v:shape>
          <o:OLEObject Type="Embed" ProgID="Equation.KSEE3" ShapeID="_x0000_i1029" DrawAspect="Content" ObjectID="_1468075729" r:id="rId23">
            <o:LockedField>false</o:LockedField>
          </o:OLEObject>
        </w:object>
      </w:r>
      <w:r>
        <w:rPr>
          <w:rFonts w:hint="eastAsia" w:ascii="宋体" w:hAnsi="宋体" w:cs="宋体"/>
          <w:color w:val="000000"/>
          <w:sz w:val="24"/>
          <w:szCs w:val="24"/>
          <w:lang w:val="en-US" w:eastAsia="zh-CN"/>
        </w:rPr>
        <w:t>，</w:t>
      </w:r>
      <w:r>
        <w:rPr>
          <w:rFonts w:hint="eastAsia" w:ascii="宋体" w:hAnsi="宋体" w:cs="宋体"/>
          <w:color w:val="000000"/>
          <w:position w:val="-26"/>
          <w:sz w:val="24"/>
          <w:szCs w:val="24"/>
          <w:lang w:val="en-US" w:eastAsia="zh-CN"/>
        </w:rPr>
        <w:object>
          <v:shape id="_x0000_i1030" o:spt="75" type="#_x0000_t75" style="height:52pt;width:96pt;" o:ole="t" filled="f" o:preferrelative="t" stroked="f" coordsize="21600,21600">
            <v:path/>
            <v:fill on="f" focussize="0,0"/>
            <v:stroke on="f"/>
            <v:imagedata r:id="rId26" o:title=""/>
            <o:lock v:ext="edit" aspectratio="t"/>
            <w10:wrap type="none"/>
            <w10:anchorlock/>
          </v:shape>
          <o:OLEObject Type="Embed" ProgID="Equation.KSEE3" ShapeID="_x0000_i1030" DrawAspect="Content" ObjectID="_1468075730" r:id="rId25">
            <o:LockedField>false</o:LockedField>
          </o:OLEObject>
        </w:object>
      </w:r>
      <w:r>
        <w:rPr>
          <w:rFonts w:hint="eastAsia" w:ascii="宋体" w:hAnsi="宋体" w:cs="宋体"/>
          <w:color w:val="000000"/>
          <w:sz w:val="24"/>
          <w:szCs w:val="24"/>
          <w:lang w:val="en-US" w:eastAsia="zh-CN"/>
        </w:rPr>
        <w:t>，</w:t>
      </w:r>
      <w:r>
        <w:rPr>
          <w:rFonts w:hint="eastAsia" w:ascii="宋体" w:hAnsi="宋体" w:cs="宋体"/>
          <w:color w:val="000000"/>
          <w:position w:val="-24"/>
          <w:sz w:val="24"/>
          <w:szCs w:val="24"/>
          <w:lang w:val="en-US" w:eastAsia="zh-CN"/>
        </w:rPr>
        <w:object>
          <v:shape id="_x0000_i1031" o:spt="75" type="#_x0000_t75" style="height:48pt;width:54pt;" o:ole="t" filled="f" o:preferrelative="t" stroked="f" coordsize="21600,21600">
            <v:path/>
            <v:fill on="f" focussize="0,0"/>
            <v:stroke on="f"/>
            <v:imagedata r:id="rId28" o:title=""/>
            <o:lock v:ext="edit" aspectratio="t"/>
            <w10:wrap type="none"/>
            <w10:anchorlock/>
          </v:shape>
          <o:OLEObject Type="Embed" ProgID="Equation.KSEE3" ShapeID="_x0000_i1031" DrawAspect="Content" ObjectID="_1468075731" r:id="rId27">
            <o:LockedField>false</o:LockedField>
          </o:OLEObject>
        </w:object>
      </w:r>
      <w:r>
        <w:rPr>
          <w:rFonts w:hint="eastAsia" w:ascii="宋体" w:hAnsi="宋体" w:cs="宋体"/>
          <w:color w:val="000000"/>
          <w:position w:val="-24"/>
          <w:sz w:val="24"/>
          <w:szCs w:val="24"/>
          <w:lang w:val="en-US" w:eastAsia="zh-CN"/>
        </w:rPr>
        <w:tab/>
      </w:r>
      <w:r>
        <w:rPr>
          <w:rFonts w:hint="eastAsia" w:ascii="宋体" w:hAnsi="宋体" w:cs="宋体"/>
          <w:color w:val="000000"/>
          <w:position w:val="-24"/>
          <w:sz w:val="24"/>
          <w:szCs w:val="24"/>
          <w:lang w:val="en-US" w:eastAsia="zh-CN"/>
        </w:rPr>
        <w:t>(4-27)</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sz w:val="24"/>
          <w:szCs w:val="24"/>
          <w:lang w:val="en-US" w:eastAsia="zh-CN"/>
        </w:rPr>
        <w:object>
          <v:shape id="_x0000_i1032" o:spt="75" type="#_x0000_t75" style="height:11pt;width:12pt;" o:ole="t" filled="f" o:preferrelative="t" stroked="f" coordsize="21600,21600">
            <v:path/>
            <v:fill on="f" focussize="0,0"/>
            <v:stroke on="f"/>
            <v:imagedata r:id="rId30" o:title=""/>
            <o:lock v:ext="edit" aspectratio="t"/>
            <w10:wrap type="none"/>
            <w10:anchorlock/>
          </v:shape>
          <o:OLEObject Type="Embed" ProgID="Equation.KSEE3" ShapeID="_x0000_i1032" DrawAspect="Content" ObjectID="_1468075732" r:id="rId29">
            <o:LockedField>false</o:LockedField>
          </o:OLEObject>
        </w:object>
      </w:r>
      <w:r>
        <w:rPr>
          <w:rFonts w:hint="eastAsia" w:ascii="宋体" w:hAnsi="宋体" w:eastAsia="宋体" w:cs="宋体"/>
          <w:sz w:val="24"/>
          <w:szCs w:val="24"/>
          <w:lang w:val="en-US" w:eastAsia="zh-CN"/>
        </w:rPr>
        <w:t>为曲线标准差，</w:t>
      </w:r>
      <w:r>
        <w:rPr>
          <w:rFonts w:hint="eastAsia" w:ascii="宋体" w:hAnsi="宋体" w:eastAsia="宋体" w:cs="宋体"/>
          <w:sz w:val="24"/>
          <w:szCs w:val="24"/>
          <w:lang w:val="en-US" w:eastAsia="zh-CN"/>
        </w:rPr>
        <w:object>
          <v:shape id="_x0000_i1033" o:spt="75" type="#_x0000_t75" style="height:13pt;width:12pt;" o:ole="t" filled="f" o:preferrelative="t" stroked="f" coordsize="21600,21600">
            <v:path/>
            <v:fill on="f" focussize="0,0"/>
            <v:stroke on="f"/>
            <v:imagedata r:id="rId32" o:title=""/>
            <o:lock v:ext="edit" aspectratio="t"/>
            <w10:wrap type="none"/>
            <w10:anchorlock/>
          </v:shape>
          <o:OLEObject Type="Embed" ProgID="Equation.KSEE3" ShapeID="_x0000_i1033" DrawAspect="Content" ObjectID="_1468075733" r:id="rId31">
            <o:LockedField>false</o:LockedField>
          </o:OLEObject>
        </w:object>
      </w:r>
      <w:r>
        <w:rPr>
          <w:rFonts w:hint="eastAsia" w:ascii="宋体" w:hAnsi="宋体" w:eastAsia="宋体" w:cs="宋体"/>
          <w:sz w:val="24"/>
          <w:szCs w:val="24"/>
          <w:lang w:val="en-US" w:eastAsia="zh-CN"/>
        </w:rPr>
        <w:t>为曲线均值，</w:t>
      </w:r>
      <w:r>
        <w:rPr>
          <w:rFonts w:hint="eastAsia" w:ascii="宋体" w:hAnsi="宋体" w:eastAsia="宋体" w:cs="宋体"/>
          <w:sz w:val="24"/>
          <w:szCs w:val="24"/>
          <w:lang w:val="en-US" w:eastAsia="zh-CN"/>
        </w:rPr>
        <w:object>
          <v:shape id="_x0000_i1034" o:spt="75" type="#_x0000_t75" style="height:19pt;width:16pt;" o:ole="t" filled="f" o:preferrelative="t" stroked="f" coordsize="21600,21600">
            <v:path/>
            <v:fill on="f" focussize="0,0"/>
            <v:stroke on="f"/>
            <v:imagedata r:id="rId34" o:title=""/>
            <o:lock v:ext="edit" aspectratio="t"/>
            <w10:wrap type="none"/>
            <w10:anchorlock/>
          </v:shape>
          <o:OLEObject Type="Embed" ProgID="Equation.KSEE3" ShapeID="_x0000_i1034" DrawAspect="Content" ObjectID="_1468075734" r:id="rId33">
            <o:LockedField>false</o:LockedField>
          </o:OLEObject>
        </w:object>
      </w:r>
      <w:r>
        <w:rPr>
          <w:rFonts w:hint="eastAsia" w:ascii="宋体" w:hAnsi="宋体" w:eastAsia="宋体" w:cs="宋体"/>
          <w:sz w:val="24"/>
          <w:szCs w:val="24"/>
          <w:lang w:val="en-US" w:eastAsia="zh-CN"/>
        </w:rPr>
        <w:t>为每个小时的交易电价，交易电价=总收益/总发电量。</w:t>
      </w:r>
    </w:p>
    <w:p>
      <w:pPr>
        <w:keepNext w:val="0"/>
        <w:keepLines w:val="0"/>
        <w:widowControl/>
        <w:numPr>
          <w:ilvl w:val="0"/>
          <w:numId w:val="2"/>
        </w:numPr>
        <w:suppressLineNumbers w:val="0"/>
        <w:ind w:left="0" w:leftChars="0" w:firstLine="420" w:firstLineChars="0"/>
        <w:jc w:val="left"/>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收益波动率</w:t>
      </w:r>
      <w:r>
        <w:rPr>
          <w:rFonts w:hint="eastAsia" w:ascii="宋体" w:hAnsi="宋体" w:cs="宋体"/>
          <w:color w:val="000000"/>
          <w:position w:val="-12"/>
          <w:sz w:val="24"/>
          <w:szCs w:val="24"/>
          <w:lang w:val="en-US" w:eastAsia="zh-CN"/>
        </w:rPr>
        <w:object>
          <v:shape id="_x0000_i1035" o:spt="75" type="#_x0000_t75" style="height:18pt;width:22pt;" o:ole="t" filled="f" o:preferrelative="t" stroked="f" coordsize="21600,21600">
            <v:path/>
            <v:fill on="f" focussize="0,0"/>
            <v:stroke on="f"/>
            <v:imagedata r:id="rId36" o:title=""/>
            <o:lock v:ext="edit" aspectratio="t"/>
            <w10:wrap type="none"/>
            <w10:anchorlock/>
          </v:shape>
          <o:OLEObject Type="Embed" ProgID="Equation.KSEE3" ShapeID="_x0000_i1035" DrawAspect="Content" ObjectID="_1468075735" r:id="rId35">
            <o:LockedField>false</o:LockedField>
          </o:OLEObject>
        </w:objec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即随着金融比例k的变化收益的变化率，该收益波动率与收益波动风险呈正相关。</w:t>
      </w:r>
    </w:p>
    <w:p>
      <w:pPr>
        <w:keepNext w:val="0"/>
        <w:keepLines w:val="0"/>
        <w:pageBreakBefore w:val="0"/>
        <w:widowControl/>
        <w:numPr>
          <w:ilvl w:val="0"/>
          <w:numId w:val="0"/>
        </w:numPr>
        <w:suppressLineNumbers w:val="0"/>
        <w:tabs>
          <w:tab w:val="center" w:pos="4200"/>
          <w:tab w:val="right" w:pos="8400"/>
        </w:tabs>
        <w:kinsoku/>
        <w:wordWrap/>
        <w:overflowPunct/>
        <w:topLinePunct w:val="0"/>
        <w:autoSpaceDE/>
        <w:autoSpaceDN/>
        <w:bidi w:val="0"/>
        <w:adjustRightInd/>
        <w:snapToGrid/>
        <w:ind w:firstLine="420" w:firstLineChars="0"/>
        <w:jc w:val="left"/>
        <w:textAlignment w:val="auto"/>
        <w:rPr>
          <w:rFonts w:hint="default" w:ascii="宋体" w:hAnsi="宋体" w:cs="宋体"/>
          <w:color w:val="000000"/>
          <w:sz w:val="24"/>
          <w:szCs w:val="24"/>
          <w:lang w:val="en-US" w:eastAsia="zh-CN"/>
        </w:rPr>
      </w:pPr>
      <w:r>
        <w:rPr>
          <w:rFonts w:hint="eastAsia" w:ascii="宋体" w:hAnsi="宋体" w:cs="宋体"/>
          <w:color w:val="000000"/>
          <w:position w:val="-34"/>
          <w:sz w:val="24"/>
          <w:szCs w:val="24"/>
          <w:lang w:val="en-US" w:eastAsia="zh-CN"/>
        </w:rPr>
        <w:tab/>
      </w:r>
      <w:r>
        <w:rPr>
          <w:rFonts w:hint="default" w:ascii="宋体" w:hAnsi="宋体" w:cs="宋体"/>
          <w:color w:val="000000"/>
          <w:position w:val="-34"/>
          <w:sz w:val="24"/>
          <w:szCs w:val="24"/>
          <w:lang w:val="en-US" w:eastAsia="zh-CN"/>
        </w:rPr>
        <w:object>
          <v:shape id="_x0000_i1036" o:spt="75" type="#_x0000_t75" style="height:40pt;width:84pt;" o:ole="t" filled="f" o:preferrelative="t" stroked="f" coordsize="21600,21600">
            <v:path/>
            <v:fill on="f" focussize="0,0"/>
            <v:stroke on="f"/>
            <v:imagedata r:id="rId38" o:title=""/>
            <o:lock v:ext="edit" aspectratio="t"/>
            <w10:wrap type="none"/>
            <w10:anchorlock/>
          </v:shape>
          <o:OLEObject Type="Embed" ProgID="Equation.KSEE3" ShapeID="_x0000_i1036" DrawAspect="Content" ObjectID="_1468075736" r:id="rId37">
            <o:LockedField>false</o:LockedField>
          </o:OLEObject>
        </w:object>
      </w:r>
      <w:r>
        <w:rPr>
          <w:rFonts w:hint="eastAsia" w:ascii="宋体" w:hAnsi="宋体" w:cs="宋体"/>
          <w:color w:val="000000"/>
          <w:position w:val="-34"/>
          <w:sz w:val="24"/>
          <w:szCs w:val="24"/>
          <w:lang w:val="en-US" w:eastAsia="zh-CN"/>
        </w:rPr>
        <w:tab/>
      </w:r>
      <w:r>
        <w:rPr>
          <w:rFonts w:hint="eastAsia" w:ascii="宋体" w:hAnsi="宋体" w:cs="宋体"/>
          <w:color w:val="000000"/>
          <w:position w:val="-34"/>
          <w:sz w:val="24"/>
          <w:szCs w:val="24"/>
          <w:lang w:val="en-US" w:eastAsia="zh-CN"/>
        </w:rPr>
        <w:t>(4-28)</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sz w:val="24"/>
          <w:szCs w:val="24"/>
          <w:lang w:val="en-US" w:eastAsia="zh-CN"/>
        </w:rPr>
        <w:object>
          <v:shape id="_x0000_i1037" o:spt="75" type="#_x0000_t75" style="height:19pt;width:19pt;" o:ole="t" filled="f" o:preferrelative="t" stroked="f" coordsize="21600,21600">
            <v:path/>
            <v:fill on="f" focussize="0,0"/>
            <v:stroke on="f"/>
            <v:imagedata r:id="rId40" o:title=""/>
            <o:lock v:ext="edit" aspectratio="t"/>
            <w10:wrap type="none"/>
            <w10:anchorlock/>
          </v:shape>
          <o:OLEObject Type="Embed" ProgID="Equation.KSEE3" ShapeID="_x0000_i1037" DrawAspect="Content" ObjectID="_1468075737" r:id="rId39">
            <o:LockedField>false</o:LockedField>
          </o:OLEObject>
        </w:object>
      </w:r>
      <w:r>
        <w:rPr>
          <w:rFonts w:hint="eastAsia" w:ascii="宋体" w:hAnsi="宋体" w:eastAsia="宋体" w:cs="宋体"/>
          <w:sz w:val="24"/>
          <w:szCs w:val="24"/>
          <w:lang w:val="en-US" w:eastAsia="zh-CN"/>
        </w:rPr>
        <w:t>表示金融比例k下，风电商i的收益，N为风电商个数。</w:t>
      </w:r>
    </w:p>
    <w:p>
      <w:pPr>
        <w:keepNext w:val="0"/>
        <w:keepLines w:val="0"/>
        <w:widowControl/>
        <w:numPr>
          <w:ilvl w:val="0"/>
          <w:numId w:val="2"/>
        </w:numPr>
        <w:suppressLineNumbers w:val="0"/>
        <w:ind w:left="0" w:leftChars="0" w:firstLine="420" w:firstLineChars="0"/>
        <w:jc w:val="left"/>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合约违约率</w:t>
      </w:r>
      <w:r>
        <w:rPr>
          <w:rFonts w:hint="eastAsia" w:ascii="宋体" w:hAnsi="宋体" w:cs="宋体"/>
          <w:color w:val="000000"/>
          <w:position w:val="-14"/>
          <w:sz w:val="24"/>
          <w:szCs w:val="24"/>
          <w:lang w:val="en-US" w:eastAsia="zh-CN"/>
        </w:rPr>
        <w:object>
          <v:shape id="_x0000_i1038" o:spt="75" type="#_x0000_t75" style="height:19pt;width:29pt;" o:ole="t" filled="f" o:preferrelative="t" stroked="f" coordsize="21600,21600">
            <v:path/>
            <v:fill on="f" focussize="0,0"/>
            <v:stroke on="f"/>
            <v:imagedata r:id="rId42" o:title=""/>
            <o:lock v:ext="edit" aspectratio="t"/>
            <w10:wrap type="none"/>
            <w10:anchorlock/>
          </v:shape>
          <o:OLEObject Type="Embed" ProgID="Equation.KSEE3" ShapeID="_x0000_i1038" DrawAspect="Content" ObjectID="_1468075738" r:id="rId41">
            <o:LockedField>false</o:LockedField>
          </o:OLEObject>
        </w:objec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即随着金融比例k的变化，风电商的违约电量与合同电量的比值的绝对值。</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风电商合约违约率与风电商合约违约风险呈正相关。</w:t>
      </w:r>
    </w:p>
    <w:p>
      <w:pPr>
        <w:keepNext w:val="0"/>
        <w:keepLines w:val="0"/>
        <w:pageBreakBefore w:val="0"/>
        <w:widowControl w:val="0"/>
        <w:tabs>
          <w:tab w:val="center" w:pos="4200"/>
          <w:tab w:val="right" w:pos="8400"/>
        </w:tabs>
        <w:kinsoku/>
        <w:wordWrap/>
        <w:overflowPunct/>
        <w:topLinePunct w:val="0"/>
        <w:autoSpaceDE/>
        <w:autoSpaceDN/>
        <w:bidi w:val="0"/>
        <w:adjustRightInd w:val="0"/>
        <w:snapToGrid w:val="0"/>
        <w:spacing w:line="360" w:lineRule="auto"/>
        <w:ind w:firstLine="420" w:firstLineChars="0"/>
        <w:jc w:val="center"/>
        <w:textAlignment w:val="auto"/>
        <w:rPr>
          <w:rFonts w:hint="default" w:ascii="宋体" w:hAnsi="宋体" w:cs="宋体"/>
          <w:color w:val="000000"/>
          <w:sz w:val="24"/>
          <w:szCs w:val="24"/>
          <w:lang w:val="en-US" w:eastAsia="zh-CN"/>
        </w:rPr>
      </w:pPr>
      <w:r>
        <w:rPr>
          <w:rFonts w:hint="eastAsia" w:ascii="宋体" w:hAnsi="宋体" w:cs="宋体"/>
          <w:color w:val="000000"/>
          <w:position w:val="-62"/>
          <w:sz w:val="24"/>
          <w:szCs w:val="24"/>
          <w:lang w:val="en-US" w:eastAsia="zh-CN"/>
        </w:rPr>
        <w:tab/>
      </w:r>
      <w:r>
        <w:rPr>
          <w:rFonts w:hint="eastAsia" w:ascii="宋体" w:hAnsi="宋体" w:cs="宋体"/>
          <w:color w:val="000000"/>
          <w:position w:val="-62"/>
          <w:sz w:val="24"/>
          <w:szCs w:val="24"/>
          <w:lang w:val="en-US" w:eastAsia="zh-CN"/>
        </w:rPr>
        <w:object>
          <v:shape id="_x0000_i1039" o:spt="75" type="#_x0000_t75" style="height:67.95pt;width:80pt;" o:ole="t" filled="f" o:preferrelative="t" stroked="f" coordsize="21600,21600">
            <v:path/>
            <v:fill on="f" focussize="0,0"/>
            <v:stroke on="f"/>
            <v:imagedata r:id="rId44" o:title=""/>
            <o:lock v:ext="edit" aspectratio="t"/>
            <w10:wrap type="none"/>
            <w10:anchorlock/>
          </v:shape>
          <o:OLEObject Type="Embed" ProgID="Equation.KSEE3" ShapeID="_x0000_i1039" DrawAspect="Content" ObjectID="_1468075739" r:id="rId43">
            <o:LockedField>false</o:LockedField>
          </o:OLEObject>
        </w:object>
      </w:r>
      <w:r>
        <w:rPr>
          <w:rFonts w:hint="eastAsia" w:ascii="宋体" w:hAnsi="宋体" w:cs="宋体"/>
          <w:color w:val="000000"/>
          <w:position w:val="-62"/>
          <w:sz w:val="24"/>
          <w:szCs w:val="24"/>
          <w:lang w:val="en-US" w:eastAsia="zh-CN"/>
        </w:rPr>
        <w:tab/>
      </w:r>
      <w:r>
        <w:rPr>
          <w:rFonts w:hint="eastAsia" w:ascii="宋体" w:hAnsi="宋体" w:cs="宋体"/>
          <w:color w:val="000000"/>
          <w:position w:val="-62"/>
          <w:sz w:val="24"/>
          <w:szCs w:val="24"/>
          <w:lang w:val="en-US" w:eastAsia="zh-CN"/>
        </w:rPr>
        <w:t>(4-29)</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sz w:val="24"/>
          <w:szCs w:val="24"/>
          <w:lang w:val="en-US" w:eastAsia="zh-CN"/>
        </w:rPr>
        <w:object>
          <v:shape id="_x0000_i1040" o:spt="75" type="#_x0000_t75" style="height:19pt;width:20pt;" o:ole="t" filled="f" o:preferrelative="t" stroked="f" coordsize="21600,21600">
            <v:path/>
            <v:fill on="f" focussize="0,0"/>
            <v:stroke on="f"/>
            <v:imagedata r:id="rId46" o:title=""/>
            <o:lock v:ext="edit" aspectratio="t"/>
            <w10:wrap type="none"/>
            <w10:anchorlock/>
          </v:shape>
          <o:OLEObject Type="Embed" ProgID="Equation.KSEE3" ShapeID="_x0000_i1040" DrawAspect="Content" ObjectID="_1468075740" r:id="rId45">
            <o:LockedField>false</o:LockedField>
          </o:OLEObject>
        </w:object>
      </w:r>
      <w:r>
        <w:rPr>
          <w:rFonts w:hint="eastAsia" w:ascii="宋体" w:hAnsi="宋体" w:eastAsia="宋体" w:cs="宋体"/>
          <w:sz w:val="24"/>
          <w:szCs w:val="24"/>
          <w:lang w:val="en-US" w:eastAsia="zh-CN"/>
        </w:rPr>
        <w:t>表示发电商i采用金融比例k的投资策略时合约违约电量，</w:t>
      </w:r>
      <w:r>
        <w:rPr>
          <w:rFonts w:hint="eastAsia" w:ascii="宋体" w:hAnsi="宋体" w:eastAsia="宋体" w:cs="宋体"/>
          <w:sz w:val="24"/>
          <w:szCs w:val="24"/>
          <w:lang w:val="en-US" w:eastAsia="zh-CN"/>
        </w:rPr>
        <w:object>
          <v:shape id="_x0000_i1041" o:spt="75" type="#_x0000_t75" style="height:13pt;width:13.95pt;" o:ole="t" filled="f" o:preferrelative="t" stroked="f" coordsize="21600,21600">
            <v:path/>
            <v:fill on="f" focussize="0,0"/>
            <v:stroke on="f"/>
            <v:imagedata r:id="rId48" o:title=""/>
            <o:lock v:ext="edit" aspectratio="t"/>
            <w10:wrap type="none"/>
            <w10:anchorlock/>
          </v:shape>
          <o:OLEObject Type="Embed" ProgID="Equation.KSEE3" ShapeID="_x0000_i1041" DrawAspect="Content" ObjectID="_1468075741" r:id="rId47">
            <o:LockedField>false</o:LockedField>
          </o:OLEObject>
        </w:object>
      </w:r>
      <w:r>
        <w:rPr>
          <w:rFonts w:hint="eastAsia" w:ascii="宋体" w:hAnsi="宋体" w:eastAsia="宋体" w:cs="宋体"/>
          <w:sz w:val="24"/>
          <w:szCs w:val="24"/>
          <w:lang w:val="en-US" w:eastAsia="zh-CN"/>
        </w:rPr>
        <w:t>为签订的总合同电量。</w:t>
      </w:r>
    </w:p>
    <w:p>
      <w:pPr>
        <w:numPr>
          <w:ilvl w:val="0"/>
          <w:numId w:val="2"/>
        </w:numPr>
        <w:adjustRightInd w:val="0"/>
        <w:snapToGrid w:val="0"/>
        <w:spacing w:line="360" w:lineRule="auto"/>
        <w:ind w:left="0" w:leftChars="0" w:firstLine="420" w:firstLineChars="0"/>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大用户付费波动率</w:t>
      </w:r>
      <w:r>
        <w:rPr>
          <w:rFonts w:hint="eastAsia" w:ascii="宋体" w:hAnsi="宋体" w:cs="宋体"/>
          <w:color w:val="000000"/>
          <w:position w:val="-12"/>
          <w:sz w:val="24"/>
          <w:szCs w:val="24"/>
          <w:lang w:val="en-US" w:eastAsia="zh-CN"/>
        </w:rPr>
        <w:object>
          <v:shape id="_x0000_i1042" o:spt="75" type="#_x0000_t75" style="height:18pt;width:21pt;" o:ole="t" filled="f" o:preferrelative="t" stroked="f" coordsize="21600,21600">
            <v:path/>
            <v:fill on="f" focussize="0,0"/>
            <v:stroke on="f"/>
            <v:imagedata r:id="rId50" o:title=""/>
            <o:lock v:ext="edit" aspectratio="t"/>
            <w10:wrap type="none"/>
            <w10:anchorlock/>
          </v:shape>
          <o:OLEObject Type="Embed" ProgID="Equation.KSEE3" ShapeID="_x0000_i1042" DrawAspect="Content" ObjectID="_1468075742" r:id="rId49">
            <o:LockedField>false</o:LockedField>
          </o:OLEObject>
        </w:objec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即随着金融比例k的变化，大用户付费的变化率，即金融比例k对应的大用户付费与金融比例（k-0.1）对应的大用户付费的比值。大用户付费波动率与用户付费风险呈正相关。</w:t>
      </w:r>
    </w:p>
    <w:p>
      <w:pPr>
        <w:keepNext w:val="0"/>
        <w:keepLines w:val="0"/>
        <w:pageBreakBefore w:val="0"/>
        <w:widowControl w:val="0"/>
        <w:numPr>
          <w:ilvl w:val="0"/>
          <w:numId w:val="0"/>
        </w:numPr>
        <w:tabs>
          <w:tab w:val="center" w:pos="4200"/>
          <w:tab w:val="right" w:pos="8400"/>
        </w:tabs>
        <w:kinsoku/>
        <w:wordWrap/>
        <w:overflowPunct/>
        <w:topLinePunct w:val="0"/>
        <w:autoSpaceDE/>
        <w:autoSpaceDN/>
        <w:bidi w:val="0"/>
        <w:adjustRightInd w:val="0"/>
        <w:snapToGrid w:val="0"/>
        <w:spacing w:line="360" w:lineRule="auto"/>
        <w:ind w:firstLine="420" w:firstLineChars="0"/>
        <w:jc w:val="center"/>
        <w:textAlignment w:val="auto"/>
        <w:rPr>
          <w:rFonts w:hint="default" w:ascii="宋体" w:hAnsi="宋体" w:cs="宋体"/>
          <w:color w:val="000000"/>
          <w:sz w:val="24"/>
          <w:szCs w:val="24"/>
          <w:lang w:val="en-US" w:eastAsia="zh-CN"/>
        </w:rPr>
      </w:pPr>
      <w:r>
        <w:rPr>
          <w:rFonts w:hint="eastAsia" w:ascii="宋体" w:hAnsi="宋体" w:cs="宋体"/>
          <w:color w:val="000000"/>
          <w:position w:val="-34"/>
          <w:sz w:val="24"/>
          <w:szCs w:val="24"/>
          <w:lang w:val="en-US" w:eastAsia="zh-CN"/>
        </w:rPr>
        <w:tab/>
      </w:r>
      <w:r>
        <w:rPr>
          <w:rFonts w:hint="default" w:ascii="宋体" w:hAnsi="宋体" w:cs="宋体"/>
          <w:color w:val="000000"/>
          <w:position w:val="-34"/>
          <w:sz w:val="24"/>
          <w:szCs w:val="24"/>
          <w:lang w:val="en-US" w:eastAsia="zh-CN"/>
        </w:rPr>
        <w:object>
          <v:shape id="_x0000_i1043" o:spt="75" type="#_x0000_t75" style="height:40pt;width:83pt;" o:ole="t" filled="f" o:preferrelative="t" stroked="f" coordsize="21600,21600">
            <v:path/>
            <v:fill on="f" focussize="0,0"/>
            <v:stroke on="f"/>
            <v:imagedata r:id="rId52" o:title=""/>
            <o:lock v:ext="edit" aspectratio="t"/>
            <w10:wrap type="none"/>
            <w10:anchorlock/>
          </v:shape>
          <o:OLEObject Type="Embed" ProgID="Equation.KSEE3" ShapeID="_x0000_i1043" DrawAspect="Content" ObjectID="_1468075743" r:id="rId51">
            <o:LockedField>false</o:LockedField>
          </o:OLEObject>
        </w:object>
      </w:r>
      <w:r>
        <w:rPr>
          <w:rFonts w:hint="eastAsia" w:ascii="宋体" w:hAnsi="宋体" w:cs="宋体"/>
          <w:color w:val="000000"/>
          <w:position w:val="-34"/>
          <w:sz w:val="24"/>
          <w:szCs w:val="24"/>
          <w:lang w:val="en-US" w:eastAsia="zh-CN"/>
        </w:rPr>
        <w:tab/>
      </w:r>
      <w:r>
        <w:rPr>
          <w:rFonts w:hint="eastAsia" w:ascii="宋体" w:hAnsi="宋体" w:cs="宋体"/>
          <w:color w:val="000000"/>
          <w:position w:val="-34"/>
          <w:sz w:val="24"/>
          <w:szCs w:val="24"/>
          <w:lang w:val="en-US" w:eastAsia="zh-CN"/>
        </w:rPr>
        <w:t>(4-30)</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sz w:val="24"/>
          <w:szCs w:val="24"/>
          <w:lang w:val="en-US" w:eastAsia="zh-CN"/>
        </w:rPr>
        <w:object>
          <v:shape id="_x0000_i1044" o:spt="75" type="#_x0000_t75" style="height:19pt;width:20pt;" o:ole="t" filled="f" o:preferrelative="t" stroked="f" coordsize="21600,21600">
            <v:path/>
            <v:fill on="f" focussize="0,0"/>
            <v:stroke on="f"/>
            <v:imagedata r:id="rId54" o:title=""/>
            <o:lock v:ext="edit" aspectratio="t"/>
            <w10:wrap type="none"/>
            <w10:anchorlock/>
          </v:shape>
          <o:OLEObject Type="Embed" ProgID="Equation.KSEE3" ShapeID="_x0000_i1044" DrawAspect="Content" ObjectID="_1468075744" r:id="rId53">
            <o:LockedField>false</o:LockedField>
          </o:OLEObject>
        </w:object>
      </w:r>
      <w:r>
        <w:rPr>
          <w:rFonts w:hint="eastAsia" w:ascii="宋体" w:hAnsi="宋体" w:eastAsia="宋体" w:cs="宋体"/>
          <w:sz w:val="24"/>
          <w:szCs w:val="24"/>
          <w:lang w:val="en-US" w:eastAsia="zh-CN"/>
        </w:rPr>
        <w:t>表示为金融比例k下，大用户i的付费，M为大用户的个数。</w:t>
      </w:r>
    </w:p>
    <w:p>
      <w:pPr>
        <w:widowControl w:val="0"/>
        <w:numPr>
          <w:ilvl w:val="0"/>
          <w:numId w:val="2"/>
        </w:numPr>
        <w:adjustRightInd w:val="0"/>
        <w:snapToGrid w:val="0"/>
        <w:spacing w:line="360" w:lineRule="auto"/>
        <w:ind w:left="0" w:leftChars="0" w:firstLine="420" w:firstLineChars="0"/>
        <w:jc w:val="both"/>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大用户合约违章率</w:t>
      </w:r>
      <w:r>
        <w:rPr>
          <w:rFonts w:hint="eastAsia" w:ascii="宋体" w:hAnsi="宋体" w:cs="宋体"/>
          <w:color w:val="000000"/>
          <w:position w:val="-14"/>
          <w:sz w:val="24"/>
          <w:szCs w:val="24"/>
          <w:lang w:val="en-US" w:eastAsia="zh-CN"/>
        </w:rPr>
        <w:object>
          <v:shape id="_x0000_i1045" o:spt="75" type="#_x0000_t75" style="height:19pt;width:28pt;" o:ole="t" filled="f" o:preferrelative="t" stroked="f" coordsize="21600,21600">
            <v:path/>
            <v:fill on="f" focussize="0,0"/>
            <v:stroke on="f"/>
            <v:imagedata r:id="rId56" o:title=""/>
            <o:lock v:ext="edit" aspectratio="t"/>
            <w10:wrap type="none"/>
            <w10:anchorlock/>
          </v:shape>
          <o:OLEObject Type="Embed" ProgID="Equation.KSEE3" ShapeID="_x0000_i1045" DrawAspect="Content" ObjectID="_1468075745" r:id="rId55">
            <o:LockedField>false</o:LockedField>
          </o:OLEObject>
        </w:object>
      </w:r>
    </w:p>
    <w:p>
      <w:pPr>
        <w:keepNext w:val="0"/>
        <w:keepLines w:val="0"/>
        <w:pageBreakBefore w:val="0"/>
        <w:widowControl w:val="0"/>
        <w:numPr>
          <w:ilvl w:val="0"/>
          <w:numId w:val="0"/>
        </w:numPr>
        <w:tabs>
          <w:tab w:val="center" w:pos="4200"/>
          <w:tab w:val="right" w:pos="8400"/>
        </w:tabs>
        <w:kinsoku/>
        <w:wordWrap/>
        <w:overflowPunct/>
        <w:topLinePunct w:val="0"/>
        <w:autoSpaceDE/>
        <w:autoSpaceDN/>
        <w:bidi w:val="0"/>
        <w:adjustRightInd w:val="0"/>
        <w:snapToGrid w:val="0"/>
        <w:spacing w:line="360" w:lineRule="auto"/>
        <w:ind w:firstLine="420" w:firstLineChars="0"/>
        <w:jc w:val="both"/>
        <w:textAlignment w:val="auto"/>
        <w:rPr>
          <w:rFonts w:hint="default" w:ascii="宋体" w:hAnsi="宋体" w:cs="宋体"/>
          <w:color w:val="000000"/>
          <w:sz w:val="24"/>
          <w:szCs w:val="24"/>
          <w:lang w:val="en-US" w:eastAsia="zh-CN"/>
        </w:rPr>
      </w:pPr>
      <w:r>
        <w:rPr>
          <w:rFonts w:hint="eastAsia" w:ascii="宋体" w:hAnsi="宋体" w:cs="宋体"/>
          <w:color w:val="000000"/>
          <w:position w:val="-62"/>
          <w:sz w:val="24"/>
          <w:szCs w:val="24"/>
          <w:lang w:val="en-US" w:eastAsia="zh-CN"/>
        </w:rPr>
        <w:tab/>
      </w:r>
      <w:r>
        <w:rPr>
          <w:rFonts w:hint="eastAsia" w:ascii="宋体" w:hAnsi="宋体" w:cs="宋体"/>
          <w:color w:val="000000"/>
          <w:position w:val="-62"/>
          <w:sz w:val="24"/>
          <w:szCs w:val="24"/>
          <w:lang w:val="en-US" w:eastAsia="zh-CN"/>
        </w:rPr>
        <w:object>
          <v:shape id="_x0000_i1046" o:spt="75" type="#_x0000_t75" style="height:67.95pt;width:76pt;" o:ole="t" filled="f" o:preferrelative="t" stroked="f" coordsize="21600,21600">
            <v:path/>
            <v:fill on="f" focussize="0,0"/>
            <v:stroke on="f"/>
            <v:imagedata r:id="rId58" o:title=""/>
            <o:lock v:ext="edit" aspectratio="t"/>
            <w10:wrap type="none"/>
            <w10:anchorlock/>
          </v:shape>
          <o:OLEObject Type="Embed" ProgID="Equation.KSEE3" ShapeID="_x0000_i1046" DrawAspect="Content" ObjectID="_1468075746" r:id="rId57">
            <o:LockedField>false</o:LockedField>
          </o:OLEObject>
        </w:object>
      </w:r>
      <w:r>
        <w:rPr>
          <w:rFonts w:hint="eastAsia" w:ascii="宋体" w:hAnsi="宋体" w:cs="宋体"/>
          <w:color w:val="000000"/>
          <w:position w:val="-62"/>
          <w:sz w:val="24"/>
          <w:szCs w:val="24"/>
          <w:lang w:val="en-US" w:eastAsia="zh-CN"/>
        </w:rPr>
        <w:tab/>
      </w:r>
      <w:r>
        <w:rPr>
          <w:rFonts w:hint="eastAsia" w:ascii="宋体" w:hAnsi="宋体" w:cs="宋体"/>
          <w:color w:val="000000"/>
          <w:position w:val="-62"/>
          <w:sz w:val="24"/>
          <w:szCs w:val="24"/>
          <w:lang w:val="en-US" w:eastAsia="zh-CN"/>
        </w:rPr>
        <w:t>(4-31)</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sz w:val="24"/>
          <w:szCs w:val="24"/>
          <w:lang w:val="en-US" w:eastAsia="zh-CN"/>
        </w:rPr>
        <w:object>
          <v:shape id="_x0000_i1047" o:spt="75" type="#_x0000_t75" style="height:19pt;width:17pt;" o:ole="t" filled="f" o:preferrelative="t" stroked="f" coordsize="21600,21600">
            <v:path/>
            <v:fill on="f" focussize="0,0"/>
            <v:stroke on="f"/>
            <v:imagedata r:id="rId60" o:title=""/>
            <o:lock v:ext="edit" aspectratio="t"/>
            <w10:wrap type="none"/>
            <w10:anchorlock/>
          </v:shape>
          <o:OLEObject Type="Embed" ProgID="Equation.KSEE3" ShapeID="_x0000_i1047" DrawAspect="Content" ObjectID="_1468075747" r:id="rId59">
            <o:LockedField>false</o:LockedField>
          </o:OLEObject>
        </w:object>
      </w:r>
      <w:r>
        <w:rPr>
          <w:rFonts w:hint="eastAsia" w:ascii="宋体" w:hAnsi="宋体" w:eastAsia="宋体" w:cs="宋体"/>
          <w:sz w:val="24"/>
          <w:szCs w:val="24"/>
          <w:lang w:val="en-US" w:eastAsia="zh-CN"/>
        </w:rPr>
        <w:t>表示大用户i采用金融比例k的投资策略时合约违约电量，H表示为签订的总合同电量。</w:t>
      </w:r>
    </w:p>
    <w:p>
      <w:pPr>
        <w:widowControl w:val="0"/>
        <w:numPr>
          <w:ilvl w:val="0"/>
          <w:numId w:val="0"/>
        </w:numPr>
        <w:adjustRightInd w:val="0"/>
        <w:snapToGrid w:val="0"/>
        <w:spacing w:line="360" w:lineRule="auto"/>
        <w:ind w:firstLine="420" w:firstLineChars="0"/>
        <w:jc w:val="both"/>
        <w:rPr>
          <w:rFonts w:hint="default" w:ascii="宋体" w:hAnsi="宋体" w:cs="宋体"/>
          <w:color w:val="000000"/>
          <w:sz w:val="24"/>
          <w:szCs w:val="24"/>
          <w:lang w:val="en-US" w:eastAsia="zh-CN"/>
        </w:rPr>
      </w:pPr>
    </w:p>
    <w:p>
      <w:pPr>
        <w:pStyle w:val="3"/>
        <w:bidi w:val="0"/>
        <w:ind w:firstLine="420" w:firstLineChars="0"/>
        <w:rPr>
          <w:rFonts w:hint="eastAsia" w:ascii="黑体" w:hAnsi="黑体" w:eastAsia="黑体" w:cs="黑体"/>
          <w:sz w:val="28"/>
          <w:szCs w:val="28"/>
          <w:lang w:val="en-US" w:eastAsia="zh-CN"/>
        </w:rPr>
      </w:pPr>
      <w:bookmarkStart w:id="27" w:name="_Toc15844"/>
      <w:r>
        <w:rPr>
          <w:rFonts w:hint="eastAsia" w:ascii="黑体" w:hAnsi="黑体" w:eastAsia="黑体" w:cs="黑体"/>
          <w:sz w:val="28"/>
          <w:szCs w:val="28"/>
          <w:lang w:val="en-US" w:eastAsia="zh-CN"/>
        </w:rPr>
        <w:t>4.3 新电改形势下的华电火电厂营销策略优化</w:t>
      </w:r>
      <w:bookmarkEnd w:id="27"/>
    </w:p>
    <w:p>
      <w:pPr>
        <w:adjustRightInd w:val="0"/>
        <w:snapToGrid w:val="0"/>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根据目标市场中不同类型电力用户的差异化需求，从合理制订交易电价、拓宽营销渠道、针对性促销</w:t>
      </w:r>
      <w:r>
        <w:rPr>
          <w:rFonts w:hint="eastAsia" w:ascii="宋体" w:hAnsi="宋体" w:cs="宋体"/>
          <w:sz w:val="24"/>
          <w:szCs w:val="24"/>
          <w:lang w:val="en-US" w:eastAsia="zh-CN"/>
        </w:rPr>
        <w:t>与</w:t>
      </w:r>
      <w:r>
        <w:rPr>
          <w:rFonts w:hint="eastAsia" w:ascii="宋体" w:hAnsi="宋体" w:eastAsia="宋体" w:cs="宋体"/>
          <w:sz w:val="24"/>
          <w:szCs w:val="24"/>
          <w:lang w:val="en-US" w:eastAsia="zh-CN"/>
        </w:rPr>
        <w:t>关系营销等几个方面研究对应的营销策略，帮助华电在保证市场化交易电价水平的同时扩大市场化交易电量份额，避免其在电改新形势下陷入经营困局，具有重要的意义。具体思路见图4-5。</w:t>
      </w:r>
    </w:p>
    <w:p>
      <w:pPr>
        <w:keepNext w:val="0"/>
        <w:keepLines w:val="0"/>
        <w:widowControl/>
        <w:suppressLineNumbers w:val="0"/>
        <w:jc w:val="center"/>
      </w:pPr>
      <w:r>
        <w:drawing>
          <wp:inline distT="0" distB="0" distL="114300" distR="114300">
            <wp:extent cx="4532630" cy="4816475"/>
            <wp:effectExtent l="0" t="0" r="7620" b="4445"/>
            <wp:docPr id="1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1"/>
                    <pic:cNvPicPr>
                      <a:picLocks noChangeAspect="1"/>
                    </pic:cNvPicPr>
                  </pic:nvPicPr>
                  <pic:blipFill>
                    <a:blip r:embed="rId61"/>
                    <a:stretch>
                      <a:fillRect/>
                    </a:stretch>
                  </pic:blipFill>
                  <pic:spPr>
                    <a:xfrm>
                      <a:off x="0" y="0"/>
                      <a:ext cx="4532630" cy="4816475"/>
                    </a:xfrm>
                    <a:prstGeom prst="rect">
                      <a:avLst/>
                    </a:prstGeom>
                    <a:noFill/>
                    <a:ln>
                      <a:noFill/>
                    </a:ln>
                  </pic:spPr>
                </pic:pic>
              </a:graphicData>
            </a:graphic>
          </wp:inline>
        </w:drawing>
      </w:r>
    </w:p>
    <w:p>
      <w:pPr>
        <w:adjustRightInd w:val="0"/>
        <w:snapToGrid w:val="0"/>
        <w:spacing w:line="360" w:lineRule="auto"/>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图4-5 新电改形势下的火电厂营销策略优化路线</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4.3.1 新电改形势下的火电厂营销策略影响因素模型</w:t>
      </w:r>
    </w:p>
    <w:p>
      <w:pPr>
        <w:widowControl w:val="0"/>
        <w:numPr>
          <w:ilvl w:val="0"/>
          <w:numId w:val="0"/>
        </w:numPr>
        <w:tabs>
          <w:tab w:val="left" w:pos="785"/>
        </w:tabs>
        <w:adjustRightInd w:val="0"/>
        <w:snapToGrid w:val="0"/>
        <w:spacing w:line="360" w:lineRule="auto"/>
        <w:jc w:val="both"/>
        <w:rPr>
          <w:rFonts w:hint="eastAsia" w:ascii="宋体" w:hAnsi="宋体" w:eastAsia="宋体" w:cs="宋体"/>
          <w:sz w:val="24"/>
          <w:szCs w:val="24"/>
          <w:lang w:val="en-US" w:eastAsia="zh-CN"/>
        </w:rPr>
      </w:pPr>
      <w:r>
        <w:rPr>
          <w:rFonts w:hint="eastAsia" w:ascii="仿宋_GB2312" w:eastAsia="仿宋_GB2312"/>
          <w:sz w:val="24"/>
          <w:szCs w:val="24"/>
          <w:lang w:val="en-US" w:eastAsia="zh-CN"/>
        </w:rPr>
        <w:tab/>
      </w:r>
      <w:r>
        <w:rPr>
          <w:rFonts w:hint="eastAsia" w:ascii="宋体" w:hAnsi="宋体" w:eastAsia="宋体" w:cs="宋体"/>
          <w:sz w:val="24"/>
          <w:szCs w:val="24"/>
          <w:lang w:val="en-US" w:eastAsia="zh-CN"/>
        </w:rPr>
        <w:t>（1）扎根理论</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扎根理论主要体现的是研究的一种路径，可以被看作是质性研究领域中众多路径之一。它同其他研究路径的不同点在于：扎根理论不仅仅针对某种研究现象进行描述和解释，而是从原始收集资料中进行扫描，通过细节呈现本质，进而对资料中隐含的主题进行分析和归类，最终形成理论。因此，研究者需要依据理论抽样原则，按照生成理论的需要选择研究对象，进行资料整理和分析，从而发现理论并进行检验。其研究流程如下：</w:t>
      </w:r>
    </w:p>
    <w:p>
      <w:pPr>
        <w:widowControl w:val="0"/>
        <w:numPr>
          <w:ilvl w:val="0"/>
          <w:numId w:val="0"/>
        </w:numPr>
        <w:tabs>
          <w:tab w:val="left" w:pos="785"/>
        </w:tabs>
        <w:adjustRightInd w:val="0"/>
        <w:snapToGrid w:val="0"/>
        <w:spacing w:line="360" w:lineRule="auto"/>
        <w:jc w:val="center"/>
      </w:pPr>
      <w:r>
        <w:drawing>
          <wp:inline distT="0" distB="0" distL="114300" distR="114300">
            <wp:extent cx="5622925" cy="1569085"/>
            <wp:effectExtent l="0" t="0" r="6985" b="7620"/>
            <wp:docPr id="1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0"/>
                    <pic:cNvPicPr>
                      <a:picLocks noChangeAspect="1"/>
                    </pic:cNvPicPr>
                  </pic:nvPicPr>
                  <pic:blipFill>
                    <a:blip r:embed="rId62"/>
                    <a:stretch>
                      <a:fillRect/>
                    </a:stretch>
                  </pic:blipFill>
                  <pic:spPr>
                    <a:xfrm>
                      <a:off x="0" y="0"/>
                      <a:ext cx="5622925" cy="1569085"/>
                    </a:xfrm>
                    <a:prstGeom prst="rect">
                      <a:avLst/>
                    </a:prstGeom>
                    <a:noFill/>
                    <a:ln>
                      <a:noFill/>
                    </a:ln>
                  </pic:spPr>
                </pic:pic>
              </a:graphicData>
            </a:graphic>
          </wp:inline>
        </w:drawing>
      </w:r>
    </w:p>
    <w:p>
      <w:pPr>
        <w:widowControl w:val="0"/>
        <w:numPr>
          <w:ilvl w:val="0"/>
          <w:numId w:val="0"/>
        </w:numPr>
        <w:tabs>
          <w:tab w:val="left" w:pos="785"/>
        </w:tabs>
        <w:adjustRightInd w:val="0"/>
        <w:snapToGrid w:val="0"/>
        <w:spacing w:line="360" w:lineRule="auto"/>
        <w:jc w:val="center"/>
        <w:rPr>
          <w:rFonts w:hint="default" w:eastAsia="宋体"/>
          <w:sz w:val="24"/>
          <w:szCs w:val="24"/>
          <w:lang w:val="en-US" w:eastAsia="zh-CN"/>
        </w:rPr>
      </w:pPr>
      <w:r>
        <w:rPr>
          <w:rFonts w:hint="eastAsia"/>
          <w:sz w:val="24"/>
          <w:szCs w:val="24"/>
          <w:lang w:val="en-US" w:eastAsia="zh-CN"/>
        </w:rPr>
        <w:t>图4-6 扎根理论研究流程</w:t>
      </w:r>
    </w:p>
    <w:p>
      <w:pPr>
        <w:widowControl w:val="0"/>
        <w:numPr>
          <w:ilvl w:val="0"/>
          <w:numId w:val="3"/>
        </w:numPr>
        <w:tabs>
          <w:tab w:val="left" w:pos="785"/>
        </w:tabs>
        <w:adjustRightInd w:val="0"/>
        <w:snapToGrid w:val="0"/>
        <w:spacing w:line="360" w:lineRule="auto"/>
        <w:ind w:left="785"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波特五力模型</w:t>
      </w:r>
    </w:p>
    <w:p>
      <w:pPr>
        <w:widowControl w:val="0"/>
        <w:numPr>
          <w:ilvl w:val="0"/>
          <w:numId w:val="0"/>
        </w:numPr>
        <w:tabs>
          <w:tab w:val="left" w:pos="785"/>
        </w:tabs>
        <w:adjustRightInd w:val="0"/>
        <w:snapToGrid w:val="0"/>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波特五力模型用于分析某行业内的竞争状况，主要从5个方面进行衡量，即：行业内竞争水平、供应商议价能力、购买者议价能力、潜在竞争者威胁、替代品威胁。此种方法将大量竞争因素归集在一个模型中，较直观的对行业基本竞争态势进行判断。此种模型可以直接反映出目前电力供大于求形势下现有发电企业的竞争程度，并对新投产发电机组和新市场准入的售电公司带来的潜在竞争威胁进行预判。通过替代品威胁的研究可以分析出未来电力消费水平的整体走势，预测替代电能的产品对发电企业竞争环境会产生多大影响。通过对煤炭供应商和和电力用户议价水平的分析可以明确发电企业的盈利能力和竞争能力。电力行业的竞争规律都能在这5种竞争的作用力上得到提现，因此该模型非常适合发电企业用来进行战略分析。</w:t>
      </w:r>
    </w:p>
    <w:p>
      <w:pPr>
        <w:widowControl w:val="0"/>
        <w:numPr>
          <w:ilvl w:val="0"/>
          <w:numId w:val="3"/>
        </w:numPr>
        <w:tabs>
          <w:tab w:val="left" w:pos="785"/>
        </w:tabs>
        <w:adjustRightInd w:val="0"/>
        <w:snapToGrid w:val="0"/>
        <w:spacing w:line="360" w:lineRule="auto"/>
        <w:ind w:left="785"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SWOT分析</w:t>
      </w:r>
    </w:p>
    <w:p>
      <w:pPr>
        <w:widowControl w:val="0"/>
        <w:numPr>
          <w:ilvl w:val="0"/>
          <w:numId w:val="0"/>
        </w:numPr>
        <w:tabs>
          <w:tab w:val="left" w:pos="785"/>
        </w:tabs>
        <w:adjustRightInd w:val="0"/>
        <w:snapToGrid w:val="0"/>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SWOT分析是基于内外部竞争环境和条件下的分析方法，主要是结合自身企业实际与竞争对手进行比较，确定企业本身的竞争优势、竞争劣势、机会和威胁。通过将各方因素的综合整合，可以实现对目标企业的全方位定位，制定相对应的战略对策。发电企业在分析时可以把所有内部因素，如集团优势、区域优势、能耗指标优势等有利因素和市场观念缺失、人员配备不合理、冬季供热影响等不利因素集中在一起，然后用市场机会和威胁等外部因素进行评估，通过象限直观的展示出企业优劣势和威胁机会的关系，方便发电企业做出适合的战略选择。</w:t>
      </w:r>
    </w:p>
    <w:p>
      <w:pPr>
        <w:widowControl w:val="0"/>
        <w:numPr>
          <w:ilvl w:val="0"/>
          <w:numId w:val="0"/>
        </w:numPr>
        <w:tabs>
          <w:tab w:val="left" w:pos="785"/>
        </w:tabs>
        <w:adjustRightInd w:val="0"/>
        <w:snapToGrid w:val="0"/>
        <w:spacing w:line="360" w:lineRule="auto"/>
        <w:jc w:val="center"/>
      </w:pPr>
      <w:r>
        <w:drawing>
          <wp:inline distT="0" distB="0" distL="114300" distR="114300">
            <wp:extent cx="4401820" cy="2343785"/>
            <wp:effectExtent l="0" t="0" r="6350" b="635"/>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pic:cNvPicPr>
                      <a:picLocks noChangeAspect="1"/>
                    </pic:cNvPicPr>
                  </pic:nvPicPr>
                  <pic:blipFill>
                    <a:blip r:embed="rId63"/>
                    <a:stretch>
                      <a:fillRect/>
                    </a:stretch>
                  </pic:blipFill>
                  <pic:spPr>
                    <a:xfrm>
                      <a:off x="0" y="0"/>
                      <a:ext cx="4401820" cy="2343785"/>
                    </a:xfrm>
                    <a:prstGeom prst="rect">
                      <a:avLst/>
                    </a:prstGeom>
                    <a:noFill/>
                    <a:ln>
                      <a:noFill/>
                    </a:ln>
                  </pic:spPr>
                </pic:pic>
              </a:graphicData>
            </a:graphic>
          </wp:inline>
        </w:drawing>
      </w:r>
    </w:p>
    <w:p>
      <w:pPr>
        <w:widowControl w:val="0"/>
        <w:numPr>
          <w:ilvl w:val="0"/>
          <w:numId w:val="0"/>
        </w:numPr>
        <w:tabs>
          <w:tab w:val="left" w:pos="785"/>
        </w:tabs>
        <w:adjustRightInd w:val="0"/>
        <w:snapToGrid w:val="0"/>
        <w:spacing w:line="360" w:lineRule="auto"/>
        <w:jc w:val="center"/>
        <w:rPr>
          <w:rFonts w:hint="eastAsia"/>
          <w:lang w:val="en-US" w:eastAsia="zh-CN"/>
        </w:rPr>
      </w:pPr>
      <w:r>
        <w:rPr>
          <w:rFonts w:hint="eastAsia" w:ascii="宋体" w:hAnsi="宋体" w:eastAsia="宋体" w:cs="宋体"/>
          <w:sz w:val="24"/>
          <w:szCs w:val="24"/>
          <w:lang w:val="en-US" w:eastAsia="zh-CN"/>
        </w:rPr>
        <w:t>图</w:t>
      </w:r>
      <w:r>
        <w:rPr>
          <w:rFonts w:hint="eastAsia" w:ascii="宋体" w:hAnsi="宋体" w:cs="宋体"/>
          <w:sz w:val="24"/>
          <w:szCs w:val="24"/>
          <w:lang w:val="en-US" w:eastAsia="zh-CN"/>
        </w:rPr>
        <w:t>4-7：</w:t>
      </w:r>
      <w:r>
        <w:rPr>
          <w:rFonts w:hint="eastAsia" w:ascii="宋体" w:hAnsi="宋体" w:eastAsia="宋体" w:cs="宋体"/>
          <w:sz w:val="24"/>
          <w:szCs w:val="24"/>
          <w:lang w:val="en-US" w:eastAsia="zh-CN"/>
        </w:rPr>
        <w:t>SWOT分析图示</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4.3.2 新电改形势下华电集团火电厂营销策略制定</w:t>
      </w:r>
    </w:p>
    <w:p>
      <w:pPr>
        <w:adjustRightInd w:val="0"/>
        <w:snapToGrid w:val="0"/>
        <w:spacing w:line="360" w:lineRule="auto"/>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传统的电力渠道是发电厂生产电能，由电网公司统一收购，然后再销售给用户，仅电网企业是中间商。新电改后，发电厂直接面对客户，可以将电能卖给电网公司、售电公司或者客户直购，电网不在是唯一的中间商，客户也可以自主的选择供电商，在这种机制下形成了新一代的市场渠道。</w:t>
      </w:r>
      <w:r>
        <w:rPr>
          <w:rFonts w:hint="eastAsia" w:ascii="宋体" w:hAnsi="宋体" w:cs="宋体"/>
          <w:sz w:val="24"/>
          <w:szCs w:val="24"/>
          <w:lang w:val="en-US" w:eastAsia="zh-CN"/>
        </w:rPr>
        <w:t>因此，亟需研究一系列创新渠道策略，例如，</w:t>
      </w:r>
      <w:r>
        <w:rPr>
          <w:rFonts w:hint="default" w:ascii="宋体" w:hAnsi="宋体" w:eastAsia="宋体" w:cs="宋体"/>
          <w:sz w:val="24"/>
          <w:szCs w:val="24"/>
          <w:lang w:val="en-US" w:eastAsia="zh-CN"/>
        </w:rPr>
        <w:t>大用户直购电渠道策略</w:t>
      </w:r>
      <w:r>
        <w:rPr>
          <w:rFonts w:hint="eastAsia" w:ascii="宋体" w:hAnsi="宋体" w:cs="宋体"/>
          <w:sz w:val="24"/>
          <w:szCs w:val="24"/>
          <w:lang w:val="en-US" w:eastAsia="zh-CN"/>
        </w:rPr>
        <w:t>，</w:t>
      </w:r>
      <w:r>
        <w:rPr>
          <w:rFonts w:hint="default" w:ascii="宋体" w:hAnsi="宋体" w:eastAsia="宋体" w:cs="宋体"/>
          <w:sz w:val="24"/>
          <w:szCs w:val="24"/>
          <w:lang w:val="en-US" w:eastAsia="zh-CN"/>
        </w:rPr>
        <w:t>间接电力销售渠道策略</w:t>
      </w:r>
      <w:r>
        <w:rPr>
          <w:rFonts w:hint="eastAsia" w:ascii="宋体" w:hAnsi="宋体" w:cs="宋体"/>
          <w:sz w:val="24"/>
          <w:szCs w:val="24"/>
          <w:lang w:val="en-US" w:eastAsia="zh-CN"/>
        </w:rPr>
        <w:t>，</w:t>
      </w:r>
      <w:r>
        <w:rPr>
          <w:rFonts w:hint="default" w:ascii="宋体" w:hAnsi="宋体" w:eastAsia="宋体" w:cs="宋体"/>
          <w:sz w:val="24"/>
          <w:szCs w:val="24"/>
          <w:lang w:val="en-US" w:eastAsia="zh-CN"/>
        </w:rPr>
        <w:t>替代发电策略</w:t>
      </w:r>
      <w:r>
        <w:rPr>
          <w:rFonts w:hint="eastAsia" w:ascii="宋体" w:hAnsi="宋体" w:cs="宋体"/>
          <w:sz w:val="24"/>
          <w:szCs w:val="24"/>
          <w:lang w:val="en-US" w:eastAsia="zh-CN"/>
        </w:rPr>
        <w:t>，</w:t>
      </w:r>
      <w:r>
        <w:rPr>
          <w:rFonts w:hint="default" w:ascii="宋体" w:hAnsi="宋体" w:eastAsia="宋体" w:cs="宋体"/>
          <w:sz w:val="24"/>
          <w:szCs w:val="24"/>
          <w:lang w:val="en-US" w:eastAsia="zh-CN"/>
        </w:rPr>
        <w:t>参与跨区域电力交易</w:t>
      </w:r>
      <w:r>
        <w:rPr>
          <w:rFonts w:hint="eastAsia" w:ascii="宋体" w:hAnsi="宋体" w:cs="宋体"/>
          <w:sz w:val="24"/>
          <w:szCs w:val="24"/>
          <w:lang w:val="en-US" w:eastAsia="zh-CN"/>
        </w:rPr>
        <w:t>，</w:t>
      </w:r>
      <w:r>
        <w:rPr>
          <w:rFonts w:hint="default" w:ascii="宋体" w:hAnsi="宋体" w:eastAsia="宋体" w:cs="宋体"/>
          <w:sz w:val="24"/>
          <w:szCs w:val="24"/>
          <w:lang w:val="en-US" w:eastAsia="zh-CN"/>
        </w:rPr>
        <w:t>投资增量配电网业务</w:t>
      </w:r>
      <w:r>
        <w:rPr>
          <w:rFonts w:hint="eastAsia" w:ascii="宋体" w:hAnsi="宋体" w:cs="宋体"/>
          <w:sz w:val="24"/>
          <w:szCs w:val="24"/>
          <w:lang w:val="en-US" w:eastAsia="zh-CN"/>
        </w:rPr>
        <w:t>等方式，提供</w:t>
      </w:r>
      <w:r>
        <w:rPr>
          <w:rFonts w:hint="eastAsia" w:ascii="宋体" w:hAnsi="宋体" w:eastAsia="宋体" w:cs="宋体"/>
          <w:sz w:val="24"/>
          <w:szCs w:val="24"/>
          <w:lang w:val="en-US" w:eastAsia="zh-CN"/>
        </w:rPr>
        <w:t>差异化服务</w:t>
      </w:r>
      <w:r>
        <w:rPr>
          <w:rFonts w:hint="eastAsia" w:ascii="宋体" w:hAnsi="宋体" w:cs="宋体"/>
          <w:sz w:val="24"/>
          <w:szCs w:val="24"/>
          <w:lang w:val="en-US" w:eastAsia="zh-CN"/>
        </w:rPr>
        <w:t>，提高</w:t>
      </w:r>
      <w:r>
        <w:rPr>
          <w:rFonts w:hint="default" w:ascii="宋体" w:hAnsi="宋体" w:eastAsia="宋体" w:cs="宋体"/>
          <w:sz w:val="24"/>
          <w:szCs w:val="24"/>
          <w:lang w:val="en-US" w:eastAsia="zh-CN"/>
        </w:rPr>
        <w:t>提高用户粘性</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拓宽电能产品的附加价值</w:t>
      </w:r>
      <w:r>
        <w:rPr>
          <w:rFonts w:hint="eastAsia" w:ascii="宋体" w:hAnsi="宋体" w:cs="宋体"/>
          <w:sz w:val="24"/>
          <w:szCs w:val="24"/>
          <w:lang w:val="en-US" w:eastAsia="zh-CN"/>
        </w:rPr>
        <w:t>。</w:t>
      </w:r>
    </w:p>
    <w:p>
      <w:pPr>
        <w:adjustRightInd w:val="0"/>
        <w:snapToGrid w:val="0"/>
        <w:spacing w:line="360" w:lineRule="auto"/>
        <w:ind w:firstLine="480" w:firstLineChars="200"/>
        <w:rPr>
          <w:rFonts w:ascii="宋体" w:hAnsi="宋体" w:cs="宋体"/>
          <w:color w:val="000000"/>
          <w:sz w:val="24"/>
          <w:szCs w:val="22"/>
        </w:rPr>
      </w:pPr>
    </w:p>
    <w:p>
      <w:pPr>
        <w:pStyle w:val="3"/>
        <w:bidi w:val="0"/>
        <w:ind w:firstLine="420" w:firstLineChars="0"/>
        <w:rPr>
          <w:rFonts w:hint="eastAsia" w:ascii="黑体" w:hAnsi="黑体" w:eastAsia="黑体" w:cs="黑体"/>
          <w:sz w:val="28"/>
          <w:szCs w:val="28"/>
          <w:lang w:val="en-US" w:eastAsia="zh-CN"/>
        </w:rPr>
      </w:pPr>
      <w:bookmarkStart w:id="28" w:name="_Toc22038"/>
      <w:r>
        <w:rPr>
          <w:rFonts w:hint="eastAsia" w:ascii="黑体" w:hAnsi="黑体" w:eastAsia="黑体" w:cs="黑体"/>
          <w:sz w:val="28"/>
          <w:szCs w:val="28"/>
          <w:lang w:val="en-US" w:eastAsia="zh-CN"/>
        </w:rPr>
        <w:t>4.4 数据驱动的供应链管理、优化与增值业务研究</w:t>
      </w:r>
      <w:bookmarkEnd w:id="28"/>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4.4.1电力全产业链平台创新建设模式研究</w:t>
      </w:r>
    </w:p>
    <w:p>
      <w:pPr>
        <w:adjustRightInd w:val="0"/>
        <w:snapToGrid w:val="0"/>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融合“发电侧-电网侧”的电力供应链数据以实现精准发电、供应链资源优化配置等功能。发电侧打通煤炭、配套装备及材料、物流等供应链信息，电网侧打通发电、供电、电力部门用电等数据，并融合人工智能、区块链、联邦学习等新一代信息技术，从供应链管理领域优化</w:t>
      </w:r>
      <w:r>
        <w:rPr>
          <w:rFonts w:hint="eastAsia" w:ascii="宋体" w:hAnsi="宋体" w:cs="宋体"/>
          <w:sz w:val="24"/>
          <w:szCs w:val="24"/>
          <w:lang w:val="en-US" w:eastAsia="zh-CN"/>
        </w:rPr>
        <w:t>数据分享、物资采购等</w:t>
      </w:r>
      <w:r>
        <w:rPr>
          <w:rFonts w:hint="eastAsia" w:ascii="宋体" w:hAnsi="宋体" w:eastAsia="宋体" w:cs="宋体"/>
          <w:sz w:val="24"/>
          <w:szCs w:val="24"/>
          <w:lang w:val="en-US" w:eastAsia="zh-CN"/>
        </w:rPr>
        <w:t>流程，研究分析电力全产业链综合服务支撑平台的多维技术路径</w:t>
      </w:r>
      <w:r>
        <w:rPr>
          <w:rFonts w:hint="eastAsia" w:ascii="宋体" w:hAnsi="宋体" w:cs="宋体"/>
          <w:sz w:val="24"/>
          <w:szCs w:val="24"/>
          <w:lang w:val="en-US" w:eastAsia="zh-CN"/>
        </w:rPr>
        <w:t>。具体来说，</w:t>
      </w:r>
      <w:r>
        <w:rPr>
          <w:rFonts w:hint="eastAsia" w:ascii="宋体" w:hAnsi="宋体" w:cs="宋体"/>
          <w:color w:val="000000"/>
          <w:sz w:val="24"/>
          <w:szCs w:val="24"/>
        </w:rPr>
        <w:t>针对“煤炭交易-电厂优化-电网侧”研究闭环电力全产业链区域平台，打通从矿山、电厂、贸易商，煤炭供应商、外部金融机构等节点数据，从需求预测、燃料采购、物流、燃料发电优化生产、再到议价等各个环节</w:t>
      </w:r>
      <w:r>
        <w:rPr>
          <w:rFonts w:hint="eastAsia" w:ascii="宋体" w:hAnsi="宋体" w:cs="宋体"/>
          <w:color w:val="000000"/>
          <w:sz w:val="24"/>
          <w:szCs w:val="24"/>
          <w:lang w:eastAsia="zh-CN"/>
        </w:rPr>
        <w:t>，</w:t>
      </w:r>
      <w:r>
        <w:rPr>
          <w:rFonts w:hint="eastAsia" w:ascii="宋体" w:hAnsi="宋体" w:eastAsia="宋体" w:cs="宋体"/>
          <w:sz w:val="24"/>
          <w:szCs w:val="24"/>
          <w:lang w:val="en-US" w:eastAsia="zh-CN"/>
        </w:rPr>
        <w:t>具体</w:t>
      </w:r>
      <w:r>
        <w:rPr>
          <w:rFonts w:hint="eastAsia" w:ascii="宋体" w:hAnsi="宋体" w:eastAsia="宋体" w:cs="宋体"/>
          <w:color w:val="auto"/>
          <w:sz w:val="24"/>
          <w:szCs w:val="24"/>
          <w:lang w:val="en-US" w:eastAsia="zh-CN"/>
        </w:rPr>
        <w:t>框架如图</w:t>
      </w:r>
      <w:r>
        <w:rPr>
          <w:rFonts w:hint="eastAsia" w:ascii="宋体" w:hAnsi="宋体" w:cs="宋体"/>
          <w:color w:val="auto"/>
          <w:sz w:val="24"/>
          <w:szCs w:val="24"/>
          <w:lang w:val="en-US" w:eastAsia="zh-CN"/>
        </w:rPr>
        <w:t>4-8</w:t>
      </w:r>
      <w:r>
        <w:rPr>
          <w:rFonts w:hint="eastAsia" w:ascii="宋体" w:hAnsi="宋体" w:eastAsia="宋体" w:cs="宋体"/>
          <w:color w:val="auto"/>
          <w:sz w:val="24"/>
          <w:szCs w:val="24"/>
          <w:lang w:val="en-US" w:eastAsia="zh-CN"/>
        </w:rPr>
        <w:t>所</w:t>
      </w:r>
      <w:r>
        <w:rPr>
          <w:rFonts w:hint="eastAsia" w:ascii="宋体" w:hAnsi="宋体" w:eastAsia="宋体" w:cs="宋体"/>
          <w:sz w:val="24"/>
          <w:szCs w:val="24"/>
          <w:lang w:val="en-US" w:eastAsia="zh-CN"/>
        </w:rPr>
        <w:t>示。</w:t>
      </w:r>
    </w:p>
    <w:p>
      <w:pPr>
        <w:pStyle w:val="11"/>
        <w:widowControl/>
        <w:shd w:val="clear" w:color="auto" w:fill="FFFFFF"/>
        <w:adjustRightInd w:val="0"/>
        <w:snapToGrid w:val="0"/>
        <w:spacing w:beforeAutospacing="0" w:after="120" w:afterAutospacing="0"/>
        <w:ind w:firstLine="440" w:firstLineChars="200"/>
        <w:rPr>
          <w:rFonts w:hint="eastAsia" w:ascii="Times New Roman" w:hAnsi="Times New Roman" w:eastAsia="宋体"/>
          <w:color w:val="222222"/>
          <w:sz w:val="22"/>
          <w:szCs w:val="22"/>
          <w:shd w:val="clear" w:color="auto" w:fill="FFFFFF"/>
        </w:rPr>
      </w:pPr>
    </w:p>
    <w:p>
      <w:pPr>
        <w:pStyle w:val="11"/>
        <w:widowControl/>
        <w:shd w:val="clear" w:color="auto" w:fill="FFFFFF"/>
        <w:adjustRightInd w:val="0"/>
        <w:snapToGrid w:val="0"/>
        <w:spacing w:beforeAutospacing="0" w:after="120" w:afterAutospacing="0"/>
        <w:ind w:firstLine="440" w:firstLineChars="200"/>
        <w:rPr>
          <w:rFonts w:hint="eastAsia" w:ascii="Times New Roman" w:hAnsi="Times New Roman" w:eastAsia="宋体"/>
          <w:color w:val="222222"/>
          <w:sz w:val="22"/>
          <w:szCs w:val="22"/>
          <w:shd w:val="clear" w:color="auto" w:fill="FFFFFF"/>
          <w:lang w:eastAsia="zh-CN"/>
        </w:rPr>
      </w:pPr>
      <w:r>
        <w:rPr>
          <w:rFonts w:hint="eastAsia" w:ascii="Times New Roman" w:hAnsi="Times New Roman" w:eastAsia="宋体"/>
          <w:color w:val="222222"/>
          <w:sz w:val="22"/>
          <w:szCs w:val="22"/>
          <w:shd w:val="clear" w:color="auto" w:fill="FFFFFF"/>
          <w:lang w:eastAsia="zh-CN"/>
        </w:rPr>
        <w:drawing>
          <wp:inline distT="0" distB="0" distL="114300" distR="114300">
            <wp:extent cx="5273040" cy="4269740"/>
            <wp:effectExtent l="0" t="0" r="1905" b="6350"/>
            <wp:docPr id="1" name="图片 1" descr="1636216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6216654(1)"/>
                    <pic:cNvPicPr>
                      <a:picLocks noChangeAspect="1"/>
                    </pic:cNvPicPr>
                  </pic:nvPicPr>
                  <pic:blipFill>
                    <a:blip r:embed="rId64"/>
                    <a:stretch>
                      <a:fillRect/>
                    </a:stretch>
                  </pic:blipFill>
                  <pic:spPr>
                    <a:xfrm>
                      <a:off x="0" y="0"/>
                      <a:ext cx="5273040" cy="4269740"/>
                    </a:xfrm>
                    <a:prstGeom prst="rect">
                      <a:avLst/>
                    </a:prstGeom>
                  </pic:spPr>
                </pic:pic>
              </a:graphicData>
            </a:graphic>
          </wp:inline>
        </w:drawing>
      </w:r>
    </w:p>
    <w:p>
      <w:pPr>
        <w:adjustRightInd w:val="0"/>
        <w:snapToGrid w:val="0"/>
        <w:spacing w:line="360" w:lineRule="auto"/>
        <w:ind w:firstLine="480" w:firstLineChars="200"/>
        <w:jc w:val="center"/>
        <w:rPr>
          <w:rFonts w:hint="eastAsia" w:ascii="宋体" w:hAnsi="宋体" w:cs="宋体"/>
          <w:color w:val="000000"/>
          <w:sz w:val="24"/>
          <w:szCs w:val="22"/>
          <w:lang w:val="en-US" w:eastAsia="zh-CN"/>
        </w:rPr>
      </w:pPr>
      <w:r>
        <w:rPr>
          <w:rFonts w:hint="eastAsia" w:ascii="宋体" w:hAnsi="宋体" w:cs="宋体"/>
          <w:color w:val="000000"/>
          <w:sz w:val="24"/>
          <w:szCs w:val="22"/>
          <w:lang w:val="en-US" w:eastAsia="zh-CN"/>
        </w:rPr>
        <w:t>图4-8：全产业链管理平台架构</w:t>
      </w:r>
    </w:p>
    <w:p>
      <w:pPr>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color w:val="000000"/>
          <w:sz w:val="24"/>
          <w:szCs w:val="22"/>
          <w:lang w:val="en-US" w:eastAsia="zh-CN"/>
        </w:rPr>
        <w:t>针对发电侧涉及的</w:t>
      </w:r>
      <w:r>
        <w:rPr>
          <w:rFonts w:hint="eastAsia" w:ascii="宋体" w:hAnsi="宋体" w:cs="宋体"/>
          <w:color w:val="000000"/>
          <w:sz w:val="24"/>
          <w:szCs w:val="22"/>
        </w:rPr>
        <w:t>煤炭、配套</w:t>
      </w:r>
      <w:r>
        <w:rPr>
          <w:rFonts w:hint="eastAsia" w:ascii="宋体" w:hAnsi="宋体" w:cs="宋体"/>
          <w:color w:val="000000"/>
          <w:sz w:val="24"/>
          <w:szCs w:val="22"/>
          <w:lang w:val="en-US" w:eastAsia="zh-CN"/>
        </w:rPr>
        <w:t>装备及</w:t>
      </w:r>
      <w:r>
        <w:rPr>
          <w:rFonts w:hint="eastAsia" w:ascii="宋体" w:hAnsi="宋体" w:cs="宋体"/>
          <w:color w:val="000000"/>
          <w:sz w:val="24"/>
          <w:szCs w:val="22"/>
        </w:rPr>
        <w:t>材料</w:t>
      </w:r>
      <w:r>
        <w:rPr>
          <w:rFonts w:hint="eastAsia" w:ascii="宋体" w:hAnsi="宋体" w:cs="宋体"/>
          <w:color w:val="000000"/>
          <w:sz w:val="24"/>
          <w:szCs w:val="22"/>
          <w:lang w:val="en-US" w:eastAsia="zh-CN"/>
        </w:rPr>
        <w:t>的大宗贸易领域，拟参考整合B2B电商平台、ERP管理平台，</w:t>
      </w:r>
      <w:r>
        <w:rPr>
          <w:rFonts w:hint="eastAsia" w:ascii="宋体" w:hAnsi="宋体" w:cs="宋体"/>
          <w:color w:val="000000"/>
          <w:sz w:val="24"/>
          <w:szCs w:val="22"/>
        </w:rPr>
        <w:t>从商品销售、供应链管理、大数据分析决策</w:t>
      </w:r>
      <w:r>
        <w:rPr>
          <w:rFonts w:hint="eastAsia" w:ascii="宋体" w:hAnsi="宋体" w:cs="宋体"/>
          <w:color w:val="000000"/>
          <w:sz w:val="24"/>
          <w:szCs w:val="22"/>
          <w:lang w:val="en-US" w:eastAsia="zh-CN"/>
        </w:rPr>
        <w:t>等方面实现</w:t>
      </w:r>
      <w:r>
        <w:rPr>
          <w:rFonts w:hint="eastAsia" w:ascii="宋体" w:hAnsi="宋体" w:cs="宋体"/>
          <w:color w:val="000000"/>
          <w:sz w:val="24"/>
          <w:szCs w:val="22"/>
        </w:rPr>
        <w:t>产业链业务</w:t>
      </w:r>
      <w:r>
        <w:rPr>
          <w:rFonts w:hint="eastAsia" w:ascii="宋体" w:hAnsi="宋体" w:cs="宋体"/>
          <w:color w:val="000000"/>
          <w:sz w:val="24"/>
          <w:szCs w:val="22"/>
          <w:lang w:val="en-US" w:eastAsia="zh-CN"/>
        </w:rPr>
        <w:t>的</w:t>
      </w:r>
      <w:r>
        <w:rPr>
          <w:rFonts w:hint="eastAsia" w:ascii="宋体" w:hAnsi="宋体" w:cs="宋体"/>
          <w:color w:val="000000"/>
          <w:sz w:val="24"/>
          <w:szCs w:val="22"/>
        </w:rPr>
        <w:t>全覆盖、全生命周期管理</w:t>
      </w:r>
      <w:r>
        <w:rPr>
          <w:rFonts w:hint="eastAsia" w:ascii="宋体" w:hAnsi="宋体" w:cs="宋体"/>
          <w:color w:val="000000"/>
          <w:sz w:val="24"/>
          <w:szCs w:val="22"/>
          <w:lang w:eastAsia="zh-CN"/>
        </w:rPr>
        <w:t>，</w:t>
      </w:r>
      <w:r>
        <w:rPr>
          <w:rFonts w:hint="eastAsia" w:ascii="宋体" w:hAnsi="宋体" w:cs="宋体"/>
          <w:color w:val="000000"/>
          <w:sz w:val="24"/>
          <w:szCs w:val="22"/>
          <w:lang w:val="en-US" w:eastAsia="zh-CN"/>
        </w:rPr>
        <w:t>总体架构包括如下部分：</w:t>
      </w:r>
    </w:p>
    <w:p>
      <w:pPr>
        <w:adjustRightInd w:val="0"/>
        <w:snapToGrid w:val="0"/>
        <w:spacing w:line="360" w:lineRule="auto"/>
        <w:ind w:firstLine="482" w:firstLineChars="200"/>
        <w:rPr>
          <w:rFonts w:hint="eastAsia" w:ascii="宋体" w:hAnsi="宋体" w:cs="宋体"/>
          <w:color w:val="000000"/>
          <w:sz w:val="24"/>
          <w:szCs w:val="22"/>
        </w:rPr>
      </w:pPr>
      <w:r>
        <w:rPr>
          <w:rFonts w:hint="eastAsia" w:ascii="宋体" w:hAnsi="宋体" w:cs="宋体"/>
          <w:b/>
          <w:bCs/>
          <w:color w:val="000000"/>
          <w:sz w:val="24"/>
          <w:szCs w:val="22"/>
          <w:lang w:val="en-US" w:eastAsia="zh-CN"/>
        </w:rPr>
        <w:t>运行环境</w:t>
      </w:r>
      <w:r>
        <w:rPr>
          <w:rFonts w:hint="eastAsia" w:ascii="宋体" w:hAnsi="宋体" w:cs="宋体"/>
          <w:color w:val="000000"/>
          <w:sz w:val="24"/>
          <w:szCs w:val="22"/>
          <w:lang w:val="en-US" w:eastAsia="zh-CN"/>
        </w:rPr>
        <w:t>：</w:t>
      </w:r>
      <w:r>
        <w:rPr>
          <w:rFonts w:hint="eastAsia" w:ascii="宋体" w:hAnsi="宋体" w:cs="宋体"/>
          <w:color w:val="000000"/>
          <w:sz w:val="24"/>
          <w:szCs w:val="22"/>
        </w:rPr>
        <w:t>支持包括公有云、私有云、Docker云平台等多样化部署方式部署，可为客户提供个性化服务。</w:t>
      </w:r>
    </w:p>
    <w:p>
      <w:pPr>
        <w:adjustRightInd w:val="0"/>
        <w:snapToGrid w:val="0"/>
        <w:spacing w:line="360" w:lineRule="auto"/>
        <w:ind w:firstLine="482" w:firstLineChars="200"/>
        <w:rPr>
          <w:rFonts w:hint="eastAsia" w:ascii="宋体" w:hAnsi="宋体" w:cs="宋体"/>
          <w:color w:val="000000"/>
          <w:sz w:val="24"/>
          <w:szCs w:val="22"/>
        </w:rPr>
      </w:pPr>
      <w:r>
        <w:rPr>
          <w:rFonts w:hint="eastAsia" w:ascii="宋体" w:hAnsi="宋体" w:cs="宋体"/>
          <w:b/>
          <w:bCs/>
          <w:color w:val="000000"/>
          <w:sz w:val="24"/>
          <w:szCs w:val="22"/>
          <w:lang w:val="en-US" w:eastAsia="zh-CN"/>
        </w:rPr>
        <w:t>核心技术层</w:t>
      </w:r>
      <w:r>
        <w:rPr>
          <w:rFonts w:hint="eastAsia" w:ascii="宋体" w:hAnsi="宋体" w:cs="宋体"/>
          <w:color w:val="000000"/>
          <w:sz w:val="24"/>
          <w:szCs w:val="22"/>
          <w:lang w:val="en-US" w:eastAsia="zh-CN"/>
        </w:rPr>
        <w:t>：引入当前主流的</w:t>
      </w:r>
      <w:r>
        <w:rPr>
          <w:rFonts w:hint="eastAsia" w:ascii="宋体" w:hAnsi="宋体" w:cs="宋体"/>
          <w:color w:val="000000"/>
          <w:sz w:val="24"/>
          <w:szCs w:val="22"/>
        </w:rPr>
        <w:t>联邦计算</w:t>
      </w:r>
      <w:r>
        <w:rPr>
          <w:rFonts w:hint="eastAsia" w:ascii="宋体" w:hAnsi="宋体" w:cs="宋体"/>
          <w:color w:val="000000"/>
          <w:sz w:val="24"/>
          <w:szCs w:val="22"/>
          <w:lang w:val="en-US" w:eastAsia="zh-CN"/>
        </w:rPr>
        <w:t>框架开展跨平台数据的协同训练研究；引入区块链的设计理念开展订单、操作记录的上链存证与自动化处理研究；引入</w:t>
      </w:r>
      <w:r>
        <w:rPr>
          <w:rFonts w:hint="eastAsia" w:ascii="宋体" w:hAnsi="宋体" w:cs="宋体"/>
          <w:color w:val="000000"/>
          <w:sz w:val="24"/>
          <w:szCs w:val="22"/>
        </w:rPr>
        <w:t>大数据</w:t>
      </w:r>
      <w:r>
        <w:rPr>
          <w:rFonts w:hint="eastAsia" w:ascii="宋体" w:hAnsi="宋体" w:cs="宋体"/>
          <w:color w:val="000000"/>
          <w:sz w:val="24"/>
          <w:szCs w:val="22"/>
          <w:lang w:val="en-US" w:eastAsia="zh-CN"/>
        </w:rPr>
        <w:t>流式计算理念开展</w:t>
      </w:r>
      <w:r>
        <w:rPr>
          <w:rFonts w:hint="eastAsia" w:ascii="宋体" w:hAnsi="宋体" w:cs="宋体"/>
          <w:color w:val="000000"/>
          <w:sz w:val="24"/>
          <w:szCs w:val="22"/>
        </w:rPr>
        <w:t>业务</w:t>
      </w:r>
      <w:r>
        <w:rPr>
          <w:rFonts w:hint="eastAsia" w:ascii="宋体" w:hAnsi="宋体" w:cs="宋体"/>
          <w:color w:val="000000"/>
          <w:sz w:val="24"/>
          <w:szCs w:val="22"/>
          <w:lang w:val="en-US" w:eastAsia="zh-CN"/>
        </w:rPr>
        <w:t>数据的实时可视化与智能分析。</w:t>
      </w:r>
    </w:p>
    <w:p>
      <w:pPr>
        <w:adjustRightInd w:val="0"/>
        <w:snapToGrid w:val="0"/>
        <w:spacing w:line="360" w:lineRule="auto"/>
        <w:ind w:firstLine="482" w:firstLineChars="200"/>
        <w:rPr>
          <w:rFonts w:hint="eastAsia" w:ascii="宋体" w:hAnsi="宋体" w:cs="宋体"/>
          <w:color w:val="000000"/>
          <w:sz w:val="24"/>
          <w:szCs w:val="22"/>
        </w:rPr>
      </w:pPr>
      <w:r>
        <w:rPr>
          <w:rFonts w:hint="eastAsia" w:ascii="宋体" w:hAnsi="宋体" w:cs="宋体"/>
          <w:b/>
          <w:bCs/>
          <w:color w:val="000000"/>
          <w:sz w:val="24"/>
          <w:szCs w:val="22"/>
          <w:lang w:val="en-US" w:eastAsia="zh-CN"/>
        </w:rPr>
        <w:t>应用服务层</w:t>
      </w:r>
      <w:r>
        <w:rPr>
          <w:rFonts w:hint="eastAsia" w:ascii="宋体" w:hAnsi="宋体" w:cs="宋体"/>
          <w:color w:val="000000"/>
          <w:sz w:val="24"/>
          <w:szCs w:val="22"/>
          <w:lang w:val="en-US" w:eastAsia="zh-CN"/>
        </w:rPr>
        <w:t>：</w:t>
      </w:r>
      <w:r>
        <w:rPr>
          <w:rFonts w:hint="eastAsia" w:ascii="宋体" w:hAnsi="宋体" w:cs="宋体"/>
          <w:color w:val="000000"/>
          <w:sz w:val="24"/>
          <w:szCs w:val="22"/>
        </w:rPr>
        <w:t>提供多样化、一体化的业务服务内容，具体包含电子商城、ERP供应链、基于区块链+供应链以及大数据分析与决策应用服务。</w:t>
      </w:r>
    </w:p>
    <w:p>
      <w:pPr>
        <w:adjustRightInd w:val="0"/>
        <w:snapToGrid w:val="0"/>
        <w:spacing w:line="360" w:lineRule="auto"/>
        <w:ind w:firstLine="482" w:firstLineChars="200"/>
        <w:rPr>
          <w:rFonts w:hint="eastAsia" w:ascii="宋体" w:hAnsi="宋体" w:cs="宋体"/>
          <w:color w:val="000000"/>
          <w:sz w:val="24"/>
          <w:szCs w:val="22"/>
        </w:rPr>
      </w:pPr>
      <w:r>
        <w:rPr>
          <w:rFonts w:hint="eastAsia" w:ascii="宋体" w:hAnsi="宋体" w:cs="宋体"/>
          <w:b/>
          <w:bCs/>
          <w:color w:val="000000"/>
          <w:sz w:val="24"/>
          <w:szCs w:val="22"/>
          <w:lang w:val="en-US" w:eastAsia="zh-CN"/>
        </w:rPr>
        <w:t>展示层</w:t>
      </w:r>
      <w:r>
        <w:rPr>
          <w:rFonts w:hint="eastAsia" w:ascii="宋体" w:hAnsi="宋体" w:cs="宋体"/>
          <w:color w:val="000000"/>
          <w:sz w:val="24"/>
          <w:szCs w:val="22"/>
          <w:lang w:val="en-US" w:eastAsia="zh-CN"/>
        </w:rPr>
        <w:t>：</w:t>
      </w:r>
      <w:r>
        <w:rPr>
          <w:rFonts w:hint="eastAsia" w:ascii="宋体" w:hAnsi="宋体" w:cs="宋体"/>
          <w:color w:val="000000"/>
          <w:sz w:val="24"/>
          <w:szCs w:val="22"/>
        </w:rPr>
        <w:t>使用智慧大屏展示系统实时情况、同时提供多样化客户端供用户使用，用户可以在PC、手机、平板等多个用户端完成业务操作。</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4.4.2 大型装备全生命周期管理研究</w:t>
      </w:r>
    </w:p>
    <w:p>
      <w:pPr>
        <w:adjustRightInd w:val="0"/>
        <w:snapToGrid w:val="0"/>
        <w:spacing w:line="360" w:lineRule="auto"/>
        <w:ind w:firstLine="482" w:firstLineChars="200"/>
        <w:rPr>
          <w:rFonts w:ascii="宋体" w:hAnsi="宋体" w:cs="宋体"/>
          <w:color w:val="000000"/>
          <w:sz w:val="24"/>
          <w:szCs w:val="22"/>
        </w:rPr>
      </w:pPr>
      <w:r>
        <w:rPr>
          <w:rFonts w:ascii="宋体" w:hAnsi="宋体" w:cs="宋体"/>
          <w:b/>
          <w:bCs/>
          <w:color w:val="000000"/>
          <w:sz w:val="24"/>
          <w:szCs w:val="22"/>
        </w:rPr>
        <w:t>基于</w:t>
      </w:r>
      <w:r>
        <w:rPr>
          <w:rFonts w:hint="eastAsia" w:ascii="宋体" w:hAnsi="宋体" w:cs="宋体"/>
          <w:b/>
          <w:bCs/>
          <w:color w:val="000000"/>
          <w:sz w:val="24"/>
          <w:szCs w:val="22"/>
        </w:rPr>
        <w:t>大</w:t>
      </w:r>
      <w:r>
        <w:rPr>
          <w:rFonts w:ascii="宋体" w:hAnsi="宋体" w:cs="宋体"/>
          <w:b/>
          <w:bCs/>
          <w:color w:val="000000"/>
          <w:sz w:val="24"/>
          <w:szCs w:val="22"/>
        </w:rPr>
        <w:t>数据的</w:t>
      </w:r>
      <w:r>
        <w:rPr>
          <w:rFonts w:hint="eastAsia" w:ascii="宋体" w:hAnsi="宋体" w:cs="宋体"/>
          <w:b/>
          <w:bCs/>
          <w:color w:val="000000"/>
          <w:sz w:val="24"/>
          <w:szCs w:val="22"/>
        </w:rPr>
        <w:t>大型设备运行监控</w:t>
      </w:r>
      <w:r>
        <w:rPr>
          <w:rFonts w:hint="eastAsia" w:ascii="宋体" w:hAnsi="宋体" w:cs="宋体"/>
          <w:color w:val="000000"/>
          <w:sz w:val="24"/>
          <w:szCs w:val="22"/>
        </w:rPr>
        <w:t>：华电集团</w:t>
      </w:r>
      <w:r>
        <w:rPr>
          <w:rFonts w:ascii="宋体" w:hAnsi="宋体" w:cs="宋体"/>
          <w:color w:val="000000"/>
          <w:sz w:val="24"/>
          <w:szCs w:val="22"/>
        </w:rPr>
        <w:t>大型装备具有分布地域广的特点，当相同故障同时出现在不同区域的多台装备上时，只能安排相应的人员前往装备所在地域</w:t>
      </w:r>
      <w:r>
        <w:rPr>
          <w:rFonts w:hint="eastAsia" w:ascii="宋体" w:hAnsi="宋体" w:cs="宋体"/>
          <w:color w:val="000000"/>
          <w:sz w:val="24"/>
          <w:szCs w:val="22"/>
        </w:rPr>
        <w:t>开展</w:t>
      </w:r>
      <w:r>
        <w:rPr>
          <w:rFonts w:ascii="宋体" w:hAnsi="宋体" w:cs="宋体"/>
          <w:color w:val="000000"/>
          <w:sz w:val="24"/>
          <w:szCs w:val="22"/>
        </w:rPr>
        <w:t>维修工作</w:t>
      </w:r>
      <w:r>
        <w:rPr>
          <w:rFonts w:hint="eastAsia" w:ascii="宋体" w:hAnsi="宋体" w:cs="宋体"/>
          <w:color w:val="000000"/>
          <w:sz w:val="24"/>
          <w:szCs w:val="22"/>
        </w:rPr>
        <w:t>，但</w:t>
      </w:r>
      <w:r>
        <w:rPr>
          <w:rFonts w:ascii="宋体" w:hAnsi="宋体" w:cs="宋体"/>
          <w:color w:val="000000"/>
          <w:sz w:val="24"/>
          <w:szCs w:val="22"/>
        </w:rPr>
        <w:t>对于距离较远的大型装备，</w:t>
      </w:r>
      <w:r>
        <w:rPr>
          <w:rFonts w:hint="eastAsia" w:ascii="宋体" w:hAnsi="宋体" w:cs="宋体"/>
          <w:color w:val="000000"/>
          <w:sz w:val="24"/>
          <w:szCs w:val="22"/>
        </w:rPr>
        <w:t>难以</w:t>
      </w:r>
      <w:r>
        <w:rPr>
          <w:rFonts w:ascii="宋体" w:hAnsi="宋体" w:cs="宋体"/>
          <w:color w:val="000000"/>
          <w:sz w:val="24"/>
          <w:szCs w:val="22"/>
        </w:rPr>
        <w:t>“随叫随到”。</w:t>
      </w:r>
      <w:r>
        <w:rPr>
          <w:rFonts w:hint="eastAsia" w:ascii="宋体" w:hAnsi="宋体" w:cs="宋体"/>
          <w:color w:val="000000"/>
          <w:sz w:val="24"/>
          <w:szCs w:val="22"/>
        </w:rPr>
        <w:t>因此，需要研究建立</w:t>
      </w:r>
      <w:r>
        <w:rPr>
          <w:rFonts w:ascii="宋体" w:hAnsi="宋体" w:cs="宋体"/>
          <w:color w:val="000000"/>
          <w:sz w:val="24"/>
          <w:szCs w:val="22"/>
        </w:rPr>
        <w:t>远程监测及故障维护管理系统，只需通过远程指导解决上述难题。</w:t>
      </w:r>
      <w:r>
        <w:rPr>
          <w:rFonts w:hint="eastAsia" w:ascii="宋体" w:hAnsi="宋体" w:cs="宋体"/>
          <w:color w:val="000000"/>
          <w:sz w:val="24"/>
          <w:szCs w:val="22"/>
        </w:rPr>
        <w:t>具体思路如下：</w:t>
      </w:r>
      <w:r>
        <w:rPr>
          <w:rFonts w:ascii="宋体" w:hAnsi="宋体" w:cs="宋体"/>
          <w:color w:val="000000"/>
          <w:sz w:val="24"/>
          <w:szCs w:val="22"/>
        </w:rPr>
        <w:t>通过</w:t>
      </w:r>
      <w:r>
        <w:rPr>
          <w:rFonts w:hint="eastAsia" w:ascii="宋体" w:hAnsi="宋体" w:cs="宋体"/>
          <w:color w:val="000000"/>
          <w:sz w:val="24"/>
          <w:szCs w:val="22"/>
        </w:rPr>
        <w:t>传感器部署、</w:t>
      </w:r>
      <w:r>
        <w:rPr>
          <w:rFonts w:ascii="宋体" w:hAnsi="宋体" w:cs="宋体"/>
          <w:color w:val="000000"/>
          <w:sz w:val="24"/>
          <w:szCs w:val="22"/>
        </w:rPr>
        <w:t>大数据</w:t>
      </w:r>
      <w:r>
        <w:rPr>
          <w:rFonts w:hint="eastAsia" w:ascii="宋体" w:hAnsi="宋体" w:cs="宋体"/>
          <w:color w:val="000000"/>
          <w:sz w:val="24"/>
          <w:szCs w:val="22"/>
        </w:rPr>
        <w:t>集成</w:t>
      </w:r>
      <w:r>
        <w:rPr>
          <w:rFonts w:ascii="宋体" w:hAnsi="宋体" w:cs="宋体"/>
          <w:color w:val="000000"/>
          <w:sz w:val="24"/>
          <w:szCs w:val="22"/>
        </w:rPr>
        <w:t>技术，将生产设备的生命周期信息数据通过数据采集装置提取，通过有线或无线的方式传输给</w:t>
      </w:r>
      <w:r>
        <w:rPr>
          <w:rFonts w:hint="eastAsia" w:ascii="宋体" w:hAnsi="宋体" w:cs="宋体"/>
          <w:color w:val="000000"/>
          <w:sz w:val="24"/>
          <w:szCs w:val="22"/>
        </w:rPr>
        <w:t>PLC</w:t>
      </w:r>
      <w:r>
        <w:rPr>
          <w:rFonts w:ascii="宋体" w:hAnsi="宋体" w:cs="宋体"/>
          <w:color w:val="000000"/>
          <w:sz w:val="24"/>
          <w:szCs w:val="22"/>
        </w:rPr>
        <w:t>控制系统。然后利用数据采集模块发送至数据中心，通过对实时数据和大量历史数据存储分析，运维人员通过远程对大型装备整个运行过程进行监控、统计查询，系统管理者可授权给相应操作人员，负责设备维护的操作人员可以在网站服务器上实时查询相应设备运行状态，</w:t>
      </w:r>
      <w:r>
        <w:rPr>
          <w:rFonts w:hint="eastAsia" w:ascii="宋体" w:hAnsi="宋体" w:cs="宋体"/>
          <w:color w:val="000000"/>
          <w:sz w:val="24"/>
          <w:szCs w:val="22"/>
        </w:rPr>
        <w:t>实现大型设备的运行监控、</w:t>
      </w:r>
      <w:r>
        <w:rPr>
          <w:rFonts w:ascii="宋体" w:hAnsi="宋体" w:cs="宋体"/>
          <w:color w:val="000000"/>
          <w:sz w:val="24"/>
          <w:szCs w:val="22"/>
        </w:rPr>
        <w:t>维修</w:t>
      </w:r>
      <w:r>
        <w:rPr>
          <w:rFonts w:hint="eastAsia" w:ascii="宋体" w:hAnsi="宋体" w:cs="宋体"/>
          <w:color w:val="000000"/>
          <w:sz w:val="24"/>
          <w:szCs w:val="22"/>
        </w:rPr>
        <w:t>记录</w:t>
      </w:r>
      <w:r>
        <w:rPr>
          <w:rFonts w:ascii="宋体" w:hAnsi="宋体" w:cs="宋体"/>
          <w:color w:val="000000"/>
          <w:sz w:val="24"/>
          <w:szCs w:val="22"/>
        </w:rPr>
        <w:t>查询</w:t>
      </w:r>
      <w:r>
        <w:rPr>
          <w:rFonts w:hint="eastAsia" w:ascii="宋体" w:hAnsi="宋体" w:cs="宋体"/>
          <w:color w:val="000000"/>
          <w:sz w:val="24"/>
          <w:szCs w:val="22"/>
        </w:rPr>
        <w:t>等操作。</w:t>
      </w:r>
    </w:p>
    <w:p>
      <w:pPr>
        <w:adjustRightInd w:val="0"/>
        <w:snapToGrid w:val="0"/>
        <w:spacing w:line="360" w:lineRule="auto"/>
        <w:ind w:firstLine="482" w:firstLineChars="200"/>
        <w:rPr>
          <w:rFonts w:ascii="宋体" w:hAnsi="宋体" w:cs="宋体"/>
          <w:color w:val="000000"/>
          <w:sz w:val="24"/>
          <w:szCs w:val="22"/>
        </w:rPr>
      </w:pPr>
      <w:r>
        <w:rPr>
          <w:rFonts w:hint="eastAsia" w:ascii="宋体" w:hAnsi="宋体" w:cs="宋体"/>
          <w:b/>
          <w:bCs/>
          <w:color w:val="000000"/>
          <w:sz w:val="24"/>
          <w:szCs w:val="22"/>
        </w:rPr>
        <w:t>设备健康评估、建模与故障预警研究</w:t>
      </w:r>
      <w:r>
        <w:rPr>
          <w:rFonts w:hint="eastAsia" w:ascii="宋体" w:hAnsi="宋体" w:cs="宋体"/>
          <w:color w:val="000000"/>
          <w:sz w:val="24"/>
          <w:szCs w:val="22"/>
        </w:rPr>
        <w:t>：在设备信息化基础上，可以进一步开展设备健康评估、状态建模与故障预测研究。</w:t>
      </w:r>
      <w:r>
        <w:rPr>
          <w:rFonts w:ascii="宋体" w:hAnsi="宋体" w:cs="宋体"/>
          <w:color w:val="000000"/>
          <w:sz w:val="24"/>
          <w:szCs w:val="22"/>
        </w:rPr>
        <w:t>大型装备的运行状态是一个连续的过程，随着时间的推移，装备的性能或状态会逐渐下降，同时</w:t>
      </w:r>
      <w:r>
        <w:rPr>
          <w:rFonts w:hint="eastAsia" w:ascii="宋体" w:hAnsi="宋体" w:cs="宋体"/>
          <w:color w:val="000000"/>
          <w:sz w:val="24"/>
          <w:szCs w:val="22"/>
        </w:rPr>
        <w:t>一</w:t>
      </w:r>
      <w:r>
        <w:rPr>
          <w:rFonts w:ascii="宋体" w:hAnsi="宋体" w:cs="宋体"/>
          <w:color w:val="000000"/>
          <w:sz w:val="24"/>
          <w:szCs w:val="22"/>
        </w:rPr>
        <w:t>些趋势预兆在故障发生前会频繁出现。这些故障的出现不是瞬间状态的转变，而是一个时间积累的过程，也是具有一定变化轨迹的过程。在装备运行过程中，可</w:t>
      </w:r>
      <w:r>
        <w:rPr>
          <w:rFonts w:hint="eastAsia" w:ascii="宋体" w:hAnsi="宋体" w:cs="宋体"/>
          <w:color w:val="000000"/>
          <w:sz w:val="24"/>
          <w:szCs w:val="22"/>
        </w:rPr>
        <w:t>基于设备运行大数据</w:t>
      </w:r>
      <w:r>
        <w:rPr>
          <w:rFonts w:ascii="宋体" w:hAnsi="宋体" w:cs="宋体"/>
          <w:color w:val="000000"/>
          <w:sz w:val="24"/>
          <w:szCs w:val="22"/>
        </w:rPr>
        <w:t>对故障进行预测、控制，及时提出相应对策以避免故障发生。预测评估主要是对设备的关键零部件的寿命进行预测，判断各个零部件的是否在一段时间内还能够健康地工作，以便工作人员能够根据预测结果进行相应的处理，提前检查各个零部件，预防故障发生。通过获取大型装备各个测点大量历史数据，使用线性回归预测算法或灰色模型预测算法对大型装备的影响因素分解，并对各个因素的变化情况进行考察，进而预估装备零部件未来走势范围、装备数据今后可能波动的范围和数据最可能的未来值，预测装备潜在隐患，剩余寿命天数以及装备零件损坏时刻，对装备未来的维修调度时间进行合理安排。大型设备健康评估系统模型如图</w:t>
      </w:r>
      <w:r>
        <w:rPr>
          <w:rFonts w:hint="eastAsia" w:ascii="宋体" w:hAnsi="宋体" w:cs="宋体"/>
          <w:color w:val="0000FF"/>
          <w:sz w:val="24"/>
          <w:szCs w:val="22"/>
          <w:lang w:val="en-US" w:eastAsia="zh-CN"/>
        </w:rPr>
        <w:t>4-9</w:t>
      </w:r>
      <w:r>
        <w:rPr>
          <w:rFonts w:ascii="宋体" w:hAnsi="宋体" w:cs="宋体"/>
          <w:color w:val="000000"/>
          <w:sz w:val="24"/>
          <w:szCs w:val="22"/>
        </w:rPr>
        <w:t>所示。</w:t>
      </w:r>
      <w:r>
        <w:rPr>
          <w:rFonts w:hint="eastAsia" w:ascii="宋体" w:hAnsi="宋体" w:cs="宋体"/>
          <w:color w:val="000000"/>
          <w:sz w:val="24"/>
          <w:szCs w:val="22"/>
        </w:rPr>
        <w:t xml:space="preserve">    </w:t>
      </w:r>
    </w:p>
    <w:p>
      <w:pPr>
        <w:widowControl/>
        <w:jc w:val="center"/>
        <w:rPr>
          <w:rFonts w:ascii="SSJ-PK74820000002" w:hAnsi="SSJ-PK74820000002" w:eastAsia="SSJ-PK74820000002" w:cs="SSJ-PK74820000002"/>
          <w:color w:val="000000"/>
          <w:kern w:val="0"/>
          <w:sz w:val="20"/>
          <w:lang w:bidi="ar"/>
        </w:rPr>
      </w:pPr>
      <w:r>
        <w:rPr>
          <w:rFonts w:ascii="SSJ-PK74820000002" w:hAnsi="SSJ-PK74820000002" w:eastAsia="SSJ-PK74820000002" w:cs="SSJ-PK74820000002"/>
          <w:color w:val="000000"/>
          <w:kern w:val="0"/>
          <w:sz w:val="20"/>
          <w:lang w:bidi="ar"/>
        </w:rPr>
        <w:drawing>
          <wp:inline distT="0" distB="0" distL="0" distR="0">
            <wp:extent cx="5128260" cy="2665730"/>
            <wp:effectExtent l="0" t="0" r="6350" b="635"/>
            <wp:docPr id="5" name="图片 5" descr="16480407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4804078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128260" cy="2665730"/>
                    </a:xfrm>
                    <a:prstGeom prst="rect">
                      <a:avLst/>
                    </a:prstGeom>
                    <a:noFill/>
                    <a:ln>
                      <a:noFill/>
                    </a:ln>
                  </pic:spPr>
                </pic:pic>
              </a:graphicData>
            </a:graphic>
          </wp:inline>
        </w:drawing>
      </w:r>
    </w:p>
    <w:p>
      <w:pPr>
        <w:adjustRightInd w:val="0"/>
        <w:snapToGrid w:val="0"/>
        <w:spacing w:line="360" w:lineRule="auto"/>
        <w:jc w:val="center"/>
        <w:rPr>
          <w:rFonts w:ascii="宋体" w:hAnsi="宋体" w:cs="宋体"/>
          <w:color w:val="000000"/>
          <w:sz w:val="24"/>
          <w:szCs w:val="22"/>
        </w:rPr>
      </w:pPr>
      <w:r>
        <w:rPr>
          <w:rFonts w:hint="eastAsia" w:ascii="宋体" w:hAnsi="宋体" w:cs="宋体"/>
          <w:color w:val="000000"/>
          <w:sz w:val="24"/>
          <w:szCs w:val="22"/>
        </w:rPr>
        <w:t>图4-</w:t>
      </w:r>
      <w:r>
        <w:rPr>
          <w:rFonts w:hint="eastAsia" w:ascii="宋体" w:hAnsi="宋体" w:cs="宋体"/>
          <w:color w:val="000000"/>
          <w:sz w:val="24"/>
          <w:szCs w:val="22"/>
          <w:lang w:val="en-US" w:eastAsia="zh-CN"/>
        </w:rPr>
        <w:t>9</w:t>
      </w:r>
      <w:r>
        <w:rPr>
          <w:rFonts w:hint="eastAsia" w:ascii="宋体" w:hAnsi="宋体" w:cs="宋体"/>
          <w:color w:val="000000"/>
          <w:sz w:val="24"/>
          <w:szCs w:val="22"/>
        </w:rPr>
        <w:t>：设备健康评估系统</w:t>
      </w:r>
    </w:p>
    <w:p>
      <w:pPr>
        <w:pStyle w:val="4"/>
        <w:bidi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4.4.3 电力全产业链增值服务研究</w:t>
      </w:r>
    </w:p>
    <w:p>
      <w:pPr>
        <w:adjustRightInd w:val="0"/>
        <w:snapToGrid w:val="0"/>
        <w:spacing w:line="360" w:lineRule="auto"/>
        <w:ind w:firstLine="480" w:firstLineChars="200"/>
        <w:rPr>
          <w:rFonts w:hint="eastAsia" w:ascii="宋体" w:hAnsi="宋体" w:cs="宋体"/>
          <w:color w:val="000000"/>
          <w:sz w:val="24"/>
          <w:szCs w:val="22"/>
        </w:rPr>
      </w:pPr>
      <w:r>
        <w:rPr>
          <w:rFonts w:hint="eastAsia" w:ascii="宋体" w:hAnsi="宋体" w:cs="宋体"/>
          <w:color w:val="000000"/>
          <w:sz w:val="24"/>
          <w:szCs w:val="22"/>
        </w:rPr>
        <w:t>在全产业链平台</w:t>
      </w:r>
      <w:r>
        <w:rPr>
          <w:rFonts w:hint="eastAsia" w:ascii="宋体" w:hAnsi="宋体" w:cs="宋体"/>
          <w:color w:val="000000"/>
          <w:sz w:val="24"/>
          <w:szCs w:val="22"/>
          <w:lang w:val="en-US" w:eastAsia="zh-CN"/>
        </w:rPr>
        <w:t>及</w:t>
      </w:r>
      <w:r>
        <w:rPr>
          <w:rFonts w:hint="eastAsia" w:ascii="宋体" w:hAnsi="宋体" w:cs="宋体"/>
          <w:color w:val="000000"/>
          <w:sz w:val="24"/>
          <w:szCs w:val="22"/>
        </w:rPr>
        <w:t>数据融合基础上，</w:t>
      </w:r>
      <w:r>
        <w:rPr>
          <w:rFonts w:hint="eastAsia" w:ascii="宋体" w:hAnsi="宋体" w:cs="宋体"/>
          <w:color w:val="000000"/>
          <w:sz w:val="24"/>
          <w:szCs w:val="22"/>
          <w:lang w:val="en-US" w:eastAsia="zh-CN"/>
        </w:rPr>
        <w:t>可以考虑</w:t>
      </w:r>
      <w:r>
        <w:rPr>
          <w:rFonts w:hint="eastAsia" w:ascii="宋体" w:hAnsi="宋体" w:cs="宋体"/>
          <w:color w:val="000000"/>
          <w:sz w:val="24"/>
          <w:szCs w:val="22"/>
        </w:rPr>
        <w:t>引入</w:t>
      </w:r>
      <w:r>
        <w:rPr>
          <w:rFonts w:hint="eastAsia" w:ascii="宋体" w:hAnsi="宋体" w:cs="宋体"/>
          <w:color w:val="000000"/>
          <w:sz w:val="24"/>
          <w:szCs w:val="22"/>
          <w:lang w:val="en-US" w:eastAsia="zh-CN"/>
        </w:rPr>
        <w:t>平台附加业务研究，例如，考虑到供应链金融应用涉及的跨域跨平台环境难以实现数据的安全共享，可以考虑引入</w:t>
      </w:r>
      <w:r>
        <w:rPr>
          <w:rFonts w:hint="eastAsia" w:ascii="宋体" w:hAnsi="宋体" w:cs="宋体"/>
          <w:color w:val="000000"/>
          <w:sz w:val="24"/>
          <w:szCs w:val="22"/>
        </w:rPr>
        <w:t>外部金融机构，研究供应链金融创新服务模式与示范应用</w:t>
      </w:r>
      <w:r>
        <w:rPr>
          <w:rFonts w:hint="eastAsia" w:ascii="宋体" w:hAnsi="宋体" w:cs="宋体"/>
          <w:color w:val="000000"/>
          <w:sz w:val="24"/>
          <w:szCs w:val="22"/>
          <w:lang w:eastAsia="zh-CN"/>
        </w:rPr>
        <w:t>（</w:t>
      </w:r>
      <w:r>
        <w:rPr>
          <w:rFonts w:hint="eastAsia" w:ascii="宋体" w:hAnsi="宋体" w:cs="宋体"/>
          <w:color w:val="000000"/>
          <w:sz w:val="24"/>
          <w:szCs w:val="22"/>
          <w:lang w:val="en-US" w:eastAsia="zh-CN"/>
        </w:rPr>
        <w:t>见图4-10</w:t>
      </w:r>
      <w:r>
        <w:rPr>
          <w:rFonts w:hint="eastAsia" w:ascii="宋体" w:hAnsi="宋体" w:cs="宋体"/>
          <w:color w:val="000000"/>
          <w:sz w:val="24"/>
          <w:szCs w:val="22"/>
          <w:lang w:eastAsia="zh-CN"/>
        </w:rPr>
        <w:t>）。</w:t>
      </w:r>
      <w:r>
        <w:rPr>
          <w:rFonts w:hint="eastAsia" w:ascii="宋体" w:hAnsi="宋体" w:cs="宋体"/>
          <w:color w:val="000000"/>
          <w:sz w:val="24"/>
          <w:szCs w:val="22"/>
          <w:lang w:val="en-US" w:eastAsia="zh-CN"/>
        </w:rPr>
        <w:t>具体思路为：引入区块链技术理念，借助区块链的不可篡改、智能合约、数据分布式存储与安全分享特性，有效整合供应链上下游资源，围绕核心企业，将供应商、制造商、分销商、零售商连成一个整体的网络链条，通过资金流、信息流、物流、商流的合理数据整合，促进多方间实现高效互动和协同，从而降低成本提高经济运转效率，形成一套完整的供应链金融生态体系。平台可为企业在采购、生产加工制造、销售等环节提供包含增信、融资、担保、账款管理、支付结算等系列服务的互联网金融增值解决方案。</w:t>
      </w:r>
    </w:p>
    <w:p>
      <w:pPr>
        <w:adjustRightInd w:val="0"/>
        <w:snapToGrid w:val="0"/>
        <w:spacing w:line="360" w:lineRule="auto"/>
        <w:jc w:val="center"/>
        <w:rPr>
          <w:rFonts w:ascii="宋体" w:hAnsi="宋体" w:cs="宋体"/>
          <w:color w:val="000000"/>
          <w:sz w:val="24"/>
          <w:szCs w:val="24"/>
        </w:rPr>
      </w:pPr>
      <w:r>
        <w:rPr>
          <w:rFonts w:ascii="宋体" w:hAnsi="宋体" w:cs="宋体"/>
          <w:color w:val="000000"/>
          <w:sz w:val="24"/>
          <w:szCs w:val="24"/>
        </w:rPr>
        <w:drawing>
          <wp:inline distT="0" distB="0" distL="0" distR="0">
            <wp:extent cx="5480685" cy="2755265"/>
            <wp:effectExtent l="0" t="0" r="635" b="1905"/>
            <wp:docPr id="6" name="图片 6" descr="1636901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36901096(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480685" cy="2755265"/>
                    </a:xfrm>
                    <a:prstGeom prst="rect">
                      <a:avLst/>
                    </a:prstGeom>
                    <a:noFill/>
                    <a:ln>
                      <a:noFill/>
                    </a:ln>
                  </pic:spPr>
                </pic:pic>
              </a:graphicData>
            </a:graphic>
          </wp:inline>
        </w:drawing>
      </w:r>
    </w:p>
    <w:p>
      <w:pPr>
        <w:adjustRightInd w:val="0"/>
        <w:snapToGrid w:val="0"/>
        <w:spacing w:line="360" w:lineRule="auto"/>
        <w:jc w:val="center"/>
        <w:rPr>
          <w:rFonts w:ascii="宋体" w:hAnsi="宋体" w:cs="宋体"/>
          <w:color w:val="000000"/>
          <w:sz w:val="24"/>
          <w:szCs w:val="24"/>
        </w:rPr>
      </w:pPr>
      <w:r>
        <w:rPr>
          <w:rFonts w:hint="eastAsia" w:ascii="宋体" w:hAnsi="宋体" w:cs="宋体"/>
          <w:b/>
          <w:bCs/>
          <w:sz w:val="24"/>
          <w:szCs w:val="24"/>
        </w:rPr>
        <w:t>图4-</w:t>
      </w:r>
      <w:r>
        <w:rPr>
          <w:rFonts w:hint="eastAsia" w:ascii="宋体" w:hAnsi="宋体" w:cs="宋体"/>
          <w:b/>
          <w:bCs/>
          <w:sz w:val="24"/>
          <w:szCs w:val="24"/>
          <w:lang w:val="en-US" w:eastAsia="zh-CN"/>
        </w:rPr>
        <w:t>10</w:t>
      </w:r>
      <w:r>
        <w:rPr>
          <w:rFonts w:hint="eastAsia" w:ascii="宋体" w:hAnsi="宋体" w:cs="宋体"/>
          <w:b/>
          <w:bCs/>
          <w:sz w:val="24"/>
          <w:szCs w:val="24"/>
        </w:rPr>
        <w:t>：全产业链存证、溯源与供应链金融服务架构</w:t>
      </w: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adjustRightInd w:val="0"/>
        <w:snapToGrid w:val="0"/>
        <w:spacing w:line="360" w:lineRule="auto"/>
        <w:rPr>
          <w:rFonts w:ascii="宋体" w:hAnsi="宋体"/>
          <w:b/>
          <w:bCs/>
          <w:sz w:val="24"/>
          <w:szCs w:val="28"/>
        </w:rPr>
      </w:pPr>
    </w:p>
    <w:p>
      <w:pPr>
        <w:pStyle w:val="2"/>
        <w:numPr>
          <w:ilvl w:val="0"/>
          <w:numId w:val="4"/>
        </w:numPr>
        <w:bidi w:val="0"/>
        <w:ind w:leftChars="0" w:firstLine="420" w:firstLineChars="0"/>
        <w:rPr>
          <w:rFonts w:hint="eastAsia"/>
          <w:sz w:val="30"/>
          <w:szCs w:val="30"/>
          <w:lang w:val="en-US" w:eastAsia="zh-CN"/>
        </w:rPr>
      </w:pPr>
      <w:bookmarkStart w:id="29" w:name="_Toc19938"/>
      <w:r>
        <w:rPr>
          <w:rFonts w:hint="eastAsia"/>
          <w:sz w:val="30"/>
          <w:szCs w:val="30"/>
          <w:lang w:val="en-US" w:eastAsia="zh-CN"/>
        </w:rPr>
        <w:t>总结</w:t>
      </w:r>
      <w:bookmarkEnd w:id="29"/>
    </w:p>
    <w:p>
      <w:pPr>
        <w:adjustRightInd w:val="0"/>
        <w:snapToGrid w:val="0"/>
        <w:spacing w:line="360" w:lineRule="auto"/>
        <w:ind w:firstLine="480" w:firstLineChars="200"/>
        <w:rPr>
          <w:rFonts w:hint="eastAsia" w:ascii="宋体" w:hAnsi="宋体" w:cs="宋体"/>
          <w:sz w:val="24"/>
          <w:szCs w:val="22"/>
          <w:lang w:val="en-US" w:eastAsia="zh-CN"/>
        </w:rPr>
      </w:pPr>
      <w:r>
        <w:rPr>
          <w:rFonts w:hint="eastAsia" w:ascii="宋体" w:hAnsi="宋体" w:eastAsia="宋体" w:cs="宋体"/>
          <w:sz w:val="24"/>
          <w:szCs w:val="24"/>
        </w:rPr>
        <w:t>全产业链</w:t>
      </w:r>
      <w:r>
        <w:rPr>
          <w:rFonts w:hint="eastAsia" w:ascii="宋体" w:hAnsi="宋体" w:cs="宋体"/>
          <w:sz w:val="24"/>
          <w:szCs w:val="24"/>
          <w:lang w:val="en-US" w:eastAsia="zh-CN"/>
        </w:rPr>
        <w:t>协同</w:t>
      </w:r>
      <w:r>
        <w:rPr>
          <w:rFonts w:hint="eastAsia" w:ascii="宋体" w:hAnsi="宋体" w:eastAsia="宋体" w:cs="宋体"/>
          <w:sz w:val="24"/>
          <w:szCs w:val="24"/>
        </w:rPr>
        <w:t>实质上是企业通过组织内部的管理协调来替代市场机制进行商品交换和资源配置的方式</w:t>
      </w:r>
      <w:r>
        <w:rPr>
          <w:rFonts w:hint="eastAsia" w:ascii="宋体" w:hAnsi="宋体" w:cs="宋体"/>
          <w:sz w:val="24"/>
          <w:szCs w:val="24"/>
          <w:lang w:eastAsia="zh-CN"/>
        </w:rPr>
        <w:t>，</w:t>
      </w:r>
      <w:r>
        <w:rPr>
          <w:rFonts w:hint="eastAsia" w:ascii="宋体" w:hAnsi="宋体" w:eastAsia="宋体" w:cs="宋体"/>
          <w:sz w:val="24"/>
          <w:szCs w:val="24"/>
        </w:rPr>
        <w:t>以“价值共生”为中心，从生态战略、平台赋能和价值共创三个维度结合人工智能、物联网</w:t>
      </w:r>
      <w:r>
        <w:rPr>
          <w:rFonts w:hint="eastAsia" w:ascii="宋体" w:hAnsi="宋体" w:cs="宋体"/>
          <w:sz w:val="24"/>
          <w:szCs w:val="24"/>
          <w:lang w:eastAsia="zh-CN"/>
        </w:rPr>
        <w:t>、</w:t>
      </w:r>
      <w:r>
        <w:rPr>
          <w:rFonts w:hint="eastAsia" w:ascii="宋体" w:hAnsi="宋体" w:eastAsia="宋体" w:cs="宋体"/>
          <w:sz w:val="24"/>
          <w:szCs w:val="24"/>
        </w:rPr>
        <w:t>大数据</w:t>
      </w:r>
      <w:r>
        <w:rPr>
          <w:rFonts w:hint="eastAsia" w:ascii="宋体" w:hAnsi="宋体" w:cs="宋体"/>
          <w:sz w:val="24"/>
          <w:szCs w:val="24"/>
          <w:lang w:eastAsia="zh-CN"/>
        </w:rPr>
        <w:t>、</w:t>
      </w:r>
      <w:r>
        <w:rPr>
          <w:rFonts w:hint="eastAsia" w:ascii="宋体" w:hAnsi="宋体" w:cs="宋体"/>
          <w:sz w:val="24"/>
          <w:szCs w:val="24"/>
          <w:lang w:val="en-US" w:eastAsia="zh-CN"/>
        </w:rPr>
        <w:t>区块链</w:t>
      </w:r>
      <w:r>
        <w:rPr>
          <w:rFonts w:hint="eastAsia" w:ascii="宋体" w:hAnsi="宋体" w:eastAsia="宋体" w:cs="宋体"/>
          <w:sz w:val="24"/>
          <w:szCs w:val="24"/>
        </w:rPr>
        <w:t>等技术打造平台生态圈，具有重要的科研与应用价值。</w:t>
      </w:r>
      <w:r>
        <w:rPr>
          <w:rFonts w:hint="eastAsia" w:ascii="宋体" w:hAnsi="宋体" w:cs="宋体"/>
          <w:sz w:val="24"/>
          <w:szCs w:val="24"/>
          <w:lang w:val="en-US" w:eastAsia="zh-CN"/>
        </w:rPr>
        <w:t>本报告通过研究</w:t>
      </w:r>
      <w:r>
        <w:rPr>
          <w:rFonts w:hint="eastAsia" w:ascii="宋体" w:hAnsi="宋体" w:eastAsia="宋体" w:cs="宋体"/>
          <w:sz w:val="24"/>
          <w:szCs w:val="24"/>
        </w:rPr>
        <w:t>电力全产业链</w:t>
      </w:r>
      <w:r>
        <w:rPr>
          <w:rFonts w:hint="eastAsia" w:ascii="宋体" w:hAnsi="宋体" w:eastAsia="宋体" w:cs="宋体"/>
          <w:sz w:val="24"/>
          <w:szCs w:val="24"/>
          <w:lang w:val="en-US" w:eastAsia="zh-CN"/>
        </w:rPr>
        <w:t>相关领域现状和发展趋势，</w:t>
      </w:r>
      <w:r>
        <w:rPr>
          <w:rFonts w:hint="eastAsia" w:ascii="宋体" w:hAnsi="宋体" w:cs="宋体"/>
          <w:sz w:val="24"/>
          <w:szCs w:val="22"/>
        </w:rPr>
        <w:t>调研了华电集团福建分公司、以及旗下风电厂、水电厂、火电厂</w:t>
      </w:r>
      <w:r>
        <w:rPr>
          <w:rFonts w:hint="eastAsia" w:ascii="宋体" w:hAnsi="宋体" w:cs="宋体"/>
          <w:sz w:val="24"/>
          <w:szCs w:val="22"/>
          <w:lang w:eastAsia="zh-CN"/>
        </w:rPr>
        <w:t>，</w:t>
      </w:r>
      <w:r>
        <w:rPr>
          <w:rFonts w:hint="eastAsia" w:ascii="宋体" w:hAnsi="宋体" w:cs="宋体"/>
          <w:sz w:val="24"/>
          <w:szCs w:val="22"/>
        </w:rPr>
        <w:t>通过现场调研、座谈交流，主要围绕华电集团</w:t>
      </w:r>
      <w:r>
        <w:rPr>
          <w:rFonts w:hint="eastAsia" w:ascii="宋体" w:hAnsi="宋体" w:cs="宋体"/>
          <w:sz w:val="24"/>
          <w:szCs w:val="24"/>
        </w:rPr>
        <w:t>横向价值链开展分析，</w:t>
      </w:r>
      <w:r>
        <w:rPr>
          <w:rFonts w:hint="eastAsia" w:ascii="宋体" w:hAnsi="宋体" w:cs="宋体"/>
          <w:sz w:val="24"/>
          <w:szCs w:val="22"/>
        </w:rPr>
        <w:t>发现在电力全产业链</w:t>
      </w:r>
      <w:r>
        <w:rPr>
          <w:rFonts w:hint="eastAsia" w:ascii="宋体" w:hAnsi="宋体" w:cs="宋体"/>
          <w:sz w:val="24"/>
          <w:szCs w:val="22"/>
          <w:lang w:val="en-US" w:eastAsia="zh-CN"/>
        </w:rPr>
        <w:t>在电力营销的管理机制和体系</w:t>
      </w:r>
      <w:r>
        <w:rPr>
          <w:rFonts w:hint="eastAsia" w:ascii="宋体" w:hAnsi="宋体" w:cs="宋体"/>
          <w:sz w:val="24"/>
          <w:szCs w:val="22"/>
        </w:rPr>
        <w:t>、</w:t>
      </w:r>
      <w:r>
        <w:rPr>
          <w:rFonts w:hint="eastAsia" w:ascii="宋体" w:hAnsi="宋体" w:cs="宋体"/>
          <w:sz w:val="24"/>
          <w:szCs w:val="22"/>
          <w:lang w:val="en-US" w:eastAsia="zh-CN"/>
        </w:rPr>
        <w:t>跨系统间数据协同难</w:t>
      </w:r>
      <w:r>
        <w:rPr>
          <w:rFonts w:hint="eastAsia" w:ascii="宋体" w:hAnsi="宋体" w:cs="宋体"/>
          <w:sz w:val="24"/>
          <w:szCs w:val="22"/>
        </w:rPr>
        <w:t>、</w:t>
      </w:r>
      <w:r>
        <w:rPr>
          <w:rFonts w:hint="eastAsia" w:ascii="宋体" w:hAnsi="宋体" w:cs="宋体"/>
          <w:sz w:val="24"/>
          <w:szCs w:val="22"/>
          <w:lang w:val="en-US" w:eastAsia="zh-CN"/>
        </w:rPr>
        <w:t>供需以及趋势预测能力不足</w:t>
      </w:r>
      <w:r>
        <w:rPr>
          <w:rFonts w:hint="eastAsia" w:ascii="宋体" w:hAnsi="宋体" w:cs="宋体"/>
          <w:sz w:val="24"/>
          <w:szCs w:val="22"/>
        </w:rPr>
        <w:t>、</w:t>
      </w:r>
      <w:r>
        <w:rPr>
          <w:rFonts w:hint="eastAsia" w:ascii="宋体" w:hAnsi="宋体" w:cs="宋体"/>
          <w:sz w:val="24"/>
          <w:szCs w:val="22"/>
          <w:lang w:val="en-US" w:eastAsia="zh-CN"/>
        </w:rPr>
        <w:t>全产业链信息化平台缺失等方面仍有改进与优化空间。</w:t>
      </w:r>
    </w:p>
    <w:p>
      <w:pPr>
        <w:tabs>
          <w:tab w:val="left" w:pos="785"/>
        </w:tabs>
        <w:adjustRightInd w:val="0"/>
        <w:snapToGrid w:val="0"/>
        <w:spacing w:line="360" w:lineRule="auto"/>
        <w:ind w:firstLine="480" w:firstLineChars="200"/>
        <w:rPr>
          <w:rFonts w:hint="eastAsia" w:ascii="宋体" w:hAnsi="宋体" w:cs="宋体"/>
          <w:bCs/>
          <w:sz w:val="24"/>
          <w:szCs w:val="24"/>
          <w:lang w:val="en-US" w:eastAsia="zh-CN"/>
        </w:rPr>
      </w:pPr>
      <w:r>
        <w:rPr>
          <w:rFonts w:hint="eastAsia" w:ascii="宋体" w:hAnsi="宋体" w:cs="宋体"/>
          <w:sz w:val="24"/>
          <w:szCs w:val="24"/>
          <w:lang w:val="en-US" w:eastAsia="zh-CN"/>
        </w:rPr>
        <w:t>结合华电福建分公司在电力营销、数据协同、决策管理、信息化平台等领域存在的若干问题，目标与具体应用场景，</w:t>
      </w:r>
      <w:r>
        <w:rPr>
          <w:rFonts w:hint="eastAsia" w:ascii="宋体" w:hAnsi="宋体" w:cs="宋体"/>
          <w:bCs/>
          <w:sz w:val="24"/>
          <w:szCs w:val="24"/>
          <w:lang w:val="en-US" w:eastAsia="zh-CN"/>
        </w:rPr>
        <w:t>给出</w:t>
      </w:r>
      <w:r>
        <w:rPr>
          <w:rFonts w:hint="eastAsia" w:ascii="宋体" w:hAnsi="宋体" w:eastAsia="宋体" w:cs="宋体"/>
          <w:sz w:val="24"/>
          <w:szCs w:val="22"/>
          <w:lang w:val="en-US" w:eastAsia="zh-CN"/>
        </w:rPr>
        <w:t>电力全产业链</w:t>
      </w:r>
      <w:r>
        <w:rPr>
          <w:rFonts w:hint="eastAsia" w:ascii="宋体" w:hAnsi="宋体" w:cs="宋体"/>
          <w:bCs/>
          <w:sz w:val="24"/>
          <w:szCs w:val="24"/>
          <w:lang w:val="en-US" w:eastAsia="zh-CN"/>
        </w:rPr>
        <w:t>系列创新课题建议:</w:t>
      </w:r>
    </w:p>
    <w:p>
      <w:pPr>
        <w:tabs>
          <w:tab w:val="left" w:pos="785"/>
        </w:tabs>
        <w:adjustRightInd w:val="0"/>
        <w:snapToGrid w:val="0"/>
        <w:spacing w:line="360" w:lineRule="auto"/>
        <w:ind w:firstLine="480" w:firstLineChars="200"/>
        <w:rPr>
          <w:rFonts w:hint="default" w:ascii="宋体" w:hAnsi="宋体" w:cs="宋体"/>
          <w:bCs/>
          <w:sz w:val="24"/>
          <w:szCs w:val="24"/>
          <w:lang w:val="en-US" w:eastAsia="zh-CN"/>
        </w:rPr>
      </w:pPr>
      <w:r>
        <w:rPr>
          <w:rFonts w:hint="eastAsia" w:ascii="宋体" w:hAnsi="宋体" w:cs="宋体"/>
          <w:sz w:val="24"/>
          <w:szCs w:val="24"/>
          <w:lang w:val="en-US" w:eastAsia="zh-CN"/>
        </w:rPr>
        <w:t>（1）</w:t>
      </w:r>
      <w:r>
        <w:rPr>
          <w:rFonts w:hint="default" w:ascii="宋体" w:hAnsi="宋体" w:cs="宋体"/>
          <w:bCs/>
          <w:sz w:val="24"/>
          <w:szCs w:val="24"/>
          <w:lang w:val="en-US" w:eastAsia="zh-CN"/>
        </w:rPr>
        <w:t>新电改形势下的中长期市场化交易优化：研究区域电力供需预测模型，研究基于发电权理论的物理合同交易模型，研究储能参与能量-调频市场联合调度模式及模型，研究风储-火发电权交易的中长期电能量市场运营策略。</w:t>
      </w:r>
    </w:p>
    <w:p>
      <w:pPr>
        <w:tabs>
          <w:tab w:val="left" w:pos="785"/>
        </w:tabs>
        <w:adjustRightInd w:val="0"/>
        <w:snapToGrid w:val="0"/>
        <w:spacing w:line="360" w:lineRule="auto"/>
        <w:ind w:firstLine="480" w:firstLineChars="200"/>
        <w:rPr>
          <w:rFonts w:hint="default" w:ascii="宋体" w:hAnsi="宋体" w:cs="宋体"/>
          <w:bCs/>
          <w:sz w:val="24"/>
          <w:szCs w:val="24"/>
          <w:lang w:val="en-US" w:eastAsia="zh-CN"/>
        </w:rPr>
      </w:pPr>
      <w:r>
        <w:rPr>
          <w:rFonts w:hint="eastAsia" w:ascii="宋体" w:hAnsi="宋体" w:cs="宋体"/>
          <w:sz w:val="24"/>
          <w:szCs w:val="24"/>
          <w:lang w:val="en-US" w:eastAsia="zh-CN"/>
        </w:rPr>
        <w:t>（2）</w:t>
      </w:r>
      <w:r>
        <w:rPr>
          <w:rFonts w:hint="default" w:ascii="宋体" w:hAnsi="宋体" w:cs="宋体"/>
          <w:bCs/>
          <w:sz w:val="24"/>
          <w:szCs w:val="24"/>
          <w:lang w:val="en-US" w:eastAsia="zh-CN"/>
        </w:rPr>
        <w:t>电力远期合同-现货市场联合运营机制：研究电力远期合同-现货市场运营策略，基于信息熵理论的电力远期合同-现货市场联合运营模型，电力远期合同-现货市场联合运营生产模拟模型，联合运营效益评估指标体系。</w:t>
      </w:r>
    </w:p>
    <w:p>
      <w:pPr>
        <w:tabs>
          <w:tab w:val="left" w:pos="785"/>
        </w:tabs>
        <w:adjustRightInd w:val="0"/>
        <w:snapToGrid w:val="0"/>
        <w:spacing w:line="360" w:lineRule="auto"/>
        <w:ind w:firstLine="480" w:firstLineChars="200"/>
        <w:rPr>
          <w:rFonts w:hint="default" w:ascii="宋体" w:hAnsi="宋体" w:cs="宋体"/>
          <w:bCs/>
          <w:sz w:val="24"/>
          <w:szCs w:val="24"/>
          <w:lang w:val="en-US" w:eastAsia="zh-CN"/>
        </w:rPr>
      </w:pPr>
      <w:r>
        <w:rPr>
          <w:rFonts w:hint="eastAsia" w:ascii="宋体" w:hAnsi="宋体" w:cs="宋体"/>
          <w:sz w:val="24"/>
          <w:szCs w:val="24"/>
          <w:lang w:val="en-US" w:eastAsia="zh-CN"/>
        </w:rPr>
        <w:t>（3）</w:t>
      </w:r>
      <w:r>
        <w:rPr>
          <w:rFonts w:hint="default" w:ascii="宋体" w:hAnsi="宋体" w:cs="宋体"/>
          <w:bCs/>
          <w:sz w:val="24"/>
          <w:szCs w:val="24"/>
          <w:lang w:val="en-US" w:eastAsia="zh-CN"/>
        </w:rPr>
        <w:t>新电改形势下的华电火电厂营销策略优化：研究新电改形势下的火电厂营销策略影响因素模型与营销策略制定，根据目标市场中不同类型电力用户的差异化需求，从合理制订交易电价、拓宽营销渠道、针对性促销与关系营销等几个方面研究对应的营销策略。</w:t>
      </w:r>
    </w:p>
    <w:p>
      <w:pPr>
        <w:tabs>
          <w:tab w:val="left" w:pos="785"/>
        </w:tabs>
        <w:adjustRightInd w:val="0"/>
        <w:snapToGrid w:val="0"/>
        <w:spacing w:line="360" w:lineRule="auto"/>
        <w:ind w:firstLine="480" w:firstLineChars="200"/>
        <w:rPr>
          <w:rFonts w:hint="default" w:ascii="宋体" w:hAnsi="宋体" w:cs="宋体"/>
          <w:bCs/>
          <w:sz w:val="24"/>
          <w:szCs w:val="24"/>
          <w:lang w:val="en-US" w:eastAsia="zh-CN"/>
        </w:rPr>
      </w:pPr>
      <w:r>
        <w:rPr>
          <w:rFonts w:hint="eastAsia" w:ascii="宋体" w:hAnsi="宋体" w:cs="宋体"/>
          <w:sz w:val="24"/>
          <w:szCs w:val="24"/>
          <w:lang w:val="en-US" w:eastAsia="zh-CN"/>
        </w:rPr>
        <w:t>（4）</w:t>
      </w:r>
      <w:r>
        <w:rPr>
          <w:rFonts w:hint="default" w:ascii="宋体" w:hAnsi="宋体" w:cs="宋体"/>
          <w:bCs/>
          <w:sz w:val="24"/>
          <w:szCs w:val="24"/>
          <w:lang w:val="en-US" w:eastAsia="zh-CN"/>
        </w:rPr>
        <w:t>数据融合的供应链管理、优化与增值业务研究：针对“煤炭交易-电厂优化-电网侧”研究闭环电力全产业链平台创新建设模式，大型装备全生命周期管理，电力全产业链增值服务。</w:t>
      </w:r>
    </w:p>
    <w:p>
      <w:pPr>
        <w:tabs>
          <w:tab w:val="left" w:pos="785"/>
        </w:tabs>
        <w:adjustRightInd w:val="0"/>
        <w:snapToGrid w:val="0"/>
        <w:spacing w:line="360" w:lineRule="auto"/>
        <w:ind w:firstLine="480" w:firstLineChars="200"/>
        <w:rPr>
          <w:rFonts w:hint="default" w:ascii="宋体" w:hAnsi="宋体" w:cs="宋体"/>
          <w:bCs/>
          <w:sz w:val="24"/>
          <w:szCs w:val="24"/>
          <w:lang w:val="en-US" w:eastAsia="zh-CN"/>
        </w:rPr>
      </w:pPr>
    </w:p>
    <w:p>
      <w:pPr>
        <w:tabs>
          <w:tab w:val="left" w:pos="785"/>
        </w:tabs>
        <w:adjustRightInd w:val="0"/>
        <w:snapToGrid w:val="0"/>
        <w:spacing w:line="360" w:lineRule="auto"/>
        <w:ind w:firstLine="480" w:firstLineChars="200"/>
        <w:rPr>
          <w:rFonts w:hint="eastAsia" w:ascii="宋体" w:hAnsi="宋体" w:cs="宋体"/>
          <w:sz w:val="24"/>
          <w:szCs w:val="22"/>
          <w:lang w:val="en-US" w:eastAsia="zh-CN"/>
        </w:rPr>
      </w:pPr>
    </w:p>
    <w:p>
      <w:pPr>
        <w:tabs>
          <w:tab w:val="left" w:pos="785"/>
        </w:tabs>
        <w:adjustRightInd w:val="0"/>
        <w:snapToGrid w:val="0"/>
        <w:spacing w:line="360" w:lineRule="auto"/>
        <w:ind w:firstLine="480" w:firstLineChars="200"/>
        <w:rPr>
          <w:rFonts w:hint="default" w:ascii="宋体" w:hAnsi="宋体" w:cs="宋体"/>
          <w:sz w:val="24"/>
          <w:szCs w:val="22"/>
          <w:lang w:val="en-US" w:eastAsia="zh-CN"/>
        </w:rPr>
      </w:pPr>
    </w:p>
    <w:p>
      <w:pPr>
        <w:tabs>
          <w:tab w:val="left" w:pos="785"/>
        </w:tabs>
        <w:adjustRightInd w:val="0"/>
        <w:snapToGrid w:val="0"/>
        <w:spacing w:line="360" w:lineRule="auto"/>
        <w:ind w:firstLine="480" w:firstLineChars="200"/>
        <w:rPr>
          <w:rFonts w:hint="default" w:ascii="宋体" w:hAnsi="宋体" w:cs="宋体"/>
          <w:sz w:val="24"/>
          <w:szCs w:val="22"/>
          <w:lang w:val="en-US" w:eastAsia="zh-CN"/>
        </w:rPr>
      </w:pPr>
    </w:p>
    <w:sectPr>
      <w:footerReference r:id="rId5" w:type="default"/>
      <w:pgSz w:w="11906" w:h="16838"/>
      <w:pgMar w:top="1440" w:right="1797" w:bottom="1440" w:left="1797" w:header="851" w:footer="992" w:gutter="0"/>
      <w:pgNumType w:start="1"/>
      <w:cols w:space="720" w:num="1"/>
      <w:docGrid w:type="lines" w:linePitch="38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体">
    <w:altName w:val="宋体"/>
    <w:panose1 w:val="00000000000000000000"/>
    <w:charset w:val="86"/>
    <w:family w:val="roman"/>
    <w:pitch w:val="default"/>
    <w:sig w:usb0="00000000" w:usb1="00000000" w:usb2="00000010" w:usb3="00000000" w:csb0="00040000" w:csb1="00000000"/>
  </w:font>
  <w:font w:name="方正黑体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_GBK">
    <w:altName w:val="微软雅黑"/>
    <w:panose1 w:val="00000000000000000000"/>
    <w:charset w:val="86"/>
    <w:family w:val="script"/>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SSJ-PK7482000000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3C0134"/>
    <w:multiLevelType w:val="singleLevel"/>
    <w:tmpl w:val="B73C0134"/>
    <w:lvl w:ilvl="0" w:tentative="0">
      <w:start w:val="1"/>
      <w:numFmt w:val="decimal"/>
      <w:suff w:val="nothing"/>
      <w:lvlText w:val="（%1）"/>
      <w:lvlJc w:val="left"/>
    </w:lvl>
  </w:abstractNum>
  <w:abstractNum w:abstractNumId="1">
    <w:nsid w:val="00000014"/>
    <w:multiLevelType w:val="multilevel"/>
    <w:tmpl w:val="00000014"/>
    <w:lvl w:ilvl="0" w:tentative="0">
      <w:start w:val="1"/>
      <w:numFmt w:val="chineseCountingThousand"/>
      <w:pStyle w:val="2"/>
      <w:suff w:val="nothing"/>
      <w:lvlText w:val="第%1章 "/>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37082539"/>
    <w:multiLevelType w:val="singleLevel"/>
    <w:tmpl w:val="37082539"/>
    <w:lvl w:ilvl="0" w:tentative="0">
      <w:start w:val="5"/>
      <w:numFmt w:val="chineseCounting"/>
      <w:suff w:val="nothing"/>
      <w:lvlText w:val="%1、"/>
      <w:lvlJc w:val="left"/>
      <w:rPr>
        <w:rFonts w:hint="eastAsia"/>
      </w:rPr>
    </w:lvl>
  </w:abstractNum>
  <w:abstractNum w:abstractNumId="3">
    <w:nsid w:val="503B4CE8"/>
    <w:multiLevelType w:val="singleLevel"/>
    <w:tmpl w:val="503B4CE8"/>
    <w:lvl w:ilvl="0" w:tentative="0">
      <w:start w:val="2"/>
      <w:numFmt w:val="decimal"/>
      <w:suff w:val="nothing"/>
      <w:lvlText w:val="（%1）"/>
      <w:lvlJc w:val="left"/>
      <w:pPr>
        <w:ind w:left="785" w:leftChars="0" w:firstLine="0" w:firstLineChars="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c1YmYxYTg0ZTE4Nzk0YWE4ZmI5MjllN2JhNTc4ODEifQ=="/>
  </w:docVars>
  <w:rsids>
    <w:rsidRoot w:val="00172A27"/>
    <w:rsid w:val="00013284"/>
    <w:rsid w:val="00020AAA"/>
    <w:rsid w:val="00024728"/>
    <w:rsid w:val="000417A0"/>
    <w:rsid w:val="000539A7"/>
    <w:rsid w:val="000779CE"/>
    <w:rsid w:val="00094B88"/>
    <w:rsid w:val="000A68A5"/>
    <w:rsid w:val="000B02CF"/>
    <w:rsid w:val="000B5DDF"/>
    <w:rsid w:val="000B76DA"/>
    <w:rsid w:val="000D010B"/>
    <w:rsid w:val="000D3940"/>
    <w:rsid w:val="000D5A36"/>
    <w:rsid w:val="000E4933"/>
    <w:rsid w:val="00100801"/>
    <w:rsid w:val="0010201F"/>
    <w:rsid w:val="00102F92"/>
    <w:rsid w:val="00104D3F"/>
    <w:rsid w:val="00112203"/>
    <w:rsid w:val="001237BB"/>
    <w:rsid w:val="00135924"/>
    <w:rsid w:val="0016336C"/>
    <w:rsid w:val="00172A27"/>
    <w:rsid w:val="00191D22"/>
    <w:rsid w:val="00192D4A"/>
    <w:rsid w:val="00195537"/>
    <w:rsid w:val="001B41B0"/>
    <w:rsid w:val="001D418A"/>
    <w:rsid w:val="001F0464"/>
    <w:rsid w:val="00207761"/>
    <w:rsid w:val="00252D89"/>
    <w:rsid w:val="00264D0D"/>
    <w:rsid w:val="0027156B"/>
    <w:rsid w:val="002731E1"/>
    <w:rsid w:val="00274416"/>
    <w:rsid w:val="002C521D"/>
    <w:rsid w:val="002D7626"/>
    <w:rsid w:val="002E6B47"/>
    <w:rsid w:val="002F4250"/>
    <w:rsid w:val="003001BF"/>
    <w:rsid w:val="00324607"/>
    <w:rsid w:val="00344279"/>
    <w:rsid w:val="0037348C"/>
    <w:rsid w:val="003E2843"/>
    <w:rsid w:val="003F0ABB"/>
    <w:rsid w:val="00403DE0"/>
    <w:rsid w:val="00421B48"/>
    <w:rsid w:val="00423C04"/>
    <w:rsid w:val="00455E4A"/>
    <w:rsid w:val="004926F4"/>
    <w:rsid w:val="00492FFC"/>
    <w:rsid w:val="00522C29"/>
    <w:rsid w:val="00550D5A"/>
    <w:rsid w:val="005513F7"/>
    <w:rsid w:val="005620F8"/>
    <w:rsid w:val="00570C96"/>
    <w:rsid w:val="005755E7"/>
    <w:rsid w:val="0058047A"/>
    <w:rsid w:val="005914FB"/>
    <w:rsid w:val="005D3961"/>
    <w:rsid w:val="005D4912"/>
    <w:rsid w:val="005F5FBC"/>
    <w:rsid w:val="00646855"/>
    <w:rsid w:val="00666A1E"/>
    <w:rsid w:val="00691438"/>
    <w:rsid w:val="006A1256"/>
    <w:rsid w:val="006A2C5C"/>
    <w:rsid w:val="006D6A7D"/>
    <w:rsid w:val="006F6B61"/>
    <w:rsid w:val="0071202E"/>
    <w:rsid w:val="007269DA"/>
    <w:rsid w:val="00732D03"/>
    <w:rsid w:val="00750FCF"/>
    <w:rsid w:val="007520FA"/>
    <w:rsid w:val="00765156"/>
    <w:rsid w:val="00792086"/>
    <w:rsid w:val="00795170"/>
    <w:rsid w:val="007A3C87"/>
    <w:rsid w:val="007A3E8B"/>
    <w:rsid w:val="007C2FF1"/>
    <w:rsid w:val="007E0C1D"/>
    <w:rsid w:val="007E4820"/>
    <w:rsid w:val="007F2BA0"/>
    <w:rsid w:val="00804640"/>
    <w:rsid w:val="00811CF3"/>
    <w:rsid w:val="008261CA"/>
    <w:rsid w:val="00831B81"/>
    <w:rsid w:val="00835800"/>
    <w:rsid w:val="008416C5"/>
    <w:rsid w:val="00857A4E"/>
    <w:rsid w:val="00860577"/>
    <w:rsid w:val="008627E8"/>
    <w:rsid w:val="008B6444"/>
    <w:rsid w:val="008C100A"/>
    <w:rsid w:val="008E17E4"/>
    <w:rsid w:val="009038DE"/>
    <w:rsid w:val="00904A18"/>
    <w:rsid w:val="00906499"/>
    <w:rsid w:val="009163A2"/>
    <w:rsid w:val="00924A10"/>
    <w:rsid w:val="009555EA"/>
    <w:rsid w:val="00967E26"/>
    <w:rsid w:val="0097149A"/>
    <w:rsid w:val="0097518D"/>
    <w:rsid w:val="0098580F"/>
    <w:rsid w:val="0098641F"/>
    <w:rsid w:val="009A1096"/>
    <w:rsid w:val="009C0266"/>
    <w:rsid w:val="009C08A0"/>
    <w:rsid w:val="009C3CDD"/>
    <w:rsid w:val="009E36C9"/>
    <w:rsid w:val="00A04FC3"/>
    <w:rsid w:val="00A44575"/>
    <w:rsid w:val="00A45984"/>
    <w:rsid w:val="00A50950"/>
    <w:rsid w:val="00A76C25"/>
    <w:rsid w:val="00A77FC4"/>
    <w:rsid w:val="00A878E5"/>
    <w:rsid w:val="00AB36DA"/>
    <w:rsid w:val="00AB4489"/>
    <w:rsid w:val="00AB5E03"/>
    <w:rsid w:val="00AC3F1C"/>
    <w:rsid w:val="00B003CF"/>
    <w:rsid w:val="00B4439D"/>
    <w:rsid w:val="00B51387"/>
    <w:rsid w:val="00B52AF8"/>
    <w:rsid w:val="00B6097D"/>
    <w:rsid w:val="00B81836"/>
    <w:rsid w:val="00B87A59"/>
    <w:rsid w:val="00B9466A"/>
    <w:rsid w:val="00BB55A8"/>
    <w:rsid w:val="00BC5768"/>
    <w:rsid w:val="00BF0C71"/>
    <w:rsid w:val="00C00E88"/>
    <w:rsid w:val="00C064A0"/>
    <w:rsid w:val="00C3295B"/>
    <w:rsid w:val="00C51712"/>
    <w:rsid w:val="00C60B01"/>
    <w:rsid w:val="00C753AA"/>
    <w:rsid w:val="00CB5B1B"/>
    <w:rsid w:val="00CB625F"/>
    <w:rsid w:val="00CC1E70"/>
    <w:rsid w:val="00CD09D3"/>
    <w:rsid w:val="00CD0E84"/>
    <w:rsid w:val="00CE234B"/>
    <w:rsid w:val="00CF128F"/>
    <w:rsid w:val="00CF50FF"/>
    <w:rsid w:val="00D02F82"/>
    <w:rsid w:val="00D14BF9"/>
    <w:rsid w:val="00D364D0"/>
    <w:rsid w:val="00D37EC2"/>
    <w:rsid w:val="00D47B22"/>
    <w:rsid w:val="00D53D75"/>
    <w:rsid w:val="00D952F2"/>
    <w:rsid w:val="00DA0854"/>
    <w:rsid w:val="00DB054B"/>
    <w:rsid w:val="00DB77EE"/>
    <w:rsid w:val="00DD3D1B"/>
    <w:rsid w:val="00DD79CA"/>
    <w:rsid w:val="00DE31CD"/>
    <w:rsid w:val="00DE768C"/>
    <w:rsid w:val="00E300B8"/>
    <w:rsid w:val="00E37F86"/>
    <w:rsid w:val="00E432E0"/>
    <w:rsid w:val="00E54A22"/>
    <w:rsid w:val="00E9016C"/>
    <w:rsid w:val="00E939DE"/>
    <w:rsid w:val="00EB64B1"/>
    <w:rsid w:val="00EC5DF2"/>
    <w:rsid w:val="00EE6595"/>
    <w:rsid w:val="00EF65CB"/>
    <w:rsid w:val="00EF7932"/>
    <w:rsid w:val="00F04825"/>
    <w:rsid w:val="00F14A44"/>
    <w:rsid w:val="00F26395"/>
    <w:rsid w:val="00F34B87"/>
    <w:rsid w:val="00F5408B"/>
    <w:rsid w:val="00F56688"/>
    <w:rsid w:val="00F57FBD"/>
    <w:rsid w:val="00F617EA"/>
    <w:rsid w:val="00F6351D"/>
    <w:rsid w:val="00F8074B"/>
    <w:rsid w:val="00F84322"/>
    <w:rsid w:val="00FA349C"/>
    <w:rsid w:val="00FA4B0D"/>
    <w:rsid w:val="00FC066B"/>
    <w:rsid w:val="00FC688B"/>
    <w:rsid w:val="00FE745E"/>
    <w:rsid w:val="00FF004B"/>
    <w:rsid w:val="01022950"/>
    <w:rsid w:val="02237161"/>
    <w:rsid w:val="03DF1203"/>
    <w:rsid w:val="041D2A27"/>
    <w:rsid w:val="04691CF6"/>
    <w:rsid w:val="04992CCB"/>
    <w:rsid w:val="055C3AC5"/>
    <w:rsid w:val="06AE3BE0"/>
    <w:rsid w:val="07352833"/>
    <w:rsid w:val="08CC764C"/>
    <w:rsid w:val="09520A0B"/>
    <w:rsid w:val="0A5C34FE"/>
    <w:rsid w:val="0A877579"/>
    <w:rsid w:val="0AC121B0"/>
    <w:rsid w:val="0B6060DC"/>
    <w:rsid w:val="0C2A327F"/>
    <w:rsid w:val="0C3D545F"/>
    <w:rsid w:val="0CF80161"/>
    <w:rsid w:val="0DAE17F9"/>
    <w:rsid w:val="0E921F9B"/>
    <w:rsid w:val="0EC33BC1"/>
    <w:rsid w:val="0F5710BD"/>
    <w:rsid w:val="12ED63C2"/>
    <w:rsid w:val="139B6F6B"/>
    <w:rsid w:val="141301CB"/>
    <w:rsid w:val="14577D53"/>
    <w:rsid w:val="149E3EE8"/>
    <w:rsid w:val="18EC0449"/>
    <w:rsid w:val="19916653"/>
    <w:rsid w:val="1C477041"/>
    <w:rsid w:val="1DF55EEF"/>
    <w:rsid w:val="1E011696"/>
    <w:rsid w:val="1E176F0A"/>
    <w:rsid w:val="1E277C82"/>
    <w:rsid w:val="20304561"/>
    <w:rsid w:val="204115BE"/>
    <w:rsid w:val="22121525"/>
    <w:rsid w:val="22961262"/>
    <w:rsid w:val="22B52191"/>
    <w:rsid w:val="249801E7"/>
    <w:rsid w:val="24D97522"/>
    <w:rsid w:val="24E877F1"/>
    <w:rsid w:val="268056F1"/>
    <w:rsid w:val="271A3E88"/>
    <w:rsid w:val="29BA6DD7"/>
    <w:rsid w:val="2AEF6B08"/>
    <w:rsid w:val="2C133140"/>
    <w:rsid w:val="2C7C5C8D"/>
    <w:rsid w:val="2C994A91"/>
    <w:rsid w:val="2DBD6725"/>
    <w:rsid w:val="2F7D4598"/>
    <w:rsid w:val="3006247B"/>
    <w:rsid w:val="300A1629"/>
    <w:rsid w:val="30852094"/>
    <w:rsid w:val="311704B2"/>
    <w:rsid w:val="3117450C"/>
    <w:rsid w:val="31710D8C"/>
    <w:rsid w:val="31C12394"/>
    <w:rsid w:val="325E108F"/>
    <w:rsid w:val="34352643"/>
    <w:rsid w:val="3625672D"/>
    <w:rsid w:val="36632E9C"/>
    <w:rsid w:val="366C5175"/>
    <w:rsid w:val="3703495C"/>
    <w:rsid w:val="378256FD"/>
    <w:rsid w:val="386869A0"/>
    <w:rsid w:val="38BE6768"/>
    <w:rsid w:val="38CF2341"/>
    <w:rsid w:val="3A7A13F4"/>
    <w:rsid w:val="3B8A37F6"/>
    <w:rsid w:val="3C117FD5"/>
    <w:rsid w:val="3F746C97"/>
    <w:rsid w:val="3F8A08AF"/>
    <w:rsid w:val="40E23095"/>
    <w:rsid w:val="413B0D1D"/>
    <w:rsid w:val="41664765"/>
    <w:rsid w:val="427916B4"/>
    <w:rsid w:val="439B49D4"/>
    <w:rsid w:val="44897BAD"/>
    <w:rsid w:val="45D31AEC"/>
    <w:rsid w:val="45DD0D18"/>
    <w:rsid w:val="47001B8F"/>
    <w:rsid w:val="494733BC"/>
    <w:rsid w:val="495B71F3"/>
    <w:rsid w:val="499701A0"/>
    <w:rsid w:val="4A8917A5"/>
    <w:rsid w:val="4BC331EC"/>
    <w:rsid w:val="4C717A5C"/>
    <w:rsid w:val="4D7F6D65"/>
    <w:rsid w:val="4E5403C0"/>
    <w:rsid w:val="4F783427"/>
    <w:rsid w:val="4FA01141"/>
    <w:rsid w:val="518A768B"/>
    <w:rsid w:val="52773837"/>
    <w:rsid w:val="538A3032"/>
    <w:rsid w:val="54082515"/>
    <w:rsid w:val="556853B2"/>
    <w:rsid w:val="56E5703C"/>
    <w:rsid w:val="576A2D0C"/>
    <w:rsid w:val="5ABD589D"/>
    <w:rsid w:val="5BE651BE"/>
    <w:rsid w:val="5BFC13F3"/>
    <w:rsid w:val="5E443FAD"/>
    <w:rsid w:val="626A71A7"/>
    <w:rsid w:val="62A84836"/>
    <w:rsid w:val="63F15D69"/>
    <w:rsid w:val="668A6072"/>
    <w:rsid w:val="66B769A2"/>
    <w:rsid w:val="69EE2275"/>
    <w:rsid w:val="6D0921C3"/>
    <w:rsid w:val="6DEB7277"/>
    <w:rsid w:val="6F312AEE"/>
    <w:rsid w:val="70D866E9"/>
    <w:rsid w:val="758D132B"/>
    <w:rsid w:val="75906D62"/>
    <w:rsid w:val="79035AED"/>
    <w:rsid w:val="79C45B2F"/>
    <w:rsid w:val="7B666EB3"/>
    <w:rsid w:val="7CB91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8"/>
    <w:qFormat/>
    <w:uiPriority w:val="0"/>
    <w:pPr>
      <w:keepNext/>
      <w:keepLines/>
      <w:numPr>
        <w:ilvl w:val="0"/>
        <w:numId w:val="1"/>
      </w:numPr>
      <w:adjustRightInd w:val="0"/>
      <w:spacing w:before="120" w:after="120" w:line="240" w:lineRule="atLeast"/>
      <w:textAlignment w:val="baseline"/>
      <w:outlineLvl w:val="0"/>
    </w:pPr>
    <w:rPr>
      <w:rFonts w:ascii="黑体" w:eastAsia="黑体"/>
      <w:b/>
      <w:kern w:val="44"/>
      <w:sz w:val="28"/>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360" w:lineRule="auto"/>
      <w:jc w:val="center"/>
    </w:pPr>
    <w:rPr>
      <w:rFonts w:eastAsia="仿宋_GB2312"/>
      <w:b/>
      <w:bCs/>
      <w:szCs w:val="21"/>
    </w:rPr>
  </w:style>
  <w:style w:type="paragraph" w:styleId="6">
    <w:name w:val="Document Map"/>
    <w:basedOn w:val="1"/>
    <w:link w:val="16"/>
    <w:semiHidden/>
    <w:unhideWhenUsed/>
    <w:qFormat/>
    <w:uiPriority w:val="99"/>
    <w:rPr>
      <w:rFonts w:ascii="宋体"/>
      <w:sz w:val="18"/>
      <w:szCs w:val="18"/>
      <w:lang w:val="zh-CN"/>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autoSpaceDE w:val="0"/>
      <w:autoSpaceDN w:val="0"/>
      <w:adjustRightInd w:val="0"/>
      <w:snapToGrid w:val="0"/>
      <w:spacing w:before="100" w:after="100"/>
      <w:jc w:val="center"/>
    </w:pPr>
    <w:rPr>
      <w:rFonts w:ascii="仿宋体" w:eastAsia="仿宋体"/>
      <w:sz w:val="18"/>
    </w:rPr>
  </w:style>
  <w:style w:type="paragraph" w:styleId="9">
    <w:name w:val="toc 1"/>
    <w:basedOn w:val="1"/>
    <w:next w:val="1"/>
    <w:semiHidden/>
    <w:unhideWhenUsed/>
    <w:uiPriority w:val="39"/>
  </w:style>
  <w:style w:type="paragraph" w:styleId="10">
    <w:name w:val="toc 2"/>
    <w:basedOn w:val="1"/>
    <w:next w:val="1"/>
    <w:semiHidden/>
    <w:unhideWhenUsed/>
    <w:uiPriority w:val="39"/>
    <w:pPr>
      <w:ind w:left="420" w:leftChars="200"/>
    </w:pPr>
  </w:style>
  <w:style w:type="paragraph" w:styleId="11">
    <w:name w:val="Normal (Web)"/>
    <w:basedOn w:val="1"/>
    <w:semiHidden/>
    <w:unhideWhenUsed/>
    <w:qFormat/>
    <w:uiPriority w:val="99"/>
    <w:pPr>
      <w:spacing w:beforeAutospacing="1" w:afterAutospacing="1"/>
      <w:jc w:val="left"/>
    </w:pPr>
    <w:rPr>
      <w:kern w:val="0"/>
      <w:sz w:val="24"/>
    </w:rPr>
  </w:style>
  <w:style w:type="character" w:styleId="14">
    <w:name w:val="Strong"/>
    <w:basedOn w:val="13"/>
    <w:qFormat/>
    <w:uiPriority w:val="22"/>
    <w:rPr>
      <w:b/>
    </w:rPr>
  </w:style>
  <w:style w:type="character" w:styleId="15">
    <w:name w:val="page number"/>
    <w:basedOn w:val="13"/>
    <w:qFormat/>
    <w:uiPriority w:val="0"/>
  </w:style>
  <w:style w:type="character" w:customStyle="1" w:styleId="16">
    <w:name w:val="文档结构图 字符"/>
    <w:link w:val="6"/>
    <w:semiHidden/>
    <w:qFormat/>
    <w:uiPriority w:val="99"/>
    <w:rPr>
      <w:rFonts w:ascii="宋体"/>
      <w:kern w:val="2"/>
      <w:sz w:val="18"/>
      <w:szCs w:val="18"/>
    </w:rPr>
  </w:style>
  <w:style w:type="character" w:styleId="17">
    <w:name w:val="Placeholder Text"/>
    <w:basedOn w:val="13"/>
    <w:semiHidden/>
    <w:qFormat/>
    <w:uiPriority w:val="99"/>
    <w:rPr>
      <w:color w:val="808080"/>
    </w:rPr>
  </w:style>
  <w:style w:type="character" w:customStyle="1" w:styleId="18">
    <w:name w:val="标题 1 Char"/>
    <w:link w:val="2"/>
    <w:qFormat/>
    <w:uiPriority w:val="0"/>
    <w:rPr>
      <w:rFonts w:ascii="黑体" w:eastAsia="黑体"/>
      <w:b/>
      <w:kern w:val="44"/>
      <w:sz w:val="28"/>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wmf"/><Relationship Id="rId6" Type="http://schemas.openxmlformats.org/officeDocument/2006/relationships/theme" Target="theme/theme1.xml"/><Relationship Id="rId59" Type="http://schemas.openxmlformats.org/officeDocument/2006/relationships/oleObject" Target="embeddings/oleObject23.bin"/><Relationship Id="rId58" Type="http://schemas.openxmlformats.org/officeDocument/2006/relationships/image" Target="media/image30.wmf"/><Relationship Id="rId57" Type="http://schemas.openxmlformats.org/officeDocument/2006/relationships/oleObject" Target="embeddings/oleObject22.bin"/><Relationship Id="rId56" Type="http://schemas.openxmlformats.org/officeDocument/2006/relationships/image" Target="media/image29.wmf"/><Relationship Id="rId55" Type="http://schemas.openxmlformats.org/officeDocument/2006/relationships/oleObject" Target="embeddings/oleObject21.bin"/><Relationship Id="rId54" Type="http://schemas.openxmlformats.org/officeDocument/2006/relationships/image" Target="media/image28.wmf"/><Relationship Id="rId53" Type="http://schemas.openxmlformats.org/officeDocument/2006/relationships/oleObject" Target="embeddings/oleObject20.bin"/><Relationship Id="rId52" Type="http://schemas.openxmlformats.org/officeDocument/2006/relationships/image" Target="media/image27.wmf"/><Relationship Id="rId51" Type="http://schemas.openxmlformats.org/officeDocument/2006/relationships/oleObject" Target="embeddings/oleObject19.bin"/><Relationship Id="rId50" Type="http://schemas.openxmlformats.org/officeDocument/2006/relationships/image" Target="media/image26.wmf"/><Relationship Id="rId5" Type="http://schemas.openxmlformats.org/officeDocument/2006/relationships/footer" Target="footer2.xml"/><Relationship Id="rId49" Type="http://schemas.openxmlformats.org/officeDocument/2006/relationships/oleObject" Target="embeddings/oleObject18.bin"/><Relationship Id="rId48" Type="http://schemas.openxmlformats.org/officeDocument/2006/relationships/image" Target="media/image25.wmf"/><Relationship Id="rId47" Type="http://schemas.openxmlformats.org/officeDocument/2006/relationships/oleObject" Target="embeddings/oleObject17.bin"/><Relationship Id="rId46" Type="http://schemas.openxmlformats.org/officeDocument/2006/relationships/image" Target="media/image24.wmf"/><Relationship Id="rId45" Type="http://schemas.openxmlformats.org/officeDocument/2006/relationships/oleObject" Target="embeddings/oleObject16.bin"/><Relationship Id="rId44" Type="http://schemas.openxmlformats.org/officeDocument/2006/relationships/image" Target="media/image23.wmf"/><Relationship Id="rId43" Type="http://schemas.openxmlformats.org/officeDocument/2006/relationships/oleObject" Target="embeddings/oleObject15.bin"/><Relationship Id="rId42" Type="http://schemas.openxmlformats.org/officeDocument/2006/relationships/image" Target="media/image22.wmf"/><Relationship Id="rId41" Type="http://schemas.openxmlformats.org/officeDocument/2006/relationships/oleObject" Target="embeddings/oleObject14.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wmf"/><Relationship Id="rId33" Type="http://schemas.openxmlformats.org/officeDocument/2006/relationships/oleObject" Target="embeddings/oleObject10.bin"/><Relationship Id="rId32" Type="http://schemas.openxmlformats.org/officeDocument/2006/relationships/image" Target="media/image17.wmf"/><Relationship Id="rId31" Type="http://schemas.openxmlformats.org/officeDocument/2006/relationships/oleObject" Target="embeddings/oleObject9.bin"/><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5.wmf"/><Relationship Id="rId27" Type="http://schemas.openxmlformats.org/officeDocument/2006/relationships/oleObject" Target="embeddings/oleObject7.bin"/><Relationship Id="rId26" Type="http://schemas.openxmlformats.org/officeDocument/2006/relationships/image" Target="media/image14.wmf"/><Relationship Id="rId25" Type="http://schemas.openxmlformats.org/officeDocument/2006/relationships/oleObject" Target="embeddings/oleObject6.bin"/><Relationship Id="rId24" Type="http://schemas.openxmlformats.org/officeDocument/2006/relationships/image" Target="media/image13.wmf"/><Relationship Id="rId23" Type="http://schemas.openxmlformats.org/officeDocument/2006/relationships/oleObject" Target="embeddings/oleObject5.bin"/><Relationship Id="rId22" Type="http://schemas.openxmlformats.org/officeDocument/2006/relationships/image" Target="media/image12.wmf"/><Relationship Id="rId21" Type="http://schemas.openxmlformats.org/officeDocument/2006/relationships/oleObject" Target="embeddings/oleObject4.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oleObject" Target="embeddings/oleObject2.bin"/><Relationship Id="rId13" Type="http://schemas.openxmlformats.org/officeDocument/2006/relationships/image" Target="media/image6.png"/><Relationship Id="rId12" Type="http://schemas.openxmlformats.org/officeDocument/2006/relationships/image" Target="media/image5.wmf"/><Relationship Id="rId11" Type="http://schemas.openxmlformats.org/officeDocument/2006/relationships/oleObject" Target="embeddings/oleObject1.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24017</Words>
  <Characters>25035</Characters>
  <Lines>100</Lines>
  <Paragraphs>28</Paragraphs>
  <TotalTime>0</TotalTime>
  <ScaleCrop>false</ScaleCrop>
  <LinksUpToDate>false</LinksUpToDate>
  <CharactersWithSpaces>25365</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2022-03-15T01:54:00Z</dcterms:created>
  <dc:creator>宋平</dc:creator>
  <cp:lastModifiedBy>阿铮</cp:lastModifiedBy>
  <cp:lastPrinted>2018-05-28T09:17:00Z</cp:lastPrinted>
  <dcterms:modified xsi:type="dcterms:W3CDTF">2022-06-30T12:14:25Z</dcterms:modified>
  <dc:title>编号</dc:title>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55730EBDB1DA48D2881913E2CEBBE4A2</vt:lpwstr>
  </property>
</Properties>
</file>