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3274E" w14:textId="658019B4" w:rsidR="00EE49FB" w:rsidRDefault="00093F7D" w:rsidP="006C282B">
      <w:pPr>
        <w:sectPr w:rsidR="00EE49FB" w:rsidSect="00083B07">
          <w:headerReference w:type="even" r:id="rId11"/>
          <w:headerReference w:type="default" r:id="rId12"/>
          <w:footerReference w:type="even" r:id="rId13"/>
          <w:footerReference w:type="default" r:id="rId14"/>
          <w:headerReference w:type="first" r:id="rId15"/>
          <w:footerReference w:type="first" r:id="rId16"/>
          <w:type w:val="continuous"/>
          <w:pgSz w:w="11906" w:h="16838"/>
          <w:pgMar w:top="2124" w:right="1440" w:bottom="1134" w:left="1440" w:header="0" w:footer="539" w:gutter="0"/>
          <w:pgNumType w:start="1"/>
          <w:cols w:space="708"/>
          <w:titlePg/>
          <w:docGrid w:linePitch="360"/>
        </w:sectPr>
      </w:pPr>
      <w:bookmarkStart w:id="0" w:name="_Toc118443202"/>
      <w:bookmarkStart w:id="1" w:name="_Toc119418020"/>
      <w:r>
        <w:rPr>
          <w:noProof/>
        </w:rPr>
        <w:drawing>
          <wp:anchor distT="0" distB="0" distL="114300" distR="114300" simplePos="0" relativeHeight="251658240" behindDoc="0" locked="0" layoutInCell="1" allowOverlap="1" wp14:anchorId="0CBAD37C" wp14:editId="250BFBFD">
            <wp:simplePos x="0" y="0"/>
            <wp:positionH relativeFrom="page">
              <wp:align>right</wp:align>
            </wp:positionH>
            <wp:positionV relativeFrom="paragraph">
              <wp:posOffset>-1348740</wp:posOffset>
            </wp:positionV>
            <wp:extent cx="7550596" cy="1624330"/>
            <wp:effectExtent l="0" t="0" r="0" b="0"/>
            <wp:wrapNone/>
            <wp:docPr id="709284876"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84876" name="Graphic 3">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7550596" cy="1624330"/>
                    </a:xfrm>
                    <a:prstGeom prst="rect">
                      <a:avLst/>
                    </a:prstGeom>
                  </pic:spPr>
                </pic:pic>
              </a:graphicData>
            </a:graphic>
            <wp14:sizeRelH relativeFrom="page">
              <wp14:pctWidth>0</wp14:pctWidth>
            </wp14:sizeRelH>
            <wp14:sizeRelV relativeFrom="page">
              <wp14:pctHeight>0</wp14:pctHeight>
            </wp14:sizeRelV>
          </wp:anchor>
        </w:drawing>
      </w:r>
    </w:p>
    <w:p>
      <w:pPr>
        <w:pStyle w:val="Heading1"/>
      </w:pPr>
      <w:r>
        <w:t xml:space="preserve">A Direct One-vs-All Skill-Matching Strategy for Automated Credit Transfer Recommendation</w:t>
      </w:r>
    </w:p>
    <w:p>
      <w:pPr>
        <w:pStyle w:val="BodyText"/>
      </w:pPr>
      <w:r>
        <w:rPr>
          <w:rStyle w:val="StrongEmphasis"/>
        </w:rPr>
        <w:t xml:space="preserve">Technical Report</w:t>
      </w:r>
    </w:p>
    <w:p>
      <w:pPr>
        <w:pStyle w:val="BodyText"/>
      </w:pPr>
      <w:r>
        <w:t xml:space="preserve">Date: June 2026</w:t>
      </w:r>
    </w:p>
    <w:p>
      <w:pPr>
        <w:pStyle w:val="Heading2"/>
      </w:pPr>
      <w:r>
        <w:t xml:space="preserve">Abstract</w:t>
      </w:r>
    </w:p>
    <w:p>
      <w:pPr>
        <w:pStyle w:val="BodyText"/>
      </w:pPr>
      <w:r>
        <w:t xml:space="preserve">This technical report specifies the direct one-vs-all matching strategy used in production by an automated credit transfer recommender that maps Vocational Education and Training (VET) units of competency onto the courses of a university qualification. The recommender transforms unstructured competency descriptions into structured skill representations through a four-stage pipeline (extraction, refinement, differentiation, and recommendation) and produces FULL, PARTIAL, or NONE recommendations for each university course. Building on transformer-based embedding models [13, 14] and large language models for capability extraction [11, 12], the system computes a per-pair score that linearly combines semantic similarity, skill-level compatibility encoded through the Skills Framework for the Information Age (SFIA) [20], and contextual compatibility. Under the direct one-vs-all strategy each university outcome is treated as an independent unit of decision and paired with its best partner drawn from the entire pool of VET skills. A sequence of deterministic guards, a hard winner cap, and a large language model equivalence judge progressively refine candidate matches before a multidimensional headline score is aggregated and classified.</w:t>
      </w:r>
    </w:p>
    <w:p>
      <w:pPr>
        <w:pStyle w:val="BodyText"/>
      </w:pPr>
      <w:r>
        <w:t xml:space="preserve">This revision documents the production operating point established after the La Trobe validation cycle. The principal changes from the earlier baseline are a six-rule large language model equivalence judge operating under self-consistency voting, in which several independent samples are drawn per pair and the majority verdict is taken to damp model nondeterminism; a hard cap on the number of university outcomes a single VET skill may win; an optional pre-filter that drops refiner-flagged skills before scoring; and classification floors retuned against the human-validated cases. The report documents every coefficient, threshold, and decision rule that affects the headline score, together with the value currently set in the production configuration, and reports the validation metrics measured on the La Trobe cohort.</w:t>
      </w:r>
    </w:p>
    <w:p>
      <w:pPr>
        <w:pStyle w:val="Heading2"/>
      </w:pPr>
      <w:r>
        <w:t xml:space="preserve">Notation</w:t>
      </w:r>
    </w:p>
    <w:p>
      <w:pPr>
        <w:pStyle w:val="BodyText"/>
      </w:pPr>
      <w:r>
        <w:t xml:space="preserve">The symbols used throughout this report are summarised below.</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00"/>
        <w:gridCol w:w="7326"/>
      </w:tblGrid>
      <w:tr>
        <w:tc>
          <w:tcPr>
            <w:tcW w:w="1700" w:type="dxa"/>
            <w:shd w:val="clear" w:color="auto" w:fill="EDE3F5"/>
            <w:vAlign w:val="center"/>
          </w:tcPr>
          <w:p>
            <w:pPr>
              <w:pStyle w:val="TableHeading"/>
            </w:pPr>
            <w:r>
              <w:t xml:space="preserve">Symbol</w:t>
            </w:r>
          </w:p>
        </w:tc>
        <w:tc>
          <w:tcPr>
            <w:tcW w:w="7326" w:type="dxa"/>
            <w:shd w:val="clear" w:color="auto" w:fill="EDE3F5"/>
            <w:vAlign w:val="center"/>
          </w:tcPr>
          <w:p>
            <w:pPr>
              <w:pStyle w:val="TableHeading"/>
            </w:pPr>
            <w:r>
              <w:t xml:space="preserve">Meaning</w:t>
            </w:r>
          </w:p>
        </w:tc>
      </w:tr>
      <w:tr>
        <w:tc>
          <w:tcPr>
            <w:tcW w:w="1700" w:type="dxa"/>
          </w:tcPr>
          <w:p>
            <w:pPr>
              <w:pStyle w:val="TableContents"/>
            </w:pPr>
            <w:r>
              <w:t xml:space="preserve">V</w:t>
            </w:r>
          </w:p>
        </w:tc>
        <w:tc>
          <w:tcPr>
            <w:tcW w:w="7326" w:type="dxa"/>
          </w:tcPr>
          <w:p>
            <w:pPr>
              <w:pStyle w:val="TableContents"/>
            </w:pPr>
            <w:r>
              <w:t xml:space="preserve">One VET skill, comprising a refined name, level, context, and related fields.</w:t>
            </w:r>
          </w:p>
        </w:tc>
      </w:tr>
      <w:tr>
        <w:tc>
          <w:tcPr>
            <w:tcW w:w="1700" w:type="dxa"/>
          </w:tcPr>
          <w:p>
            <w:pPr>
              <w:pStyle w:val="TableContents"/>
            </w:pPr>
            <w:r>
              <w:t xml:space="preserve">U</w:t>
            </w:r>
          </w:p>
        </w:tc>
        <w:tc>
          <w:tcPr>
            <w:tcW w:w="7326" w:type="dxa"/>
          </w:tcPr>
          <w:p>
            <w:pPr>
              <w:pStyle w:val="TableContents"/>
            </w:pPr>
            <w:r>
              <w:t xml:space="preserve">One university skill, comprising a refined name, level, context, and related fields.</w:t>
            </w:r>
          </w:p>
        </w:tc>
      </w:tr>
      <w:tr>
        <w:tc>
          <w:tcPr>
            <w:tcW w:w="1700" w:type="dxa"/>
          </w:tcPr>
          <w:p>
            <w:pPr>
              <w:pStyle w:val="TableContents"/>
            </w:pPr>
            <w:r>
              <w:t xml:space="preserve">n_V, n_U</w:t>
            </w:r>
          </w:p>
        </w:tc>
        <w:tc>
          <w:tcPr>
            <w:tcW w:w="7326" w:type="dxa"/>
          </w:tcPr>
          <w:p>
            <w:pPr>
              <w:pStyle w:val="TableContents"/>
            </w:pPr>
            <w:r>
              <w:t xml:space="preserve">Number of VET and university skills in the analysed pair of qualifications.</w:t>
            </w:r>
          </w:p>
        </w:tc>
      </w:tr>
      <w:tr>
        <w:tc>
          <w:tcPr>
            <w:tcW w:w="1700" w:type="dxa"/>
          </w:tcPr>
          <w:p>
            <w:pPr>
              <w:pStyle w:val="TableContents"/>
            </w:pPr>
            <w:r>
              <w:t xml:space="preserve">S(V, U)</w:t>
            </w:r>
          </w:p>
        </w:tc>
        <w:tc>
          <w:tcPr>
            <w:tcW w:w="7326" w:type="dxa"/>
          </w:tcPr>
          <w:p>
            <w:pPr>
              <w:pStyle w:val="TableContents"/>
            </w:pPr>
            <w:r>
              <w:t xml:space="preserve">Cosine similarity of the embedded skill names, in [0, 1].</w:t>
            </w:r>
          </w:p>
        </w:tc>
      </w:tr>
      <w:tr>
        <w:tc>
          <w:tcPr>
            <w:tcW w:w="1700" w:type="dxa"/>
          </w:tcPr>
          <w:p>
            <w:pPr>
              <w:pStyle w:val="TableContents"/>
            </w:pPr>
            <w:r>
              <w:t xml:space="preserve">L(V, U)</w:t>
            </w:r>
          </w:p>
        </w:tc>
        <w:tc>
          <w:tcPr>
            <w:tcW w:w="7326" w:type="dxa"/>
          </w:tcPr>
          <w:p>
            <w:pPr>
              <w:pStyle w:val="TableContents"/>
            </w:pPr>
            <w:r>
              <w:t xml:space="preserve">Level compatibility, in [0, 1].</w:t>
            </w:r>
          </w:p>
        </w:tc>
      </w:tr>
      <w:tr>
        <w:tc>
          <w:tcPr>
            <w:tcW w:w="1700" w:type="dxa"/>
          </w:tcPr>
          <w:p>
            <w:pPr>
              <w:pStyle w:val="TableContents"/>
            </w:pPr>
            <w:r>
              <w:t xml:space="preserve">C(V, U)</w:t>
            </w:r>
          </w:p>
        </w:tc>
        <w:tc>
          <w:tcPr>
            <w:tcW w:w="7326" w:type="dxa"/>
          </w:tcPr>
          <w:p>
            <w:pPr>
              <w:pStyle w:val="TableContents"/>
            </w:pPr>
            <w:r>
              <w:t xml:space="preserve">Context (practical, theoretical, or hybrid) compatibility, in [0, 1].</w:t>
            </w:r>
          </w:p>
        </w:tc>
      </w:tr>
      <w:tr>
        <w:tc>
          <w:tcPr>
            <w:tcW w:w="1700" w:type="dxa"/>
          </w:tcPr>
          <w:p>
            <w:pPr>
              <w:pStyle w:val="TableContents"/>
            </w:pPr>
            <w:r>
              <w:t xml:space="preserve">M(V, U)</w:t>
            </w:r>
          </w:p>
        </w:tc>
        <w:tc>
          <w:tcPr>
            <w:tcW w:w="7326" w:type="dxa"/>
          </w:tcPr>
          <w:p>
            <w:pPr>
              <w:pStyle w:val="TableContents"/>
            </w:pPr>
            <w:r>
              <w:t xml:space="preserve">Combined per-pair score, in [0, 1].</w:t>
            </w:r>
          </w:p>
        </w:tc>
      </w:tr>
      <w:tr>
        <w:tc>
          <w:tcPr>
            <w:tcW w:w="1700" w:type="dxa"/>
          </w:tcPr>
          <w:p>
            <w:pPr>
              <w:pStyle w:val="TableContents"/>
            </w:pPr>
            <w:r>
              <w:t xml:space="preserve">T_d, T_p</w:t>
            </w:r>
          </w:p>
        </w:tc>
        <w:tc>
          <w:tcPr>
            <w:tcW w:w="7326" w:type="dxa"/>
          </w:tcPr>
          <w:p>
            <w:pPr>
              <w:pStyle w:val="TableContents"/>
            </w:pPr>
            <w:r>
              <w:t xml:space="preserve">Direct (0.87) and partial (0.78) classification thresholds for M.</w:t>
            </w:r>
          </w:p>
        </w:tc>
      </w:tr>
      <w:tr>
        <w:tc>
          <w:tcPr>
            <w:tcW w:w="1700" w:type="dxa"/>
          </w:tcPr>
          <w:p>
            <w:pPr>
              <w:pStyle w:val="TableContents"/>
            </w:pPr>
            <w:r>
              <w:t xml:space="preserve">m(V, U)</w:t>
            </w:r>
          </w:p>
        </w:tc>
        <w:tc>
          <w:tcPr>
            <w:tcW w:w="7326" w:type="dxa"/>
          </w:tcPr>
          <w:p>
            <w:pPr>
              <w:pStyle w:val="TableContents"/>
            </w:pPr>
            <w:r>
              <w:t xml:space="preserve">Per-pair label after all guards: Direct, Partial, or Unmapped.</w:t>
            </w:r>
          </w:p>
        </w:tc>
      </w:tr>
      <w:tr>
        <w:tc>
          <w:tcPr>
            <w:tcW w:w="1700" w:type="dxa"/>
          </w:tcPr>
          <w:p>
            <w:pPr>
              <w:pStyle w:val="TableContents"/>
            </w:pPr>
            <w:r>
              <w:t xml:space="preserve">K</w:t>
            </w:r>
          </w:p>
        </w:tc>
        <w:tc>
          <w:tcPr>
            <w:tcW w:w="7326" w:type="dxa"/>
          </w:tcPr>
          <w:p>
            <w:pPr>
              <w:pStyle w:val="TableContents"/>
            </w:pPr>
            <w:r>
              <w:t xml:space="preserve">Maximum number of university outcomes one VET skill can win per course (default 3).</w:t>
            </w:r>
          </w:p>
        </w:tc>
      </w:tr>
      <w:tr>
        <w:tc>
          <w:tcPr>
            <w:tcW w:w="1700" w:type="dxa"/>
          </w:tcPr>
          <w:p>
            <w:pPr>
              <w:pStyle w:val="TableContents"/>
            </w:pPr>
            <w:r>
              <w:t xml:space="preserve">β</w:t>
            </w:r>
          </w:p>
        </w:tc>
        <w:tc>
          <w:tcPr>
            <w:tcW w:w="7326" w:type="dxa"/>
          </w:tcPr>
          <w:p>
            <w:pPr>
              <w:pStyle w:val="TableContents"/>
            </w:pPr>
            <w:r>
              <w:t xml:space="preserve">Coverage decay base (default 0.7).</w:t>
            </w:r>
          </w:p>
        </w:tc>
      </w:tr>
      <w:tr>
        <w:tc>
          <w:tcPr>
            <w:tcW w:w="1700" w:type="dxa"/>
          </w:tcPr>
          <w:p>
            <w:pPr>
              <w:pStyle w:val="TableContents"/>
            </w:pPr>
            <w:r>
              <w:t xml:space="preserve">w_*</w:t>
            </w:r>
          </w:p>
        </w:tc>
        <w:tc>
          <w:tcPr>
            <w:tcW w:w="7326" w:type="dxa"/>
          </w:tcPr>
          <w:p>
            <w:pPr>
              <w:pStyle w:val="TableContents"/>
            </w:pPr>
            <w:r>
              <w:t xml:space="preserve">Headline weights for coverage, quality, level, context, confidence, and volume.</w:t>
            </w:r>
          </w:p>
        </w:tc>
      </w:tr>
      <w:tr>
        <w:tc>
          <w:tcPr>
            <w:tcW w:w="1700" w:type="dxa"/>
          </w:tcPr>
          <w:p>
            <w:pPr>
              <w:pStyle w:val="TableContents"/>
            </w:pPr>
            <w:r>
              <w:t xml:space="preserve">J</w:t>
            </w:r>
          </w:p>
        </w:tc>
        <w:tc>
          <w:tcPr>
            <w:tcW w:w="7326" w:type="dxa"/>
          </w:tcPr>
          <w:p>
            <w:pPr>
              <w:pStyle w:val="TableContents"/>
            </w:pPr>
            <w:r>
              <w:t xml:space="preserve">Number of independent judge samples per pair under self-consistency voting (default 5).</w:t>
            </w:r>
          </w:p>
        </w:tc>
      </w:tr>
    </w:tbl>
    <w:p>
      <w:pPr>
        <w:pStyle w:val="BodyText"/>
      </w:pPr>
    </w:p>
    <w:p>
      <w:pPr>
        <w:pStyle w:val="Heading2"/>
      </w:pPr>
      <w:r>
        <w:t xml:space="preserve">1. Introduction</w:t>
      </w:r>
    </w:p>
    <w:p>
      <w:pPr>
        <w:pStyle w:val="BodyText"/>
      </w:pPr>
      <w:r>
        <w:t xml:space="preserve">The recognition of prior learning and credit transfer between vocational and higher education institutions represents a critical challenge in modern educational systems [1]. Traditional manual assessment methods are time-consuming, subjective, and often inconsistent across institutions [2]. This report presents the production matching strategy of an automated framework that leverages advances in natural language processing and machine learning to analyse and recommend credit transfers based on skill-level hybrid matching. Where an earlier companion report described the framework in general terms, the present document specifies the operational strategy, direct one-vs-all, from the first cosine similarity computation through to the final FULL, PARTIAL, or NONE classification.</w:t>
      </w:r>
    </w:p>
    <w:p>
      <w:pPr>
        <w:pStyle w:val="Heading3"/>
      </w:pPr>
      <w:r>
        <w:t xml:space="preserve">1.1 Background and Motivation</w:t>
      </w:r>
    </w:p>
    <w:p>
      <w:pPr>
        <w:pStyle w:val="BodyText"/>
      </w:pPr>
      <w:r>
        <w:t xml:space="preserve">The Australian Qualifications Framework (AQF) and comparable international frameworks aim to facilitate pathways between different levels of education [3]. The practical implementation of credit transfer nonetheless remains difficult for several reasons:</w:t>
      </w:r>
    </w:p>
    <w:p>
      <w:pPr>
        <w:pStyle w:val="BodyText"/>
      </w:pPr>
      <w:r>
        <w:t xml:space="preserve">• </w:t>
      </w:r>
      <w:r>
        <w:rPr>
          <w:rStyle w:val="StrongEmphasis"/>
        </w:rPr>
        <w:t xml:space="preserve">Semantic Gap</w:t>
      </w:r>
      <w:r>
        <w:t xml:space="preserve">: VET and university programs often describe similar competencies using different terminology and frameworks [4].</w:t>
      </w:r>
    </w:p>
    <w:p>
      <w:pPr>
        <w:pStyle w:val="BodyText"/>
      </w:pPr>
      <w:r>
        <w:t xml:space="preserve">• </w:t>
      </w:r>
      <w:r>
        <w:rPr>
          <w:rStyle w:val="StrongEmphasis"/>
        </w:rPr>
        <w:t xml:space="preserve">Granularity Mismatch</w:t>
      </w:r>
      <w:r>
        <w:t xml:space="preserve">: VET units typically focus on specific practical skills, whereas university courses emphasise broader theoretical concepts [5].</w:t>
      </w:r>
    </w:p>
    <w:p>
      <w:pPr>
        <w:pStyle w:val="BodyText"/>
      </w:pPr>
      <w:r>
        <w:t xml:space="preserve">• </w:t>
      </w:r>
      <w:r>
        <w:rPr>
          <w:rStyle w:val="StrongEmphasis"/>
        </w:rPr>
        <w:t xml:space="preserve">Context Variation</w:t>
      </w:r>
      <w:r>
        <w:t xml:space="preserve">: The balance between theoretical knowledge and practical application differs significantly between sectors [6].</w:t>
      </w:r>
    </w:p>
    <w:p>
      <w:pPr>
        <w:pStyle w:val="BodyText"/>
      </w:pPr>
      <w:r>
        <w:t xml:space="preserve">• </w:t>
      </w:r>
      <w:r>
        <w:rPr>
          <w:rStyle w:val="StrongEmphasis"/>
        </w:rPr>
        <w:t xml:space="preserve">Level Calibration</w:t>
      </w:r>
      <w:r>
        <w:t xml:space="preserve">: Mapping between educational taxonomies, such as AQF levels and Bloom’s taxonomy, requires a sophisticated understanding of cognitive complexity [7].</w:t>
      </w:r>
    </w:p>
    <w:p>
      <w:pPr>
        <w:pStyle w:val="Heading3"/>
      </w:pPr>
      <w:r>
        <w:t xml:space="preserve">1.2 Contributions</w:t>
      </w:r>
    </w:p>
    <w:p>
      <w:pPr>
        <w:pStyle w:val="BodyText"/>
      </w:pPr>
      <w:r>
        <w:t xml:space="preserve">This report makes the following contributions to the specification of automated credit transfer analysis:</w:t>
      </w:r>
    </w:p>
    <w:p>
      <w:pPr>
        <w:pStyle w:val="BodyText"/>
      </w:pPr>
      <w:r>
        <w:t xml:space="preserve">• </w:t>
      </w:r>
      <w:r>
        <w:t xml:space="preserve">A precise specification of the direct one-vs-all matching strategy in which each university outcome is independently paired with its best partner from the full pool of VET skills.</w:t>
      </w:r>
    </w:p>
    <w:p>
      <w:pPr>
        <w:pStyle w:val="BodyText"/>
      </w:pPr>
      <w:r>
        <w:t xml:space="preserve">• </w:t>
      </w:r>
      <w:r>
        <w:t xml:space="preserve">A layered refinement procedure that combines deterministic checks with large language model validation to produce auditable duplicate, out-of-scope, and misinterpretation flags.</w:t>
      </w:r>
    </w:p>
    <w:p>
      <w:pPr>
        <w:pStyle w:val="BodyText"/>
      </w:pPr>
      <w:r>
        <w:t xml:space="preserve">• </w:t>
      </w:r>
      <w:r>
        <w:t xml:space="preserve">A multidimensional headline scoring system that combines coverage, quality, level alignment, context compatibility, confidence, and volume of learning with configurable weights and defensive edge-case penalties.</w:t>
      </w:r>
    </w:p>
    <w:p>
      <w:pPr>
        <w:pStyle w:val="BodyText"/>
      </w:pPr>
      <w:r>
        <w:t xml:space="preserve">• </w:t>
      </w:r>
      <w:r>
        <w:t xml:space="preserve">A complete enumeration of every coefficient, threshold, and decision rule affecting the headline score, each reported with its current production value.</w:t>
      </w:r>
    </w:p>
    <w:p>
      <w:pPr>
        <w:pStyle w:val="Heading3"/>
      </w:pPr>
      <w:r>
        <w:t xml:space="preserve">1.3 Related Work</w:t>
      </w:r>
    </w:p>
    <w:p>
      <w:pPr>
        <w:pStyle w:val="BodyText"/>
      </w:pPr>
      <w:r>
        <w:t xml:space="preserve">Previous work on competency extraction has focused primarily on job advertisements and resumes [8, 9]. The European Skills, Competences, Qualifications and Occupations (ESCO) classification provides a multilingual taxonomy of skills but lacks the granularity required for educational credit transfer [10]. Recent advances in large language models have shown promise in extracting skills from unstructured text: Zhang et al. [11] demonstrated that generative models could identify technical skills with high accuracy, and Bhola et al. [12] used BERT-based models for skill extraction from job postings. These approaches do not, however, address the translation between educational contexts that credit transfer requires.</w:t>
      </w:r>
    </w:p>
    <w:p>
      <w:pPr>
        <w:pStyle w:val="BodyText"/>
      </w:pPr>
      <w:r>
        <w:t xml:space="preserve">Semantic similarity measures for skill matching have evolved from keyword matching to embedding-based approaches. Sentence-BERT [13] and its variants have become the standard for computing semantic similarity between short texts, and recent models such as Jina Embeddings [14] provide improved performance for domain-specific applications. The present system embeds skill names with a sentence-transformer of this family. The challenge of many-to-many skill matching has previously been approached through clustering algorithms including DBSCAN [15] and hierarchical clustering [16], whose effectiveness depends heavily on embedding quality. Automated recognition-of-prior-learning systems have been explored in several contexts: the European Credit Transfer and Accumulation System (ECTS) provides a framework but no automated matching [17], while the Credit Transfer Assessment Tool developed by TAFE NSW relies primarily on keyword matching [18]. Smith et al. [19] proposed ontology-based reasoning for credit transfer but required extensive manual ontology construction that does not scale to new qualifications.</w:t>
      </w:r>
    </w:p>
    <w:p>
      <w:pPr>
        <w:pStyle w:val="Heading2"/>
      </w:pPr>
      <w:r>
        <w:t xml:space="preserve">2. Pipeline Overview</w:t>
      </w:r>
    </w:p>
    <w:p>
      <w:pPr>
        <w:pStyle w:val="BodyText"/>
      </w:pPr>
      <w:r>
        <w:t xml:space="preserve">Each run executes four steps in sequence. Every step writes its outputs to disk so that a later step can resume from a prior run. The first three steps (extraction, refinement, and differentiation) produce skills with consistent levels and audit metadata; the fourth step performs the matching and scoring that yields recommendations.</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0"/>
        <w:gridCol w:w="1400"/>
        <w:gridCol w:w="4626"/>
        <w:gridCol w:w="2500"/>
      </w:tblGrid>
      <w:tr>
        <w:tc>
          <w:tcPr>
            <w:tcW w:w="500" w:type="dxa"/>
            <w:shd w:val="clear" w:color="auto" w:fill="EDE3F5"/>
            <w:vAlign w:val="center"/>
          </w:tcPr>
          <w:p>
            <w:pPr>
              <w:pStyle w:val="TableHeading"/>
            </w:pPr>
            <w:r>
              <w:t xml:space="preserve">#</w:t>
            </w:r>
          </w:p>
        </w:tc>
        <w:tc>
          <w:tcPr>
            <w:tcW w:w="1400" w:type="dxa"/>
            <w:shd w:val="clear" w:color="auto" w:fill="EDE3F5"/>
            <w:vAlign w:val="center"/>
          </w:tcPr>
          <w:p>
            <w:pPr>
              <w:pStyle w:val="TableHeading"/>
            </w:pPr>
            <w:r>
              <w:t xml:space="preserve">Step</w:t>
            </w:r>
          </w:p>
        </w:tc>
        <w:tc>
          <w:tcPr>
            <w:tcW w:w="4626" w:type="dxa"/>
            <w:shd w:val="clear" w:color="auto" w:fill="EDE3F5"/>
            <w:vAlign w:val="center"/>
          </w:tcPr>
          <w:p>
            <w:pPr>
              <w:pStyle w:val="TableHeading"/>
            </w:pPr>
            <w:r>
              <w:t xml:space="preserve">Purpose</w:t>
            </w:r>
          </w:p>
        </w:tc>
        <w:tc>
          <w:tcPr>
            <w:tcW w:w="2500" w:type="dxa"/>
            <w:shd w:val="clear" w:color="auto" w:fill="EDE3F5"/>
            <w:vAlign w:val="center"/>
          </w:tcPr>
          <w:p>
            <w:pPr>
              <w:pStyle w:val="TableHeading"/>
            </w:pPr>
            <w:r>
              <w:t xml:space="preserve">Output</w:t>
            </w:r>
          </w:p>
        </w:tc>
      </w:tr>
      <w:tr>
        <w:tc>
          <w:tcPr>
            <w:tcW w:w="500" w:type="dxa"/>
          </w:tcPr>
          <w:p>
            <w:pPr>
              <w:pStyle w:val="TableContents"/>
            </w:pPr>
            <w:r>
              <w:t xml:space="preserve">1</w:t>
            </w:r>
          </w:p>
        </w:tc>
        <w:tc>
          <w:tcPr>
            <w:tcW w:w="1400" w:type="dxa"/>
          </w:tcPr>
          <w:p>
            <w:pPr>
              <w:pStyle w:val="TableContents"/>
            </w:pPr>
            <w:r>
              <w:t xml:space="preserve">Extract</w:t>
            </w:r>
          </w:p>
        </w:tc>
        <w:tc>
          <w:tcPr>
            <w:tcW w:w="4626" w:type="dxa"/>
          </w:tcPr>
          <w:p>
            <w:pPr>
              <w:pStyle w:val="TableContents"/>
            </w:pPr>
            <w:r>
              <w:t xml:space="preserve">Extract a list of discrete skills from each VET unit and each university course using a large language model.</w:t>
            </w:r>
          </w:p>
        </w:tc>
        <w:tc>
          <w:tcPr>
            <w:tcW w:w="2500" w:type="dxa"/>
          </w:tcPr>
          <w:p>
            <w:pPr>
              <w:pStyle w:val="TableContents"/>
            </w:pPr>
            <w:r>
              <w:t xml:space="preserve">vet_skills.json, uni_skills.json</w:t>
            </w:r>
          </w:p>
        </w:tc>
      </w:tr>
      <w:tr>
        <w:tc>
          <w:tcPr>
            <w:tcW w:w="500" w:type="dxa"/>
          </w:tcPr>
          <w:p>
            <w:pPr>
              <w:pStyle w:val="TableContents"/>
            </w:pPr>
            <w:r>
              <w:t xml:space="preserve">2</w:t>
            </w:r>
          </w:p>
        </w:tc>
        <w:tc>
          <w:tcPr>
            <w:tcW w:w="1400" w:type="dxa"/>
          </w:tcPr>
          <w:p>
            <w:pPr>
              <w:pStyle w:val="TableContents"/>
            </w:pPr>
            <w:r>
              <w:t xml:space="preserve">Refine</w:t>
            </w:r>
          </w:p>
        </w:tc>
        <w:tc>
          <w:tcPr>
            <w:tcW w:w="4626" w:type="dxa"/>
          </w:tcPr>
          <w:p>
            <w:pPr>
              <w:pStyle w:val="TableContents"/>
            </w:pPr>
            <w:r>
              <w:t xml:space="preserve">Polish skill names and descriptions, add boolean audit flags such as is_duplicate and is_out_of_scope, and fill gaps from performance criteria.</w:t>
            </w:r>
          </w:p>
        </w:tc>
        <w:tc>
          <w:tcPr>
            <w:tcW w:w="2500" w:type="dxa"/>
          </w:tcPr>
          <w:p>
            <w:pPr>
              <w:pStyle w:val="TableContents"/>
            </w:pPr>
            <w:r>
              <w:t xml:space="preserve">vet_skills_refined.json, uni_skills_refined.json</w:t>
            </w:r>
          </w:p>
        </w:tc>
      </w:tr>
      <w:tr>
        <w:tc>
          <w:tcPr>
            <w:tcW w:w="500" w:type="dxa"/>
          </w:tcPr>
          <w:p>
            <w:pPr>
              <w:pStyle w:val="TableContents"/>
            </w:pPr>
            <w:r>
              <w:t xml:space="preserve">3</w:t>
            </w:r>
          </w:p>
        </w:tc>
        <w:tc>
          <w:tcPr>
            <w:tcW w:w="1400" w:type="dxa"/>
          </w:tcPr>
          <w:p>
            <w:pPr>
              <w:pStyle w:val="TableContents"/>
            </w:pPr>
            <w:r>
              <w:t xml:space="preserve">Differentiate</w:t>
            </w:r>
          </w:p>
        </w:tc>
        <w:tc>
          <w:tcPr>
            <w:tcW w:w="4626" w:type="dxa"/>
          </w:tcPr>
          <w:p>
            <w:pPr>
              <w:pStyle w:val="TableContents"/>
            </w:pPr>
            <w:r>
              <w:t xml:space="preserve">Adjust SFIA skill levels so that the cohort is internally consistent.</w:t>
            </w:r>
          </w:p>
        </w:tc>
        <w:tc>
          <w:tcPr>
            <w:tcW w:w="2500" w:type="dxa"/>
          </w:tcPr>
          <w:p>
            <w:pPr>
              <w:pStyle w:val="TableContents"/>
            </w:pPr>
            <w:r>
              <w:t xml:space="preserve">In-place edits on extracted skills.</w:t>
            </w:r>
          </w:p>
        </w:tc>
      </w:tr>
      <w:tr>
        <w:tc>
          <w:tcPr>
            <w:tcW w:w="500" w:type="dxa"/>
          </w:tcPr>
          <w:p>
            <w:pPr>
              <w:pStyle w:val="TableContents"/>
            </w:pPr>
            <w:r>
              <w:t xml:space="preserve">4</w:t>
            </w:r>
          </w:p>
        </w:tc>
        <w:tc>
          <w:tcPr>
            <w:tcW w:w="1400" w:type="dxa"/>
          </w:tcPr>
          <w:p>
            <w:pPr>
              <w:pStyle w:val="TableContents"/>
            </w:pPr>
            <w:r>
              <w:t xml:space="preserve">Recommendation</w:t>
            </w:r>
          </w:p>
        </w:tc>
        <w:tc>
          <w:tcPr>
            <w:tcW w:w="4626" w:type="dxa"/>
          </w:tcPr>
          <w:p>
            <w:pPr>
              <w:pStyle w:val="TableContents"/>
            </w:pPr>
            <w:r>
              <w:t xml:space="preserve">Pairwise matching, guards, equivalence judging, headline scoring, and the recommendation decision.</w:t>
            </w:r>
          </w:p>
        </w:tc>
        <w:tc>
          <w:tcPr>
            <w:tcW w:w="2500" w:type="dxa"/>
          </w:tcPr>
          <w:p>
            <w:pPr>
              <w:pStyle w:val="TableContents"/>
            </w:pPr>
            <w:r>
              <w:t xml:space="preserve">recommendations.json, match_debug.csv, skill_mapping.xlsx</w:t>
            </w:r>
          </w:p>
        </w:tc>
      </w:tr>
    </w:tbl>
    <w:p>
      <w:pPr>
        <w:pStyle w:val="BodyText"/>
      </w:pPr>
    </w:p>
    <w:p>
      <w:pPr>
        <w:pStyle w:val="BodyText"/>
      </w:pPr>
      <w:r>
        <w:t xml:space="preserve">The framework supports more than one matching strategy. This report documents direct one-vs-all, the strategy currently in production. Under that strategy each university outcome is the unit of decision: every university skill is independently paired with its best partner taken from the pool of all VET skills across all units of the VET qualification.</w:t>
      </w:r>
    </w:p>
    <w:p>
      <w:pPr>
        <w:pStyle w:val="Heading2"/>
      </w:pPr>
      <w:r>
        <w:t xml:space="preserve">3. Skill Extraction</w:t>
      </w:r>
    </w:p>
    <w:p>
      <w:pPr>
        <w:pStyle w:val="BodyText"/>
      </w:pPr>
      <w:r>
        <w:t xml:space="preserve">Each VET unit and each university course is processed independently. The large language model receives the unit text (description, performance criteria, and learning outcomes) and is asked to emit a list of discrete skills. Following the chain-of-thought prompting methodology [21], the extractor is guided to identify underlying human capabilities rather than tools or tasks. Each extracted skill is represented as a tuple comprising a name, a one-line description, a short evidence excerpt drawn from the source text, a category, an SFIA level, a context, and an extraction confidence:</w:t>
      </w:r>
    </w:p>
    <w:p>
      <w:pPr>
        <w:pStyle w:val="PreformattedText"/>
        <w:jc w:val="center"/>
      </w:pPr>
      <w:r>
        <w:t xml:space="preserve">sᵢ = (name, description, evidence, category, level, context, confidence)</w:t>
      </w:r>
    </w:p>
    <w:p>
      <w:pPr>
        <w:pStyle w:val="BodyText"/>
      </w:pPr>
      <w:r>
        <w:t xml:space="preserve">The fields are defined as follows:</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00"/>
        <w:gridCol w:w="1800"/>
        <w:gridCol w:w="5526"/>
      </w:tblGrid>
      <w:tr>
        <w:tc>
          <w:tcPr>
            <w:tcW w:w="1700" w:type="dxa"/>
            <w:shd w:val="clear" w:color="auto" w:fill="EDE3F5"/>
            <w:vAlign w:val="center"/>
          </w:tcPr>
          <w:p>
            <w:pPr>
              <w:pStyle w:val="TableHeading"/>
            </w:pPr>
            <w:r>
              <w:t xml:space="preserve">Field</w:t>
            </w:r>
          </w:p>
        </w:tc>
        <w:tc>
          <w:tcPr>
            <w:tcW w:w="1800" w:type="dxa"/>
            <w:shd w:val="clear" w:color="auto" w:fill="EDE3F5"/>
            <w:vAlign w:val="center"/>
          </w:tcPr>
          <w:p>
            <w:pPr>
              <w:pStyle w:val="TableHeading"/>
            </w:pPr>
            <w:r>
              <w:t xml:space="preserve">Type</w:t>
            </w:r>
          </w:p>
        </w:tc>
        <w:tc>
          <w:tcPr>
            <w:tcW w:w="5526" w:type="dxa"/>
            <w:shd w:val="clear" w:color="auto" w:fill="EDE3F5"/>
            <w:vAlign w:val="center"/>
          </w:tcPr>
          <w:p>
            <w:pPr>
              <w:pStyle w:val="TableHeading"/>
            </w:pPr>
            <w:r>
              <w:t xml:space="preserve">Definition</w:t>
            </w:r>
          </w:p>
        </w:tc>
      </w:tr>
      <w:tr>
        <w:tc>
          <w:tcPr>
            <w:tcW w:w="1700" w:type="dxa"/>
          </w:tcPr>
          <w:p>
            <w:pPr>
              <w:pStyle w:val="TableContents"/>
            </w:pPr>
            <w:r>
              <w:t xml:space="preserve">name</w:t>
            </w:r>
          </w:p>
        </w:tc>
        <w:tc>
          <w:tcPr>
            <w:tcW w:w="1800" w:type="dxa"/>
          </w:tcPr>
          <w:p>
            <w:pPr>
              <w:pStyle w:val="TableContents"/>
            </w:pPr>
            <w:r>
              <w:t xml:space="preserve">str</w:t>
            </w:r>
          </w:p>
        </w:tc>
        <w:tc>
          <w:tcPr>
            <w:tcW w:w="5526" w:type="dxa"/>
          </w:tcPr>
          <w:p>
            <w:pPr>
              <w:pStyle w:val="TableContents"/>
            </w:pPr>
            <w:r>
              <w:t xml:space="preserve">A short professional label, typically three to six words.</w:t>
            </w:r>
          </w:p>
        </w:tc>
      </w:tr>
      <w:tr>
        <w:tc>
          <w:tcPr>
            <w:tcW w:w="1700" w:type="dxa"/>
          </w:tcPr>
          <w:p>
            <w:pPr>
              <w:pStyle w:val="TableContents"/>
            </w:pPr>
            <w:r>
              <w:t xml:space="preserve">description</w:t>
            </w:r>
          </w:p>
        </w:tc>
        <w:tc>
          <w:tcPr>
            <w:tcW w:w="1800" w:type="dxa"/>
          </w:tcPr>
          <w:p>
            <w:pPr>
              <w:pStyle w:val="TableContents"/>
            </w:pPr>
            <w:r>
              <w:t xml:space="preserve">str</w:t>
            </w:r>
          </w:p>
        </w:tc>
        <w:tc>
          <w:tcPr>
            <w:tcW w:w="5526" w:type="dxa"/>
          </w:tcPr>
          <w:p>
            <w:pPr>
              <w:pStyle w:val="TableContents"/>
            </w:pPr>
            <w:r>
              <w:t xml:space="preserve">A one-line description of the capability.</w:t>
            </w:r>
          </w:p>
        </w:tc>
      </w:tr>
      <w:tr>
        <w:tc>
          <w:tcPr>
            <w:tcW w:w="1700" w:type="dxa"/>
          </w:tcPr>
          <w:p>
            <w:pPr>
              <w:pStyle w:val="TableContents"/>
            </w:pPr>
            <w:r>
              <w:t xml:space="preserve">evidence</w:t>
            </w:r>
          </w:p>
        </w:tc>
        <w:tc>
          <w:tcPr>
            <w:tcW w:w="1800" w:type="dxa"/>
          </w:tcPr>
          <w:p>
            <w:pPr>
              <w:pStyle w:val="TableContents"/>
            </w:pPr>
            <w:r>
              <w:t xml:space="preserve">str</w:t>
            </w:r>
          </w:p>
        </w:tc>
        <w:tc>
          <w:tcPr>
            <w:tcW w:w="5526" w:type="dxa"/>
          </w:tcPr>
          <w:p>
            <w:pPr>
              <w:pStyle w:val="TableContents"/>
            </w:pPr>
            <w:r>
              <w:t xml:space="preserve">A short excerpt from the source text supporting the skill.</w:t>
            </w:r>
          </w:p>
        </w:tc>
      </w:tr>
      <w:tr>
        <w:tc>
          <w:tcPr>
            <w:tcW w:w="1700" w:type="dxa"/>
          </w:tcPr>
          <w:p>
            <w:pPr>
              <w:pStyle w:val="TableContents"/>
            </w:pPr>
            <w:r>
              <w:t xml:space="preserve">category</w:t>
            </w:r>
          </w:p>
        </w:tc>
        <w:tc>
          <w:tcPr>
            <w:tcW w:w="1800" w:type="dxa"/>
          </w:tcPr>
          <w:p>
            <w:pPr>
              <w:pStyle w:val="TableContents"/>
            </w:pPr>
            <w:r>
              <w:t xml:space="preserve">SkillCategory</w:t>
            </w:r>
          </w:p>
        </w:tc>
        <w:tc>
          <w:tcPr>
            <w:tcW w:w="5526" w:type="dxa"/>
          </w:tcPr>
          <w:p>
            <w:pPr>
              <w:pStyle w:val="TableContents"/>
            </w:pPr>
            <w:r>
              <w:t xml:space="preserve">One of TECHNICAL, COGNITIVE, INTERPERSONAL, and related categories.</w:t>
            </w:r>
          </w:p>
        </w:tc>
      </w:tr>
      <w:tr>
        <w:tc>
          <w:tcPr>
            <w:tcW w:w="1700" w:type="dxa"/>
          </w:tcPr>
          <w:p>
            <w:pPr>
              <w:pStyle w:val="TableContents"/>
            </w:pPr>
            <w:r>
              <w:t xml:space="preserve">level</w:t>
            </w:r>
          </w:p>
        </w:tc>
        <w:tc>
          <w:tcPr>
            <w:tcW w:w="1800" w:type="dxa"/>
          </w:tcPr>
          <w:p>
            <w:pPr>
              <w:pStyle w:val="TableContents"/>
            </w:pPr>
            <w:r>
              <w:t xml:space="preserve">SkillLevel</w:t>
            </w:r>
          </w:p>
        </w:tc>
        <w:tc>
          <w:tcPr>
            <w:tcW w:w="5526" w:type="dxa"/>
          </w:tcPr>
          <w:p>
            <w:pPr>
              <w:pStyle w:val="TableContents"/>
            </w:pPr>
            <w:r>
              <w:t xml:space="preserve">An SFIA level mapped to an integer in the range 1 to 7 [20].</w:t>
            </w:r>
          </w:p>
        </w:tc>
      </w:tr>
      <w:tr>
        <w:tc>
          <w:tcPr>
            <w:tcW w:w="1700" w:type="dxa"/>
          </w:tcPr>
          <w:p>
            <w:pPr>
              <w:pStyle w:val="TableContents"/>
            </w:pPr>
            <w:r>
              <w:t xml:space="preserve">context</w:t>
            </w:r>
          </w:p>
        </w:tc>
        <w:tc>
          <w:tcPr>
            <w:tcW w:w="1800" w:type="dxa"/>
          </w:tcPr>
          <w:p>
            <w:pPr>
              <w:pStyle w:val="TableContents"/>
            </w:pPr>
            <w:r>
              <w:t xml:space="preserve">SkillContext</w:t>
            </w:r>
          </w:p>
        </w:tc>
        <w:tc>
          <w:tcPr>
            <w:tcW w:w="5526" w:type="dxa"/>
          </w:tcPr>
          <w:p>
            <w:pPr>
              <w:pStyle w:val="TableContents"/>
            </w:pPr>
            <w:r>
              <w:t xml:space="preserve">One of theoretical, practical, or hybrid.</w:t>
            </w:r>
          </w:p>
        </w:tc>
      </w:tr>
      <w:tr>
        <w:tc>
          <w:tcPr>
            <w:tcW w:w="1700" w:type="dxa"/>
          </w:tcPr>
          <w:p>
            <w:pPr>
              <w:pStyle w:val="TableContents"/>
            </w:pPr>
            <w:r>
              <w:t xml:space="preserve">confidence</w:t>
            </w:r>
          </w:p>
        </w:tc>
        <w:tc>
          <w:tcPr>
            <w:tcW w:w="1800" w:type="dxa"/>
          </w:tcPr>
          <w:p>
            <w:pPr>
              <w:pStyle w:val="TableContents"/>
            </w:pPr>
            <w:r>
              <w:t xml:space="preserve">float in [0, 1]</w:t>
            </w:r>
          </w:p>
        </w:tc>
        <w:tc>
          <w:tcPr>
            <w:tcW w:w="5526" w:type="dxa"/>
          </w:tcPr>
          <w:p>
            <w:pPr>
              <w:pStyle w:val="TableContents"/>
            </w:pPr>
            <w:r>
              <w:t xml:space="preserve">The extractor's self-reported certainty in the skill.</w:t>
            </w:r>
          </w:p>
        </w:tc>
      </w:tr>
    </w:tbl>
    <w:p>
      <w:pPr>
        <w:pStyle w:val="BodyText"/>
      </w:pPr>
    </w:p>
    <w:p>
      <w:pPr>
        <w:pStyle w:val="BodyText"/>
      </w:pPr>
      <w:r>
        <w:t xml:space="preserve">No scoring occurs during extraction; the role of this step is to produce a normalised input list.</w:t>
      </w:r>
    </w:p>
    <w:p>
      <w:pPr>
        <w:pStyle w:val="Heading3"/>
      </w:pPr>
      <w:r>
        <w:t xml:space="preserve">3.1 Chain-of-Thought Prompting</w:t>
      </w:r>
    </w:p>
    <w:p>
      <w:pPr>
        <w:pStyle w:val="BodyText"/>
      </w:pPr>
      <w:r>
        <w:t xml:space="preserve">A chain-of-thought (CoT) prompting strategy [21] guides the large language model in extracting human capabilities from competency descriptions. The prompt structure enforces a systematic analysis process, summarised in Algorithm 1.</w:t>
      </w:r>
    </w:p>
    <w:p>
      <w:pPr>
        <w:pStyle w:val="PreformattedText"/>
      </w:pPr>
      <w:r>
        <w:t xml:space="preserve">Algorithm 1: Skill Extraction with Chain-of-Thought</w:t>
      </w:r>
    </w:p>
    <w:p>
      <w:pPr>
        <w:pStyle w:val="PreformattedText"/>
      </w:pPr>
      <w:r>
        <w:t xml:space="preserve"/>
      </w:r>
    </w:p>
    <w:p>
      <w:pPr>
        <w:pStyle w:val="PreformattedText"/>
      </w:pPr>
      <w:r>
        <w:t xml:space="preserve">Input:  Competency description D, study level ST_l</w:t>
      </w:r>
    </w:p>
    <w:p>
      <w:pPr>
        <w:pStyle w:val="PreformattedText"/>
      </w:pPr>
      <w:r>
        <w:t xml:space="preserve">Output: Set of at most 15 skills S = {s_1, s_2, ..., s_n}</w:t>
      </w:r>
    </w:p>
    <w:p>
      <w:pPr>
        <w:pStyle w:val="PreformattedText"/>
      </w:pPr>
      <w:r>
        <w:t xml:space="preserve"/>
      </w:r>
    </w:p>
    <w:p>
      <w:pPr>
        <w:pStyle w:val="PreformattedText"/>
      </w:pPr>
      <w:r>
        <w:t xml:space="preserve">1. Apply CoT analysis steps:</w:t>
      </w:r>
    </w:p>
    <w:p>
      <w:pPr>
        <w:pStyle w:val="PreformattedText"/>
      </w:pPr>
      <w:r>
        <w:t xml:space="preserve">   1. Identify mentions of tasks, tools, responsibilities</w:t>
      </w:r>
    </w:p>
    <w:p>
      <w:pPr>
        <w:pStyle w:val="PreformattedText"/>
      </w:pPr>
      <w:r>
        <w:t xml:space="preserve">   2. Determine underlying human capabilities</w:t>
      </w:r>
    </w:p>
    <w:p>
      <w:pPr>
        <w:pStyle w:val="PreformattedText"/>
      </w:pPr>
      <w:r>
        <w:t xml:space="preserve">   3. Translate tools / technologies to skills</w:t>
      </w:r>
    </w:p>
    <w:p>
      <w:pPr>
        <w:pStyle w:val="PreformattedText"/>
      </w:pPr>
      <w:r>
        <w:t xml:space="preserve">   4. Add specific context to generic abilities</w:t>
      </w:r>
    </w:p>
    <w:p>
      <w:pPr>
        <w:pStyle w:val="PreformattedText"/>
      </w:pPr>
      <w:r>
        <w:t xml:space="preserve">   5. Standardise terminology using educational taxonomies</w:t>
      </w:r>
    </w:p>
    <w:p>
      <w:pPr>
        <w:pStyle w:val="PreformattedText"/>
      </w:pPr>
      <w:r>
        <w:t xml:space="preserve">2. For each identified capability c:</w:t>
      </w:r>
    </w:p>
    <w:p>
      <w:pPr>
        <w:pStyle w:val="PreformattedText"/>
      </w:pPr>
      <w:r>
        <w:t xml:space="preserve">   Extract skill s_i with attributes:</w:t>
      </w:r>
    </w:p>
    <w:p>
      <w:pPr>
        <w:pStyle w:val="PreformattedText"/>
      </w:pPr>
      <w:r>
        <w:t xml:space="preserve">   - s_i.name       = contextualised capability (2 to 4 words)</w:t>
      </w:r>
    </w:p>
    <w:p>
      <w:pPr>
        <w:pStyle w:val="PreformattedText"/>
      </w:pPr>
      <w:r>
        <w:t xml:space="preserve">   - s_i.level      = SFIA skill level (1 to 7) based on complexity</w:t>
      </w:r>
    </w:p>
    <w:p>
      <w:pPr>
        <w:pStyle w:val="PreformattedText"/>
      </w:pPr>
      <w:r>
        <w:t xml:space="preserve">   - s_i.category   = skill category</w:t>
      </w:r>
    </w:p>
    <w:p>
      <w:pPr>
        <w:pStyle w:val="PreformattedText"/>
      </w:pPr>
      <w:r>
        <w:t xml:space="preserve">   - s_i.context    = {theoretical, practical, hybrid}</w:t>
      </w:r>
    </w:p>
    <w:p>
      <w:pPr>
        <w:pStyle w:val="PreformattedText"/>
      </w:pPr>
      <w:r>
        <w:t xml:space="preserve">   - s_i.confidence = extraction confidence in [0, 1]</w:t>
      </w:r>
    </w:p>
    <w:p>
      <w:pPr>
        <w:pStyle w:val="PreformattedText"/>
      </w:pPr>
      <w:r>
        <w:t xml:space="preserve">3. Return S</w:t>
      </w:r>
    </w:p>
    <w:p>
      <w:pPr>
        <w:pStyle w:val="BodyText"/>
      </w:pPr>
      <w:r>
        <w:t xml:space="preserve">A critical innovation is the explicit translation of tool mentions into human capabilities. This translation is guided by a comprehensive mapping derived from the ESCO, O*NET (Occupational Information Network), and SFIA frameworks. For example:</w:t>
      </w:r>
    </w:p>
    <w:p>
      <w:pPr>
        <w:pStyle w:val="BodyText"/>
      </w:pPr>
      <w:r>
        <w:t xml:space="preserve">• </w:t>
      </w:r>
      <w:r>
        <w:t xml:space="preserve">“Use Excel for financial reporting” → “Spreadsheet financial analysis”</w:t>
      </w:r>
    </w:p>
    <w:p>
      <w:pPr>
        <w:pStyle w:val="BodyText"/>
      </w:pPr>
      <w:r>
        <w:t xml:space="preserve">• </w:t>
      </w:r>
      <w:r>
        <w:t xml:space="preserve">“Implement Python scripts” → “Python programming”</w:t>
      </w:r>
    </w:p>
    <w:p>
      <w:pPr>
        <w:pStyle w:val="BodyText"/>
      </w:pPr>
      <w:r>
        <w:t xml:space="preserve">• </w:t>
      </w:r>
      <w:r>
        <w:t xml:space="preserve">“Operate CNC machinery” → “Computer-controlled manufacturing”</w:t>
      </w:r>
    </w:p>
    <w:p>
      <w:pPr>
        <w:pStyle w:val="BodyText"/>
      </w:pPr>
      <w:r>
        <w:t xml:space="preserve">To improve consistency, an ensemble extraction approach performs multiple extraction runs and aggregates the results through consensus:</w:t>
      </w:r>
    </w:p>
    <w:p>
      <w:pPr>
        <w:pStyle w:val="PreformattedText"/>
      </w:pPr>
      <w:r>
        <w:t xml:space="preserve">for run in range(num_runs):</w:t>
      </w:r>
    </w:p>
    <w:p>
      <w:pPr>
        <w:pStyle w:val="PreformattedText"/>
      </w:pPr>
      <w:r>
        <w:t xml:space="preserve">    skills_run_i = extract_skills(text, temperature=0.0)</w:t>
      </w:r>
    </w:p>
    <w:p>
      <w:pPr>
        <w:pStyle w:val="PreformattedText"/>
      </w:pPr>
      <w:r>
        <w:t xml:space="preserve">    all_runs.append(skills_run_i)</w:t>
      </w:r>
    </w:p>
    <w:p>
      <w:pPr>
        <w:pStyle w:val="PreformattedText"/>
      </w:pPr>
      <w:r>
        <w:t xml:space="preserve">con_skills = find_consensus(all_runs, sim_threshold=0.9)</w:t>
      </w:r>
    </w:p>
    <w:p>
      <w:pPr>
        <w:pStyle w:val="BodyText"/>
      </w:pPr>
      <w:r>
        <w:t xml:space="preserve">Skills are considered equivalent if their embedding similarity exceeds 0.9, and only skills appearing in the majority of runs are retained.</w:t>
      </w:r>
    </w:p>
    <w:p>
      <w:pPr>
        <w:pStyle w:val="Heading3"/>
      </w:pPr>
      <w:r>
        <w:t xml:space="preserve">3.2 SFIA Skill Level Assignment</w:t>
      </w:r>
    </w:p>
    <w:p>
      <w:pPr>
        <w:pStyle w:val="BodyText"/>
      </w:pPr>
      <w:r>
        <w:t xml:space="preserve">The system maps each extracted skill to a Skills Framework for the Information Age (SFIA) proficiency level from 1 to 7 [20], based on the skill’s cognitive complexity and autonomy requirements. The SFIA levels are defined as follows:</w:t>
      </w:r>
    </w:p>
    <w:p>
      <w:pPr>
        <w:pStyle w:val="BodyText"/>
      </w:pPr>
      <w:r>
        <w:t xml:space="preserve">• </w:t>
      </w:r>
      <w:r>
        <w:rPr>
          <w:rStyle w:val="StrongEmphasis"/>
        </w:rPr>
        <w:t xml:space="preserve">Level 1 (Follow)</w:t>
      </w:r>
      <w:r>
        <w:t xml:space="preserve">: Works under close supervision.</w:t>
      </w:r>
    </w:p>
    <w:p>
      <w:pPr>
        <w:pStyle w:val="BodyText"/>
      </w:pPr>
      <w:r>
        <w:t xml:space="preserve">• </w:t>
      </w:r>
      <w:r>
        <w:rPr>
          <w:rStyle w:val="StrongEmphasis"/>
        </w:rPr>
        <w:t xml:space="preserve">Level 2 (Assist)</w:t>
      </w:r>
      <w:r>
        <w:t xml:space="preserve">: Works under routine supervision.</w:t>
      </w:r>
    </w:p>
    <w:p>
      <w:pPr>
        <w:pStyle w:val="BodyText"/>
      </w:pPr>
      <w:r>
        <w:t xml:space="preserve">• </w:t>
      </w:r>
      <w:r>
        <w:rPr>
          <w:rStyle w:val="StrongEmphasis"/>
        </w:rPr>
        <w:t xml:space="preserve">Level 3 (Apply)</w:t>
      </w:r>
      <w:r>
        <w:t xml:space="preserve">: Works under general direction.</w:t>
      </w:r>
    </w:p>
    <w:p>
      <w:pPr>
        <w:pStyle w:val="BodyText"/>
      </w:pPr>
      <w:r>
        <w:t xml:space="preserve">• </w:t>
      </w:r>
      <w:r>
        <w:rPr>
          <w:rStyle w:val="StrongEmphasis"/>
        </w:rPr>
        <w:t xml:space="preserve">Level 4 (Enable)</w:t>
      </w:r>
      <w:r>
        <w:t xml:space="preserve">: Works autonomously.</w:t>
      </w:r>
    </w:p>
    <w:p>
      <w:pPr>
        <w:pStyle w:val="BodyText"/>
      </w:pPr>
      <w:r>
        <w:t xml:space="preserve">• </w:t>
      </w:r>
      <w:r>
        <w:rPr>
          <w:rStyle w:val="StrongEmphasis"/>
        </w:rPr>
        <w:t xml:space="preserve">Level 5 (Ensure/Advise)</w:t>
      </w:r>
      <w:r>
        <w:t xml:space="preserve">: Provides authoritative guidance.</w:t>
      </w:r>
    </w:p>
    <w:p>
      <w:pPr>
        <w:pStyle w:val="BodyText"/>
      </w:pPr>
      <w:r>
        <w:t xml:space="preserve">• </w:t>
      </w:r>
      <w:r>
        <w:rPr>
          <w:rStyle w:val="StrongEmphasis"/>
        </w:rPr>
        <w:t xml:space="preserve">Level 6 (Initiate/Influence)</w:t>
      </w:r>
      <w:r>
        <w:t xml:space="preserve">: Has organisational influence.</w:t>
      </w:r>
    </w:p>
    <w:p>
      <w:pPr>
        <w:pStyle w:val="BodyText"/>
      </w:pPr>
      <w:r>
        <w:t xml:space="preserve">• </w:t>
      </w:r>
      <w:r>
        <w:rPr>
          <w:rStyle w:val="StrongEmphasis"/>
        </w:rPr>
        <w:t xml:space="preserve">Level 7 (Set Strategy)</w:t>
      </w:r>
      <w:r>
        <w:t xml:space="preserve">: Determines vision and strategy.</w:t>
      </w:r>
    </w:p>
    <w:p>
      <w:pPr>
        <w:pStyle w:val="BodyText"/>
      </w:pPr>
      <w:r>
        <w:t xml:space="preserve">The system maps study levels ST_l in {Introductory, Intermediate, Advanced} to expected SFIA skill-level ranges using the function φ : ST_l → [l_min, l_max], where</w:t>
      </w:r>
    </w:p>
    <w:p>
      <w:pPr>
        <w:pStyle w:val="PreformattedText"/>
        <w:jc w:val="center"/>
      </w:pPr>
      <w:r>
        <w:t xml:space="preserve">φ(Introductory) = [1, 3]</w:t>
      </w:r>
    </w:p>
    <w:p>
      <w:pPr>
        <w:pStyle w:val="PreformattedText"/>
        <w:jc w:val="center"/>
      </w:pPr>
      <w:r>
        <w:t xml:space="preserve">φ(Intermediate) = [2, 4]</w:t>
      </w:r>
    </w:p>
    <w:p>
      <w:pPr>
        <w:pStyle w:val="PreformattedText"/>
        <w:jc w:val="center"/>
      </w:pPr>
      <w:r>
        <w:t xml:space="preserve">φ(Advanced)     = [5, 7]</w:t>
      </w:r>
    </w:p>
    <w:p>
      <w:pPr>
        <w:pStyle w:val="BodyText"/>
      </w:pPr>
      <w:r>
        <w:t xml:space="preserve">This ensures that individual skills are assigned appropriate SFIA levels based on their educational context. The distinction between study levels, which describe the overall educational context, and SFIA levels, which quantify the proficiency required for an individual skill, is preserved throughout the pipeline.</w:t>
      </w:r>
    </w:p>
    <w:p>
      <w:pPr>
        <w:pStyle w:val="Heading3"/>
      </w:pPr>
      <w:r>
        <w:t xml:space="preserve">3.3 Pre-Extract Enrichment</w:t>
      </w:r>
    </w:p>
    <w:p>
      <w:pPr>
        <w:pStyle w:val="BodyText"/>
      </w:pPr>
      <w:r>
        <w:t xml:space="preserve">When the refinement step is enabled for the VET side with gap-fill active, the pipeline runs a small pre-extract hook before extraction. The hook parses each VET unit description for headings or numbered sections and fills any missing performance-criteria, elements, foundation-skills, or application fields, while preserving any field that is already populated. The enriched unit is written to the run’s inputs directory and consumed by both the extraction and refinement steps, which improves the context available to gap-fill. If a unit description is unstructured prose with no recognisable section markers, the hook recovers little, and the quality of downstream gap-fill is bounded by what the upstream source provides.</w:t>
      </w:r>
    </w:p>
    <w:p>
      <w:pPr>
        <w:pStyle w:val="Heading2"/>
      </w:pPr>
      <w:r>
        <w:t xml:space="preserve">4. Skill Refinement</w:t>
      </w:r>
    </w:p>
    <w:p>
      <w:pPr>
        <w:pStyle w:val="BodyText"/>
      </w:pPr>
      <w:r>
        <w:t xml:space="preserve">The refinement step accepts the extracted skills, runs a multi-stage sequence of large language model and deterministic passes, and emits the refined skills together with an audit trail. The refiner operates in one of two modes, VET or University, selected per side of the credit-transfer pair. The mode determines which sub-steps fire and which sections of the prompts are used.</w:t>
      </w:r>
    </w:p>
    <w:p>
      <w:pPr>
        <w:pStyle w:val="Heading3"/>
      </w:pPr>
      <w:r>
        <w:t xml:space="preserve">4.1 Inputs to the Refiner</w:t>
      </w:r>
    </w:p>
    <w:p>
      <w:pPr>
        <w:pStyle w:val="BodyText"/>
      </w:pPr>
      <w:r>
        <w:t xml:space="preserve">For every skill the refiner builds a per-skill record holding the source evidence and the wider unit or course context. The language model passes have access to the skill name, description, and evidence carried over from extraction; the parent unit or course title and description; the unit structure (elements and performance criteria for VET, or learning outcomes for university); the sub-outcomes; the Foundation Skills block (VET only); and the names of the other skills extracted from the same parent, which support duplicate detection. The principal configuration parameters that govern refiner behaviour are summarised below.</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600"/>
        <w:gridCol w:w="1100"/>
        <w:gridCol w:w="5326"/>
      </w:tblGrid>
      <w:tr>
        <w:tc>
          <w:tcPr>
            <w:tcW w:w="2600" w:type="dxa"/>
            <w:shd w:val="clear" w:color="auto" w:fill="EDE3F5"/>
            <w:vAlign w:val="center"/>
          </w:tcPr>
          <w:p>
            <w:pPr>
              <w:pStyle w:val="TableHeading"/>
            </w:pPr>
            <w:r>
              <w:t xml:space="preserve">Parameter</w:t>
            </w:r>
          </w:p>
        </w:tc>
        <w:tc>
          <w:tcPr>
            <w:tcW w:w="1100" w:type="dxa"/>
            <w:shd w:val="clear" w:color="auto" w:fill="EDE3F5"/>
            <w:vAlign w:val="center"/>
          </w:tcPr>
          <w:p>
            <w:pPr>
              <w:pStyle w:val="TableHeading"/>
            </w:pPr>
            <w:r>
              <w:t xml:space="preserve">Default</w:t>
            </w:r>
          </w:p>
        </w:tc>
        <w:tc>
          <w:tcPr>
            <w:tcW w:w="5326" w:type="dxa"/>
            <w:shd w:val="clear" w:color="auto" w:fill="EDE3F5"/>
            <w:vAlign w:val="center"/>
          </w:tcPr>
          <w:p>
            <w:pPr>
              <w:pStyle w:val="TableHeading"/>
            </w:pPr>
            <w:r>
              <w:t xml:space="preserve">Effect</w:t>
            </w:r>
          </w:p>
        </w:tc>
      </w:tr>
      <w:tr>
        <w:tc>
          <w:tcPr>
            <w:tcW w:w="2600" w:type="dxa"/>
          </w:tcPr>
          <w:p>
            <w:pPr>
              <w:pStyle w:val="TableContents"/>
            </w:pPr>
            <w:r>
              <w:t xml:space="preserve">batch_size</w:t>
            </w:r>
          </w:p>
        </w:tc>
        <w:tc>
          <w:tcPr>
            <w:tcW w:w="1100" w:type="dxa"/>
          </w:tcPr>
          <w:p>
            <w:pPr>
              <w:pStyle w:val="TableContents"/>
            </w:pPr>
            <w:r>
              <w:t xml:space="preserve">20</w:t>
            </w:r>
          </w:p>
        </w:tc>
        <w:tc>
          <w:tcPr>
            <w:tcW w:w="5326" w:type="dxa"/>
          </w:tcPr>
          <w:p>
            <w:pPr>
              <w:pStyle w:val="TableContents"/>
            </w:pPr>
            <w:r>
              <w:t xml:space="preserve">Number of skills per language model call.</w:t>
            </w:r>
          </w:p>
        </w:tc>
      </w:tr>
      <w:tr>
        <w:tc>
          <w:tcPr>
            <w:tcW w:w="2600" w:type="dxa"/>
          </w:tcPr>
          <w:p>
            <w:pPr>
              <w:pStyle w:val="TableContents"/>
            </w:pPr>
            <w:r>
              <w:t xml:space="preserve">apply_style</w:t>
            </w:r>
          </w:p>
        </w:tc>
        <w:tc>
          <w:tcPr>
            <w:tcW w:w="1100" w:type="dxa"/>
          </w:tcPr>
          <w:p>
            <w:pPr>
              <w:pStyle w:val="TableContents"/>
            </w:pPr>
            <w:r>
              <w:t xml:space="preserve">True</w:t>
            </w:r>
          </w:p>
        </w:tc>
        <w:tc>
          <w:tcPr>
            <w:tcW w:w="5326" w:type="dxa"/>
          </w:tcPr>
          <w:p>
            <w:pPr>
              <w:pStyle w:val="TableContents"/>
            </w:pPr>
            <w:r>
              <w:t xml:space="preserve">Run the style-compliance pass over names and descriptions.</w:t>
            </w:r>
          </w:p>
        </w:tc>
      </w:tr>
      <w:tr>
        <w:tc>
          <w:tcPr>
            <w:tcW w:w="2600" w:type="dxa"/>
          </w:tcPr>
          <w:p>
            <w:pPr>
              <w:pStyle w:val="TableContents"/>
            </w:pPr>
            <w:r>
              <w:t xml:space="preserve">fill_gap</w:t>
            </w:r>
          </w:p>
        </w:tc>
        <w:tc>
          <w:tcPr>
            <w:tcW w:w="1100" w:type="dxa"/>
          </w:tcPr>
          <w:p>
            <w:pPr>
              <w:pStyle w:val="TableContents"/>
            </w:pPr>
            <w:r>
              <w:t xml:space="preserve">True</w:t>
            </w:r>
          </w:p>
        </w:tc>
        <w:tc>
          <w:tcPr>
            <w:tcW w:w="5326" w:type="dxa"/>
          </w:tcPr>
          <w:p>
            <w:pPr>
              <w:pStyle w:val="TableContents"/>
            </w:pPr>
            <w:r>
              <w:t xml:space="preserve">Run the gap-fill pass that adds skills missed by the extractor.</w:t>
            </w:r>
          </w:p>
        </w:tc>
      </w:tr>
      <w:tr>
        <w:tc>
          <w:tcPr>
            <w:tcW w:w="2600" w:type="dxa"/>
          </w:tcPr>
          <w:p>
            <w:pPr>
              <w:pStyle w:val="TableContents"/>
            </w:pPr>
            <w:r>
              <w:t xml:space="preserve">grounded_name_refine</w:t>
            </w:r>
          </w:p>
        </w:tc>
        <w:tc>
          <w:tcPr>
            <w:tcW w:w="1100" w:type="dxa"/>
          </w:tcPr>
          <w:p>
            <w:pPr>
              <w:pStyle w:val="TableContents"/>
            </w:pPr>
            <w:r>
              <w:t xml:space="preserve">False</w:t>
            </w:r>
          </w:p>
        </w:tc>
        <w:tc>
          <w:tcPr>
            <w:tcW w:w="5326" w:type="dxa"/>
          </w:tcPr>
          <w:p>
            <w:pPr>
              <w:pStyle w:val="TableContents"/>
            </w:pPr>
            <w:r>
              <w:t xml:space="preserve">Anchor each skill to one element, performance criterion, or foundation skill before refining its name.</w:t>
            </w:r>
          </w:p>
        </w:tc>
      </w:tr>
      <w:tr>
        <w:tc>
          <w:tcPr>
            <w:tcW w:w="2600" w:type="dxa"/>
          </w:tcPr>
          <w:p>
            <w:pPr>
              <w:pStyle w:val="TableContents"/>
            </w:pPr>
            <w:r>
              <w:t xml:space="preserve">consensus_runs</w:t>
            </w:r>
          </w:p>
        </w:tc>
        <w:tc>
          <w:tcPr>
            <w:tcW w:w="1100" w:type="dxa"/>
          </w:tcPr>
          <w:p>
            <w:pPr>
              <w:pStyle w:val="TableContents"/>
            </w:pPr>
            <w:r>
              <w:t xml:space="preserve">3</w:t>
            </w:r>
          </w:p>
        </w:tc>
        <w:tc>
          <w:tcPr>
            <w:tcW w:w="5326" w:type="dxa"/>
          </w:tcPr>
          <w:p>
            <w:pPr>
              <w:pStyle w:val="TableContents"/>
            </w:pPr>
            <w:r>
              <w:t xml:space="preserve">Number of independent runs that vote on the refined name.</w:t>
            </w:r>
          </w:p>
        </w:tc>
      </w:tr>
      <w:tr>
        <w:tc>
          <w:tcPr>
            <w:tcW w:w="2600" w:type="dxa"/>
          </w:tcPr>
          <w:p>
            <w:pPr>
              <w:pStyle w:val="TableContents"/>
            </w:pPr>
            <w:r>
              <w:t xml:space="preserve">consensus_threshold</w:t>
            </w:r>
          </w:p>
        </w:tc>
        <w:tc>
          <w:tcPr>
            <w:tcW w:w="1100" w:type="dxa"/>
          </w:tcPr>
          <w:p>
            <w:pPr>
              <w:pStyle w:val="TableContents"/>
            </w:pPr>
            <w:r>
              <w:t xml:space="preserve">2</w:t>
            </w:r>
          </w:p>
        </w:tc>
        <w:tc>
          <w:tcPr>
            <w:tcW w:w="5326" w:type="dxa"/>
          </w:tcPr>
          <w:p>
            <w:pPr>
              <w:pStyle w:val="TableContents"/>
            </w:pPr>
            <w:r>
              <w:t xml:space="preserve">Minimum vote count required to accept a refined name.</w:t>
            </w:r>
          </w:p>
        </w:tc>
      </w:tr>
      <w:tr>
        <w:tc>
          <w:tcPr>
            <w:tcW w:w="2600" w:type="dxa"/>
          </w:tcPr>
          <w:p>
            <w:pPr>
              <w:pStyle w:val="TableContents"/>
            </w:pPr>
            <w:r>
              <w:t xml:space="preserve">validation_threshold</w:t>
            </w:r>
          </w:p>
        </w:tc>
        <w:tc>
          <w:tcPr>
            <w:tcW w:w="1100" w:type="dxa"/>
          </w:tcPr>
          <w:p>
            <w:pPr>
              <w:pStyle w:val="TableContents"/>
            </w:pPr>
            <w:r>
              <w:t xml:space="preserve">2</w:t>
            </w:r>
          </w:p>
        </w:tc>
        <w:tc>
          <w:tcPr>
            <w:tcW w:w="5326" w:type="dxa"/>
          </w:tcPr>
          <w:p>
            <w:pPr>
              <w:pStyle w:val="TableContents"/>
            </w:pPr>
            <w:r>
              <w:t xml:space="preserve">Minimum vote count for the dedicated validation pass.</w:t>
            </w:r>
          </w:p>
        </w:tc>
      </w:tr>
      <w:tr>
        <w:tc>
          <w:tcPr>
            <w:tcW w:w="2600" w:type="dxa"/>
          </w:tcPr>
          <w:p>
            <w:pPr>
              <w:pStyle w:val="TableContents"/>
            </w:pPr>
            <w:r>
              <w:t xml:space="preserve">max_temperature</w:t>
            </w:r>
          </w:p>
        </w:tc>
        <w:tc>
          <w:tcPr>
            <w:tcW w:w="1100" w:type="dxa"/>
          </w:tcPr>
          <w:p>
            <w:pPr>
              <w:pStyle w:val="TableContents"/>
            </w:pPr>
            <w:r>
              <w:t xml:space="preserve">0.6</w:t>
            </w:r>
          </w:p>
        </w:tc>
        <w:tc>
          <w:tcPr>
            <w:tcW w:w="5326" w:type="dxa"/>
          </w:tcPr>
          <w:p>
            <w:pPr>
              <w:pStyle w:val="TableContents"/>
            </w:pPr>
            <w:r>
              <w:t xml:space="preserve">Top of the temperature schedule used across consensus runs.</w:t>
            </w:r>
          </w:p>
        </w:tc>
      </w:tr>
    </w:tbl>
    <w:p>
      <w:pPr>
        <w:pStyle w:val="BodyText"/>
      </w:pPr>
    </w:p>
    <w:p>
      <w:pPr>
        <w:pStyle w:val="Heading3"/>
      </w:pPr>
      <w:r>
        <w:t xml:space="preserve">4.2 Refinement Pipeline</w:t>
      </w:r>
    </w:p>
    <w:p>
      <w:pPr>
        <w:pStyle w:val="BodyText"/>
      </w:pPr>
      <w:r>
        <w:t xml:space="preserve">The default pipeline executes the sub-steps listed below in order. Steps annotated VET only or University only are gated on the mode; steps annotated optional are gated on a configuration parameter. All remaining steps execute whenever refinement runs.</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700"/>
        <w:gridCol w:w="1700"/>
        <w:gridCol w:w="4626"/>
      </w:tblGrid>
      <w:tr>
        <w:tc>
          <w:tcPr>
            <w:tcW w:w="2700" w:type="dxa"/>
            <w:shd w:val="clear" w:color="auto" w:fill="EDE3F5"/>
            <w:vAlign w:val="center"/>
          </w:tcPr>
          <w:p>
            <w:pPr>
              <w:pStyle w:val="TableHeading"/>
            </w:pPr>
            <w:r>
              <w:t xml:space="preserve">Step</w:t>
            </w:r>
          </w:p>
        </w:tc>
        <w:tc>
          <w:tcPr>
            <w:tcW w:w="1700" w:type="dxa"/>
            <w:shd w:val="clear" w:color="auto" w:fill="EDE3F5"/>
            <w:vAlign w:val="center"/>
          </w:tcPr>
          <w:p>
            <w:pPr>
              <w:pStyle w:val="TableHeading"/>
            </w:pPr>
            <w:r>
              <w:t xml:space="preserve">Kind</w:t>
            </w:r>
          </w:p>
        </w:tc>
        <w:tc>
          <w:tcPr>
            <w:tcW w:w="4626" w:type="dxa"/>
            <w:shd w:val="clear" w:color="auto" w:fill="EDE3F5"/>
            <w:vAlign w:val="center"/>
          </w:tcPr>
          <w:p>
            <w:pPr>
              <w:pStyle w:val="TableHeading"/>
            </w:pPr>
            <w:r>
              <w:t xml:space="preserve">Function</w:t>
            </w:r>
          </w:p>
        </w:tc>
      </w:tr>
      <w:tr>
        <w:tc>
          <w:tcPr>
            <w:tcW w:w="2700" w:type="dxa"/>
          </w:tcPr>
          <w:p>
            <w:pPr>
              <w:pStyle w:val="TableContents"/>
            </w:pPr>
            <w:r>
              <w:t xml:space="preserve">1. Prepare</w:t>
            </w:r>
          </w:p>
        </w:tc>
        <w:tc>
          <w:tcPr>
            <w:tcW w:w="1700" w:type="dxa"/>
          </w:tcPr>
          <w:p>
            <w:pPr>
              <w:pStyle w:val="TableContents"/>
            </w:pPr>
            <w:r>
              <w:t xml:space="preserve">deterministic</w:t>
            </w:r>
          </w:p>
        </w:tc>
        <w:tc>
          <w:tcPr>
            <w:tcW w:w="4626" w:type="dxa"/>
          </w:tcPr>
          <w:p>
            <w:pPr>
              <w:pStyle w:val="TableContents"/>
            </w:pPr>
            <w:r>
              <w:t xml:space="preserve">Build per-skill records with name, evidence, parent context, sub-outcomes, foundation skills, and the list of sibling skills.</w:t>
            </w:r>
          </w:p>
        </w:tc>
      </w:tr>
      <w:tr>
        <w:tc>
          <w:tcPr>
            <w:tcW w:w="2700" w:type="dxa"/>
          </w:tcPr>
          <w:p>
            <w:pPr>
              <w:pStyle w:val="TableContents"/>
            </w:pPr>
            <w:r>
              <w:t xml:space="preserve">2. Consensus rename</w:t>
            </w:r>
          </w:p>
        </w:tc>
        <w:tc>
          <w:tcPr>
            <w:tcW w:w="1700" w:type="dxa"/>
          </w:tcPr>
          <w:p>
            <w:pPr>
              <w:pStyle w:val="TableContents"/>
            </w:pPr>
            <w:r>
              <w:t xml:space="preserve">LLM</w:t>
            </w:r>
          </w:p>
        </w:tc>
        <w:tc>
          <w:tcPr>
            <w:tcW w:w="4626" w:type="dxa"/>
          </w:tcPr>
          <w:p>
            <w:pPr>
              <w:pStyle w:val="TableContents"/>
            </w:pPr>
            <w:r>
              <w:t xml:space="preserve">Run the rename prompt N times at a temperature schedule; accept a new name only if it reaches the consensus threshold.</w:t>
            </w:r>
          </w:p>
        </w:tc>
      </w:tr>
      <w:tr>
        <w:tc>
          <w:tcPr>
            <w:tcW w:w="2700" w:type="dxa"/>
          </w:tcPr>
          <w:p>
            <w:pPr>
              <w:pStyle w:val="TableContents"/>
            </w:pPr>
            <w:r>
              <w:t xml:space="preserve">3a. Post-process</w:t>
            </w:r>
          </w:p>
        </w:tc>
        <w:tc>
          <w:tcPr>
            <w:tcW w:w="1700" w:type="dxa"/>
          </w:tcPr>
          <w:p>
            <w:pPr>
              <w:pStyle w:val="TableContents"/>
            </w:pPr>
            <w:r>
              <w:t xml:space="preserve">deterministic</w:t>
            </w:r>
          </w:p>
        </w:tc>
        <w:tc>
          <w:tcPr>
            <w:tcW w:w="4626" w:type="dxa"/>
          </w:tcPr>
          <w:p>
            <w:pPr>
              <w:pStyle w:val="TableContents"/>
            </w:pPr>
            <w:r>
              <w:t xml:space="preserve">Strip redundant trailing words, apply Australian spelling, retitle to title case, and apply the action-as-noun guard.</w:t>
            </w:r>
          </w:p>
        </w:tc>
      </w:tr>
      <w:tr>
        <w:tc>
          <w:tcPr>
            <w:tcW w:w="2700" w:type="dxa"/>
          </w:tcPr>
          <w:p>
            <w:pPr>
              <w:pStyle w:val="TableContents"/>
            </w:pPr>
            <w:r>
              <w:t xml:space="preserve">3b. Duplicate (Jaccard)</w:t>
            </w:r>
          </w:p>
        </w:tc>
        <w:tc>
          <w:tcPr>
            <w:tcW w:w="1700" w:type="dxa"/>
          </w:tcPr>
          <w:p>
            <w:pPr>
              <w:pStyle w:val="TableContents"/>
            </w:pPr>
            <w:r>
              <w:t xml:space="preserve">deterministic</w:t>
            </w:r>
          </w:p>
        </w:tc>
        <w:tc>
          <w:tcPr>
            <w:tcW w:w="4626" w:type="dxa"/>
          </w:tcPr>
          <w:p>
            <w:pPr>
              <w:pStyle w:val="TableContents"/>
            </w:pPr>
            <w:r>
              <w:t xml:space="preserve">Pairwise word-Jaccard on refined names; mark very close pairs as duplicates.</w:t>
            </w:r>
          </w:p>
        </w:tc>
      </w:tr>
      <w:tr>
        <w:tc>
          <w:tcPr>
            <w:tcW w:w="2700" w:type="dxa"/>
          </w:tcPr>
          <w:p>
            <w:pPr>
              <w:pStyle w:val="TableContents"/>
            </w:pPr>
            <w:r>
              <w:t xml:space="preserve">3b2. Domain-marker misinterpretation</w:t>
            </w:r>
          </w:p>
        </w:tc>
        <w:tc>
          <w:tcPr>
            <w:tcW w:w="1700" w:type="dxa"/>
          </w:tcPr>
          <w:p>
            <w:pPr>
              <w:pStyle w:val="TableContents"/>
            </w:pPr>
            <w:r>
              <w:t xml:space="preserve">deterministic</w:t>
            </w:r>
          </w:p>
        </w:tc>
        <w:tc>
          <w:tcPr>
            <w:tcW w:w="4626" w:type="dxa"/>
          </w:tcPr>
          <w:p>
            <w:pPr>
              <w:pStyle w:val="TableContents"/>
            </w:pPr>
            <w:r>
              <w:t xml:space="preserve">Flag skills whose name contains a domain marker absent from the evidence.</w:t>
            </w:r>
          </w:p>
        </w:tc>
      </w:tr>
      <w:tr>
        <w:tc>
          <w:tcPr>
            <w:tcW w:w="2700" w:type="dxa"/>
          </w:tcPr>
          <w:p>
            <w:pPr>
              <w:pStyle w:val="TableContents"/>
            </w:pPr>
            <w:r>
              <w:t xml:space="preserve">3b3. Generic foundation-skill scope</w:t>
            </w:r>
          </w:p>
        </w:tc>
        <w:tc>
          <w:tcPr>
            <w:tcW w:w="1700" w:type="dxa"/>
          </w:tcPr>
          <w:p>
            <w:pPr>
              <w:pStyle w:val="TableContents"/>
            </w:pPr>
            <w:r>
              <w:t xml:space="preserve">deterministic, VET only</w:t>
            </w:r>
          </w:p>
        </w:tc>
        <w:tc>
          <w:tcPr>
            <w:tcW w:w="4626" w:type="dxa"/>
          </w:tcPr>
          <w:p>
            <w:pPr>
              <w:pStyle w:val="TableContents"/>
            </w:pPr>
            <w:r>
              <w:t xml:space="preserve">Flag generic Foundation-Skill names that add no information beyond the performance criteria.</w:t>
            </w:r>
          </w:p>
        </w:tc>
      </w:tr>
      <w:tr>
        <w:tc>
          <w:tcPr>
            <w:tcW w:w="2700" w:type="dxa"/>
          </w:tcPr>
          <w:p>
            <w:pPr>
              <w:pStyle w:val="TableContents"/>
            </w:pPr>
            <w:r>
              <w:t xml:space="preserve">3b4. Foundation-skill interpret/prepare scope</w:t>
            </w:r>
          </w:p>
        </w:tc>
        <w:tc>
          <w:tcPr>
            <w:tcW w:w="1700" w:type="dxa"/>
          </w:tcPr>
          <w:p>
            <w:pPr>
              <w:pStyle w:val="TableContents"/>
            </w:pPr>
            <w:r>
              <w:t xml:space="preserve">deterministic, VET only</w:t>
            </w:r>
          </w:p>
        </w:tc>
        <w:tc>
          <w:tcPr>
            <w:tcW w:w="4626" w:type="dxa"/>
          </w:tcPr>
          <w:p>
            <w:pPr>
              <w:pStyle w:val="TableContents"/>
            </w:pPr>
            <w:r>
              <w:t xml:space="preserve">Flag foundation-skill skills whose action is implicit in the performance criteria.</w:t>
            </w:r>
          </w:p>
        </w:tc>
      </w:tr>
      <w:tr>
        <w:tc>
          <w:tcPr>
            <w:tcW w:w="2700" w:type="dxa"/>
          </w:tcPr>
          <w:p>
            <w:pPr>
              <w:pStyle w:val="TableContents"/>
            </w:pPr>
            <w:r>
              <w:t xml:space="preserve">3b5. Same-outcome duplicates</w:t>
            </w:r>
          </w:p>
        </w:tc>
        <w:tc>
          <w:tcPr>
            <w:tcW w:w="1700" w:type="dxa"/>
          </w:tcPr>
          <w:p>
            <w:pPr>
              <w:pStyle w:val="TableContents"/>
            </w:pPr>
            <w:r>
              <w:t xml:space="preserve">deterministic, Uni only</w:t>
            </w:r>
          </w:p>
        </w:tc>
        <w:tc>
          <w:tcPr>
            <w:tcW w:w="4626" w:type="dxa"/>
          </w:tcPr>
          <w:p>
            <w:pPr>
              <w:pStyle w:val="TableContents"/>
            </w:pPr>
            <w:r>
              <w:t xml:space="preserve">Cluster skills sourced from the same learning-outcome line and retain a canonical pick.</w:t>
            </w:r>
          </w:p>
        </w:tc>
      </w:tr>
      <w:tr>
        <w:tc>
          <w:tcPr>
            <w:tcW w:w="2700" w:type="dxa"/>
          </w:tcPr>
          <w:p>
            <w:pPr>
              <w:pStyle w:val="TableContents"/>
            </w:pPr>
            <w:r>
              <w:t xml:space="preserve">3b6. Vague-description scope</w:t>
            </w:r>
          </w:p>
        </w:tc>
        <w:tc>
          <w:tcPr>
            <w:tcW w:w="1700" w:type="dxa"/>
          </w:tcPr>
          <w:p>
            <w:pPr>
              <w:pStyle w:val="TableContents"/>
            </w:pPr>
            <w:r>
              <w:t xml:space="preserve">deterministic, Uni only</w:t>
            </w:r>
          </w:p>
        </w:tc>
        <w:tc>
          <w:tcPr>
            <w:tcW w:w="4626" w:type="dxa"/>
          </w:tcPr>
          <w:p>
            <w:pPr>
              <w:pStyle w:val="TableContents"/>
            </w:pPr>
            <w:r>
              <w:t xml:space="preserve">Flag skills extracted from description prose that lack a concrete outcome anchor.</w:t>
            </w:r>
          </w:p>
        </w:tc>
      </w:tr>
      <w:tr>
        <w:tc>
          <w:tcPr>
            <w:tcW w:w="2700" w:type="dxa"/>
          </w:tcPr>
          <w:p>
            <w:pPr>
              <w:pStyle w:val="TableContents"/>
            </w:pPr>
            <w:r>
              <w:t xml:space="preserve">3b7. Foundation-skill implicit in criteria</w:t>
            </w:r>
          </w:p>
        </w:tc>
        <w:tc>
          <w:tcPr>
            <w:tcW w:w="1700" w:type="dxa"/>
          </w:tcPr>
          <w:p>
            <w:pPr>
              <w:pStyle w:val="TableContents"/>
            </w:pPr>
            <w:r>
              <w:t xml:space="preserve">LLM, VET only</w:t>
            </w:r>
          </w:p>
        </w:tc>
        <w:tc>
          <w:tcPr>
            <w:tcW w:w="4626" w:type="dxa"/>
          </w:tcPr>
          <w:p>
            <w:pPr>
              <w:pStyle w:val="TableContents"/>
            </w:pPr>
            <w:r>
              <w:t xml:space="preserve">For each foundation skill, query the model on whether the capability is already implicit in any performance criterion.</w:t>
            </w:r>
          </w:p>
        </w:tc>
      </w:tr>
      <w:tr>
        <w:tc>
          <w:tcPr>
            <w:tcW w:w="2700" w:type="dxa"/>
          </w:tcPr>
          <w:p>
            <w:pPr>
              <w:pStyle w:val="TableContents"/>
            </w:pPr>
            <w:r>
              <w:t xml:space="preserve">3c. Gap-fill</w:t>
            </w:r>
          </w:p>
        </w:tc>
        <w:tc>
          <w:tcPr>
            <w:tcW w:w="1700" w:type="dxa"/>
          </w:tcPr>
          <w:p>
            <w:pPr>
              <w:pStyle w:val="TableContents"/>
            </w:pPr>
            <w:r>
              <w:t xml:space="preserve">LLM, optional</w:t>
            </w:r>
          </w:p>
        </w:tc>
        <w:tc>
          <w:tcPr>
            <w:tcW w:w="4626" w:type="dxa"/>
          </w:tcPr>
          <w:p>
            <w:pPr>
              <w:pStyle w:val="TableContents"/>
            </w:pPr>
            <w:r>
              <w:t xml:space="preserve">Identify any sub-outcome not covered by a current skill and add new skills accordingly.</w:t>
            </w:r>
          </w:p>
        </w:tc>
      </w:tr>
      <w:tr>
        <w:tc>
          <w:tcPr>
            <w:tcW w:w="2700" w:type="dxa"/>
          </w:tcPr>
          <w:p>
            <w:pPr>
              <w:pStyle w:val="TableContents"/>
            </w:pPr>
            <w:r>
              <w:t xml:space="preserve">3c2. Element-heading duplicate</w:t>
            </w:r>
          </w:p>
        </w:tc>
        <w:tc>
          <w:tcPr>
            <w:tcW w:w="1700" w:type="dxa"/>
          </w:tcPr>
          <w:p>
            <w:pPr>
              <w:pStyle w:val="TableContents"/>
            </w:pPr>
            <w:r>
              <w:t xml:space="preserve">deterministic, VET only</w:t>
            </w:r>
          </w:p>
        </w:tc>
        <w:tc>
          <w:tcPr>
            <w:tcW w:w="4626" w:type="dxa"/>
          </w:tcPr>
          <w:p>
            <w:pPr>
              <w:pStyle w:val="TableContents"/>
            </w:pPr>
            <w:r>
              <w:t xml:space="preserve">Flag skills whose evidence is verbatim an element heading.</w:t>
            </w:r>
          </w:p>
        </w:tc>
      </w:tr>
      <w:tr>
        <w:tc>
          <w:tcPr>
            <w:tcW w:w="2700" w:type="dxa"/>
          </w:tcPr>
          <w:p>
            <w:pPr>
              <w:pStyle w:val="TableContents"/>
            </w:pPr>
            <w:r>
              <w:t xml:space="preserve">3d. Validation</w:t>
            </w:r>
          </w:p>
        </w:tc>
        <w:tc>
          <w:tcPr>
            <w:tcW w:w="1700" w:type="dxa"/>
          </w:tcPr>
          <w:p>
            <w:pPr>
              <w:pStyle w:val="TableContents"/>
            </w:pPr>
            <w:r>
              <w:t xml:space="preserve">LLM</w:t>
            </w:r>
          </w:p>
        </w:tc>
        <w:tc>
          <w:tcPr>
            <w:tcW w:w="4626" w:type="dxa"/>
          </w:tcPr>
          <w:p>
            <w:pPr>
              <w:pStyle w:val="TableContents"/>
            </w:pPr>
            <w:r>
              <w:t xml:space="preserve">A single structured pass per skill checking for duplication, out-of-scope content, and misinterpretation.</w:t>
            </w:r>
          </w:p>
        </w:tc>
      </w:tr>
      <w:tr>
        <w:tc>
          <w:tcPr>
            <w:tcW w:w="2700" w:type="dxa"/>
          </w:tcPr>
          <w:p>
            <w:pPr>
              <w:pStyle w:val="TableContents"/>
            </w:pPr>
            <w:r>
              <w:t xml:space="preserve">3e. Verify duplicate flags</w:t>
            </w:r>
          </w:p>
        </w:tc>
        <w:tc>
          <w:tcPr>
            <w:tcW w:w="1700" w:type="dxa"/>
          </w:tcPr>
          <w:p>
            <w:pPr>
              <w:pStyle w:val="TableContents"/>
            </w:pPr>
            <w:r>
              <w:t xml:space="preserve">deterministic</w:t>
            </w:r>
          </w:p>
        </w:tc>
        <w:tc>
          <w:tcPr>
            <w:tcW w:w="4626" w:type="dxa"/>
          </w:tcPr>
          <w:p>
            <w:pPr>
              <w:pStyle w:val="TableContents"/>
            </w:pPr>
            <w:r>
              <w:t xml:space="preserve">Re-check duplicate references and remove false positives.</w:t>
            </w:r>
          </w:p>
        </w:tc>
      </w:tr>
      <w:tr>
        <w:tc>
          <w:tcPr>
            <w:tcW w:w="2700" w:type="dxa"/>
          </w:tcPr>
          <w:p>
            <w:pPr>
              <w:pStyle w:val="TableContents"/>
            </w:pPr>
            <w:r>
              <w:t xml:space="preserve">3f. Re-refine misinterpretation</w:t>
            </w:r>
          </w:p>
        </w:tc>
        <w:tc>
          <w:tcPr>
            <w:tcW w:w="1700" w:type="dxa"/>
          </w:tcPr>
          <w:p>
            <w:pPr>
              <w:pStyle w:val="TableContents"/>
            </w:pPr>
            <w:r>
              <w:t xml:space="preserve">LLM</w:t>
            </w:r>
          </w:p>
        </w:tc>
        <w:tc>
          <w:tcPr>
            <w:tcW w:w="4626" w:type="dxa"/>
          </w:tcPr>
          <w:p>
            <w:pPr>
              <w:pStyle w:val="TableContents"/>
            </w:pPr>
            <w:r>
              <w:t xml:space="preserve">Re-run the rename prompt for each flagged skill with the misinterpretation reason injected.</w:t>
            </w:r>
          </w:p>
        </w:tc>
      </w:tr>
      <w:tr>
        <w:tc>
          <w:tcPr>
            <w:tcW w:w="2700" w:type="dxa"/>
          </w:tcPr>
          <w:p>
            <w:pPr>
              <w:pStyle w:val="TableContents"/>
            </w:pPr>
            <w:r>
              <w:t xml:space="preserve">4. Evidence completion</w:t>
            </w:r>
          </w:p>
        </w:tc>
        <w:tc>
          <w:tcPr>
            <w:tcW w:w="1700" w:type="dxa"/>
          </w:tcPr>
          <w:p>
            <w:pPr>
              <w:pStyle w:val="TableContents"/>
            </w:pPr>
            <w:r>
              <w:t xml:space="preserve">LLM, optional</w:t>
            </w:r>
          </w:p>
        </w:tc>
        <w:tc>
          <w:tcPr>
            <w:tcW w:w="4626" w:type="dxa"/>
          </w:tcPr>
          <w:p>
            <w:pPr>
              <w:pStyle w:val="TableContents"/>
            </w:pPr>
            <w:r>
              <w:t xml:space="preserve">Detect truncated evidence, recover the original source text, and append references to related criteria.</w:t>
            </w:r>
          </w:p>
        </w:tc>
      </w:tr>
      <w:tr>
        <w:tc>
          <w:tcPr>
            <w:tcW w:w="2700" w:type="dxa"/>
          </w:tcPr>
          <w:p>
            <w:pPr>
              <w:pStyle w:val="TableContents"/>
            </w:pPr>
            <w:r>
              <w:t xml:space="preserve">5a. Description refinement</w:t>
            </w:r>
          </w:p>
        </w:tc>
        <w:tc>
          <w:tcPr>
            <w:tcW w:w="1700" w:type="dxa"/>
          </w:tcPr>
          <w:p>
            <w:pPr>
              <w:pStyle w:val="TableContents"/>
            </w:pPr>
            <w:r>
              <w:t xml:space="preserve">LLM</w:t>
            </w:r>
          </w:p>
        </w:tc>
        <w:tc>
          <w:tcPr>
            <w:tcW w:w="4626" w:type="dxa"/>
          </w:tcPr>
          <w:p>
            <w:pPr>
              <w:pStyle w:val="TableContents"/>
            </w:pPr>
            <w:r>
              <w:t xml:space="preserve">Rewrite each description from the refined name and evidence.</w:t>
            </w:r>
          </w:p>
        </w:tc>
      </w:tr>
      <w:tr>
        <w:tc>
          <w:tcPr>
            <w:tcW w:w="2700" w:type="dxa"/>
          </w:tcPr>
          <w:p>
            <w:pPr>
              <w:pStyle w:val="TableContents"/>
            </w:pPr>
            <w:r>
              <w:t xml:space="preserve">5b. Keyword enrichment</w:t>
            </w:r>
          </w:p>
        </w:tc>
        <w:tc>
          <w:tcPr>
            <w:tcW w:w="1700" w:type="dxa"/>
          </w:tcPr>
          <w:p>
            <w:pPr>
              <w:pStyle w:val="TableContents"/>
            </w:pPr>
            <w:r>
              <w:t xml:space="preserve">LLM</w:t>
            </w:r>
          </w:p>
        </w:tc>
        <w:tc>
          <w:tcPr>
            <w:tcW w:w="4626" w:type="dxa"/>
          </w:tcPr>
          <w:p>
            <w:pPr>
              <w:pStyle w:val="TableContents"/>
            </w:pPr>
            <w:r>
              <w:t xml:space="preserve">Re-emit keywords for each skill from the name and description.</w:t>
            </w:r>
          </w:p>
        </w:tc>
      </w:tr>
      <w:tr>
        <w:tc>
          <w:tcPr>
            <w:tcW w:w="2700" w:type="dxa"/>
          </w:tcPr>
          <w:p>
            <w:pPr>
              <w:pStyle w:val="TableContents"/>
            </w:pPr>
            <w:r>
              <w:t xml:space="preserve">5c. Style compliance</w:t>
            </w:r>
          </w:p>
        </w:tc>
        <w:tc>
          <w:tcPr>
            <w:tcW w:w="1700" w:type="dxa"/>
          </w:tcPr>
          <w:p>
            <w:pPr>
              <w:pStyle w:val="TableContents"/>
            </w:pPr>
            <w:r>
              <w:t xml:space="preserve">LLM, optional</w:t>
            </w:r>
          </w:p>
        </w:tc>
        <w:tc>
          <w:tcPr>
            <w:tcW w:w="4626" w:type="dxa"/>
          </w:tcPr>
          <w:p>
            <w:pPr>
              <w:pStyle w:val="TableContents"/>
            </w:pPr>
            <w:r>
              <w:t xml:space="preserve">A final pass over names and descriptions for tone and length.</w:t>
            </w:r>
          </w:p>
        </w:tc>
      </w:tr>
      <w:tr>
        <w:tc>
          <w:tcPr>
            <w:tcW w:w="2700" w:type="dxa"/>
          </w:tcPr>
          <w:p>
            <w:pPr>
              <w:pStyle w:val="TableContents"/>
            </w:pPr>
            <w:r>
              <w:t xml:space="preserve">6. Keyword normalisation</w:t>
            </w:r>
          </w:p>
        </w:tc>
        <w:tc>
          <w:tcPr>
            <w:tcW w:w="1700" w:type="dxa"/>
          </w:tcPr>
          <w:p>
            <w:pPr>
              <w:pStyle w:val="TableContents"/>
            </w:pPr>
            <w:r>
              <w:t xml:space="preserve">deterministic</w:t>
            </w:r>
          </w:p>
        </w:tc>
        <w:tc>
          <w:tcPr>
            <w:tcW w:w="4626" w:type="dxa"/>
          </w:tcPr>
          <w:p>
            <w:pPr>
              <w:pStyle w:val="TableContents"/>
            </w:pPr>
            <w:r>
              <w:t xml:space="preserve">Lowercase, deduplicate, and sort the keyword list.</w:t>
            </w:r>
          </w:p>
        </w:tc>
      </w:tr>
    </w:tbl>
    <w:p>
      <w:pPr>
        <w:pStyle w:val="BodyText"/>
      </w:pPr>
    </w:p>
    <w:p>
      <w:pPr>
        <w:pStyle w:val="Heading3"/>
      </w:pPr>
      <w:r>
        <w:t xml:space="preserve">4.3 Consensus Renaming</w:t>
      </w:r>
    </w:p>
    <w:p>
      <w:pPr>
        <w:pStyle w:val="BodyText"/>
      </w:pPr>
      <w:r>
        <w:t xml:space="preserve">The consensus rename produces the refined name and is the core of the refinement step. For each run i in 0 to N-1 the model is called with temperature tᵢ drawn from a fixed schedule. With the default parameters N = 3 and a maximum temperature of 0.6, the schedule is</w:t>
      </w:r>
    </w:p>
    <w:p>
      <w:pPr>
        <w:pStyle w:val="PreformattedText"/>
        <w:jc w:val="center"/>
      </w:pPr>
      <w:r>
        <w:t xml:space="preserve">tᵢ = i × (max_temperature / (N − 1)),   i = 0, 1, 2</w:t>
      </w:r>
    </w:p>
    <w:p>
      <w:pPr>
        <w:pStyle w:val="BodyText"/>
      </w:pPr>
      <w:r>
        <w:t xml:space="preserve">which yields the values 0.0, 0.3, and 0.6. Each run returns one candidate refined name per skill. Let votes(c) be the number of runs that returned candidate c for a given skill. The accepted refined name is the candidate with the largest vote count, subject to the consensus threshold:</w:t>
      </w:r>
    </w:p>
    <w:p>
      <w:pPr>
        <w:pStyle w:val="PreformattedText"/>
        <w:jc w:val="center"/>
      </w:pPr>
      <w:r>
        <w:t xml:space="preserve">refined = argmaxᴄ votes(c),   subject to votes(c) ≥ consensus_threshold</w:t>
      </w:r>
    </w:p>
    <w:p>
      <w:pPr>
        <w:pStyle w:val="BodyText"/>
      </w:pPr>
      <w:r>
        <w:t xml:space="preserve">If no candidate clears the threshold, the original name is retained and the name_changed flag remains false. The consensus step records the original name, a name-changed flag, the refinement confidence (the proportion of votes supporting the accepted name), a vote-tally string, and a free-text justification.</w:t>
      </w:r>
    </w:p>
    <w:p>
      <w:pPr>
        <w:pStyle w:val="Heading3"/>
      </w:pPr>
      <w:r>
        <w:t xml:space="preserve">4.4 Duplicate, Out-of-Scope, and Misinterpretation Detection</w:t>
      </w:r>
    </w:p>
    <w:p>
      <w:pPr>
        <w:pStyle w:val="BodyText"/>
      </w:pPr>
      <w:r>
        <w:t xml:space="preserve">Sub-steps 3b through 3e together construct the three boolean audit flags. The detection logic is deliberately layered: cheaper deterministic checks run first, and the language model validation pass provides the final verdict on anything that survives the deterministic layers.</w:t>
      </w:r>
    </w:p>
    <w:p>
      <w:pPr>
        <w:pStyle w:val="BodyText"/>
      </w:pPr>
      <w:r>
        <w:rPr>
          <w:rStyle w:val="StrongEmphasis"/>
        </w:rPr>
        <w:t xml:space="preserve">Duplicate detection. </w:t>
      </w:r>
      <w:r>
        <w:t xml:space="preserve">Three signals can mark a skill as a duplicate of another: a pairwise word-Jaccard similarity on the refined names above a threshold; a same-source pattern (skills from the same learning-outcome line for university mode, or evidence equal to an element heading for VET mode); and the structured validation prompt, which asks whether another skill covers the same activity. When a skill is marked as a duplicate, the duplicate_of field carries the name of the canonical skill, and a verification pass clears any reference that points at a non-existent or itself-flagged target.</w:t>
      </w:r>
    </w:p>
    <w:p>
      <w:pPr>
        <w:pStyle w:val="BodyText"/>
      </w:pPr>
      <w:r>
        <w:rPr>
          <w:rStyle w:val="StrongEmphasis"/>
        </w:rPr>
        <w:t xml:space="preserve">Out-of-scope detection. </w:t>
      </w:r>
      <w:r>
        <w:t xml:space="preserve">Several signals can mark a skill as out-of-scope: a generic Foundation-Skill capability match (VET only); a Foundation-Skill interpret-or-prepare action already covered by the performance criteria (VET only); a vague description-sourced skill lacking a learning-outcome anchor (university only); a language model judgement that a foundation skill is already implicit in the performance criteria (VET only); and the structured validation prompt. When fired, the scope_reason field carries a short justification.</w:t>
      </w:r>
    </w:p>
    <w:p>
      <w:pPr>
        <w:pStyle w:val="BodyText"/>
      </w:pPr>
      <w:r>
        <w:rPr>
          <w:rStyle w:val="StrongEmphasis"/>
        </w:rPr>
        <w:t xml:space="preserve">Misinterpretation detection. </w:t>
      </w:r>
      <w:r>
        <w:t xml:space="preserve">Two signals mark a skill as a misinterpretation of the source: a deterministic domain-marker mismatch, in which the name contains a marker such as security or inventory that does not appear in the evidence; and the structured validation prompt, which extracts the evidence actions and the name actions and flags a name action that contradicts the evidence. When fired, the misinterpretation reason is recorded, and a subsequent pass re-runs the rename prompt with that reason injected so the model can produce a corrected name.</w:t>
      </w:r>
    </w:p>
    <w:p>
      <w:pPr>
        <w:pStyle w:val="Heading3"/>
      </w:pPr>
      <w:r>
        <w:t xml:space="preserve">4.5 Gap-Fill Pass</w:t>
      </w:r>
    </w:p>
    <w:p>
      <w:pPr>
        <w:pStyle w:val="BodyText"/>
      </w:pPr>
      <w:r>
        <w:t xml:space="preserve">When gap-fill is enabled, the refiner re-reads the parent unit and asks the model to identify any sub-outcome (a performance criterion for VET, or a learning-outcome bullet for university) that no current skill covers. Each newly added skill is written with an added_from_pc flag, a source label, and an evidence string equal to the exact text of the uncovered sub-outcome. The duplicate check runs again after gap-fill so that any new skill duplicating an existing one is caught.</w:t>
      </w:r>
    </w:p>
    <w:p>
      <w:pPr>
        <w:pStyle w:val="Heading3"/>
      </w:pPr>
      <w:r>
        <w:t xml:space="preserve">4.6 Refiner Output</w:t>
      </w:r>
    </w:p>
    <w:p>
      <w:pPr>
        <w:pStyle w:val="BodyText"/>
      </w:pPr>
      <w:r>
        <w:t xml:space="preserve">The refined skills are returned with a complete audit record attached to each skill, including the original name and description, change flags for the name, description, and keywords, the refinement confidence and vote tally, the three boolean quality flags with their justifications, and a flag marking skills introduced by gap-fill. The analyzer reads only the fields it requires; a configuration parameter accepts any subset of the three quality flags and drops the matching skills before scoring on either side of the credit-transfer pair.</w:t>
      </w:r>
    </w:p>
    <w:p>
      <w:pPr>
        <w:pStyle w:val="Heading2"/>
      </w:pPr>
      <w:r>
        <w:t xml:space="preserve">5. Skill Differentiation</w:t>
      </w:r>
    </w:p>
    <w:p>
      <w:pPr>
        <w:pStyle w:val="BodyText"/>
      </w:pPr>
      <w:r>
        <w:t xml:space="preserve">The third pipeline step calibrates skill levels against the analysed cohort so that the levels are internally consistent before matching. An embedding-based heuristic compares each skill against its semantically similar siblings and adjusts outliers upward or downward. When a level changes, the differentiation step records a level-adjusted flag, the original level, and an adjustment reason in the skill’s metadata, so that the audit trail survives into the matching step. Differentiation performs no matching of its own; it only normalises the level field that the level-compatibility matrix later consumes.</w:t>
      </w:r>
    </w:p>
    <w:p>
      <w:pPr>
        <w:pStyle w:val="Heading2"/>
      </w:pPr>
      <w:r>
        <w:t xml:space="preserve">6. Credit Recommender: Direct One-vs-All</w:t>
      </w:r>
    </w:p>
    <w:p>
      <w:pPr>
        <w:pStyle w:val="BodyText"/>
      </w:pPr>
      <w:r>
        <w:t xml:space="preserve">The recommender proceeds in four phases. It first prepares and pools the skills to be matched; it then assigns a score to every candidate pairing of a VET skill with a university skill; it next selects one winning VET partner for each university outcome and filters the winners through a sequence of guards; and it finally aggregates the surviving winners into a course-level headline score. The four phases are described in turn below.</w:t>
      </w:r>
    </w:p>
    <w:p>
      <w:pPr>
        <w:pStyle w:val="Heading3"/>
      </w:pPr>
      <w:r>
        <w:t xml:space="preserve">6.1 Inputs and Pooling</w:t>
      </w:r>
    </w:p>
    <w:p>
      <w:pPr>
        <w:pStyle w:val="BodyText"/>
      </w:pPr>
      <w:r>
        <w:t xml:space="preserve">This phase prepares the skills to be matched: it optionally drops skills the refiner flagged, and it gathers every VET skill into a single searchable pool.</w:t>
      </w:r>
    </w:p>
    <w:p>
      <w:pPr>
        <w:pStyle w:val="Heading4"/>
      </w:pPr>
      <w:r>
        <w:t xml:space="preserve">6.1.1 Pre-Filter on Refiner Flags</w:t>
      </w:r>
    </w:p>
    <w:p>
      <w:pPr>
        <w:pStyle w:val="BodyText"/>
      </w:pPr>
      <w:r>
        <w:t xml:space="preserve">Before any matching occurs, the analyzer applies an exclude-flags setting. For each skill on either side it inspects the named flags in the refiner audit record (falling back to the top level of the skill metadata), and any skill for which any listed flag is truthy is dropped from the input. The list is empty by default, so no skills are excluded unless the operator opts in; a typical opt-in setting excludes skills flagged as duplicate, out-of-scope, or a misinterpretation.</w:t>
      </w:r>
    </w:p>
    <w:p>
      <w:pPr>
        <w:pStyle w:val="Heading4"/>
      </w:pPr>
      <w:r>
        <w:t xml:space="preserve">6.1.2 Pooling and Indexing</w:t>
      </w:r>
    </w:p>
    <w:p>
      <w:pPr>
        <w:pStyle w:val="BodyText"/>
      </w:pPr>
      <w:r>
        <w:t xml:space="preserve">For one university course with n_U extracted skills, the matcher gathers every VET skill from every unit of the VET qualification into one flat list of size n_V. An identity map from each VET skill to its source unit code is retained, so that every VET skill can be traced back to its originating unit even when the skill itself carries no explicit code.</w:t>
      </w:r>
    </w:p>
    <w:p>
      <w:pPr>
        <w:pStyle w:val="Heading3"/>
      </w:pPr>
      <w:r>
        <w:t xml:space="preserve">6.2 Per-Pair Scoring</w:t>
      </w:r>
    </w:p>
    <w:p>
      <w:pPr>
        <w:pStyle w:val="BodyText"/>
      </w:pPr>
      <w:r>
        <w:t xml:space="preserve">This phase defines how a single (V, U) pair is scored, combining semantic similarity with level and context compatibility into one per-pair score and a corresponding label.</w:t>
      </w:r>
    </w:p>
    <w:p>
      <w:pPr>
        <w:pStyle w:val="Heading4"/>
      </w:pPr>
      <w:r>
        <w:t xml:space="preserve">6.2.1 Semantic Similarity</w:t>
      </w:r>
    </w:p>
    <w:p>
      <w:pPr>
        <w:pStyle w:val="BodyText"/>
      </w:pPr>
      <w:r>
        <w:t xml:space="preserve">The matcher embeds the skill name only. Descriptions and evidence were evaluated in earlier iterations and removed because they shifted the cosine distribution without improving the signal-to-noise ratio; they are nonetheless read later by the equivalence judge, so domain context is preserved. All n_V + n_U skill names are embedded in a single batched call to a sentence-transformer [13, 14]. Let e_V be the L2-normalised embedding of one VET skill and e_U the embedding of one university skill, both in d-dimensional space. The pairwise similarity is the non-negative cosine</w:t>
      </w:r>
    </w:p>
    <w:p>
      <w:pPr>
        <w:pStyle w:val="PreformattedText"/>
        <w:jc w:val="center"/>
      </w:pPr>
      <w:r>
        <w:t xml:space="preserve">S(V, U) = max(0, e_V · e_U)</w:t>
      </w:r>
    </w:p>
    <w:p>
      <w:pPr>
        <w:pStyle w:val="BodyText"/>
      </w:pPr>
      <w:r>
        <w:t xml:space="preserve">producing an n_V by n_U matrix with entries in the unit interval. Negative cosines are clipped to zero so that they cannot drag downstream scores below zero.</w:t>
      </w:r>
    </w:p>
    <w:p>
      <w:pPr>
        <w:pStyle w:val="Heading4"/>
      </w:pPr>
      <w:r>
        <w:t xml:space="preserve">6.2.2 Level and Context Compatibility</w:t>
      </w:r>
    </w:p>
    <w:p>
      <w:pPr>
        <w:pStyle w:val="BodyText"/>
      </w:pPr>
      <w:r>
        <w:t xml:space="preserve">SFIA levels are integers in the range 1 to 7 [20]. The matcher converts a level gap into a compatibility value using a configurable curve, whose default is</w:t>
      </w:r>
    </w:p>
    <w:p>
      <w:pPr>
        <w:pStyle w:val="PreformattedText"/>
        <w:jc w:val="center"/>
      </w:pPr>
      <w:r>
        <w:t xml:space="preserve">curve = [1.0, 0.75, 0.5, 0.2, 0.0]</w:t>
      </w:r>
    </w:p>
    <w:p>
      <w:pPr>
        <w:pStyle w:val="BodyText"/>
      </w:pPr>
      <w:r>
        <w:t xml:space="preserve">Index k of the curve gives the compatibility for a level gap of k, so a gap of zero maps to 1.0, a gap of one maps to 0.75, and so on. A symmetric 7 by 7 base matrix B is constructed from the curve, and the level compatibility of a pair is L(V, U) = B[level(V) − 1, level(U) − 1]. Context compatibility uses a fixed lookup over the three context values: same-axis pairings score 1.0, opposing pure axes (practical against theoretical) score 0.3, and the hybrid context is partially compatible with either pure axis.</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56"/>
        <w:gridCol w:w="2256"/>
        <w:gridCol w:w="2257"/>
        <w:gridCol w:w="2257"/>
      </w:tblGrid>
      <w:tr>
        <w:tc>
          <w:tcPr>
            <w:tcW w:w="2256" w:type="dxa"/>
            <w:shd w:val="clear" w:color="auto" w:fill="EDE3F5"/>
            <w:vAlign w:val="center"/>
          </w:tcPr>
          <w:p>
            <w:pPr>
              <w:pStyle w:val="TableHeading"/>
            </w:pPr>
            <w:r>
              <w:t xml:space="preserve">VET \ Uni</w:t>
            </w:r>
          </w:p>
        </w:tc>
        <w:tc>
          <w:tcPr>
            <w:tcW w:w="2256" w:type="dxa"/>
            <w:shd w:val="clear" w:color="auto" w:fill="EDE3F5"/>
            <w:vAlign w:val="center"/>
          </w:tcPr>
          <w:p>
            <w:pPr>
              <w:pStyle w:val="TableHeading"/>
            </w:pPr>
            <w:r>
              <w:t xml:space="preserve">practical</w:t>
            </w:r>
          </w:p>
        </w:tc>
        <w:tc>
          <w:tcPr>
            <w:tcW w:w="2257" w:type="dxa"/>
            <w:shd w:val="clear" w:color="auto" w:fill="EDE3F5"/>
            <w:vAlign w:val="center"/>
          </w:tcPr>
          <w:p>
            <w:pPr>
              <w:pStyle w:val="TableHeading"/>
            </w:pPr>
            <w:r>
              <w:t xml:space="preserve">theoretical</w:t>
            </w:r>
          </w:p>
        </w:tc>
        <w:tc>
          <w:tcPr>
            <w:tcW w:w="2257" w:type="dxa"/>
            <w:shd w:val="clear" w:color="auto" w:fill="EDE3F5"/>
            <w:vAlign w:val="center"/>
          </w:tcPr>
          <w:p>
            <w:pPr>
              <w:pStyle w:val="TableHeading"/>
            </w:pPr>
            <w:r>
              <w:t xml:space="preserve">hybrid</w:t>
            </w:r>
          </w:p>
        </w:tc>
      </w:tr>
      <w:tr>
        <w:tc>
          <w:tcPr>
            <w:tcW w:w="2256" w:type="dxa"/>
          </w:tcPr>
          <w:p>
            <w:pPr>
              <w:pStyle w:val="TableContents"/>
            </w:pPr>
            <w:r>
              <w:t xml:space="preserve">practical</w:t>
            </w:r>
          </w:p>
        </w:tc>
        <w:tc>
          <w:tcPr>
            <w:tcW w:w="2256" w:type="dxa"/>
          </w:tcPr>
          <w:p>
            <w:pPr>
              <w:pStyle w:val="TableContents"/>
            </w:pPr>
            <w:r>
              <w:t xml:space="preserve">1.00</w:t>
            </w:r>
          </w:p>
        </w:tc>
        <w:tc>
          <w:tcPr>
            <w:tcW w:w="2257" w:type="dxa"/>
          </w:tcPr>
          <w:p>
            <w:pPr>
              <w:pStyle w:val="TableContents"/>
            </w:pPr>
            <w:r>
              <w:t xml:space="preserve">0.30</w:t>
            </w:r>
          </w:p>
        </w:tc>
        <w:tc>
          <w:tcPr>
            <w:tcW w:w="2257" w:type="dxa"/>
          </w:tcPr>
          <w:p>
            <w:pPr>
              <w:pStyle w:val="TableContents"/>
            </w:pPr>
            <w:r>
              <w:t xml:space="preserve">0.70</w:t>
            </w:r>
          </w:p>
        </w:tc>
      </w:tr>
      <w:tr>
        <w:tc>
          <w:tcPr>
            <w:tcW w:w="2256" w:type="dxa"/>
          </w:tcPr>
          <w:p>
            <w:pPr>
              <w:pStyle w:val="TableContents"/>
            </w:pPr>
            <w:r>
              <w:t xml:space="preserve">theoretical</w:t>
            </w:r>
          </w:p>
        </w:tc>
        <w:tc>
          <w:tcPr>
            <w:tcW w:w="2256" w:type="dxa"/>
          </w:tcPr>
          <w:p>
            <w:pPr>
              <w:pStyle w:val="TableContents"/>
            </w:pPr>
            <w:r>
              <w:t xml:space="preserve">0.30</w:t>
            </w:r>
          </w:p>
        </w:tc>
        <w:tc>
          <w:tcPr>
            <w:tcW w:w="2257" w:type="dxa"/>
          </w:tcPr>
          <w:p>
            <w:pPr>
              <w:pStyle w:val="TableContents"/>
            </w:pPr>
            <w:r>
              <w:t xml:space="preserve">1.00</w:t>
            </w:r>
          </w:p>
        </w:tc>
        <w:tc>
          <w:tcPr>
            <w:tcW w:w="2257" w:type="dxa"/>
          </w:tcPr>
          <w:p>
            <w:pPr>
              <w:pStyle w:val="TableContents"/>
            </w:pPr>
            <w:r>
              <w:t xml:space="preserve">0.70</w:t>
            </w:r>
          </w:p>
        </w:tc>
      </w:tr>
      <w:tr>
        <w:tc>
          <w:tcPr>
            <w:tcW w:w="2256" w:type="dxa"/>
          </w:tcPr>
          <w:p>
            <w:pPr>
              <w:pStyle w:val="TableContents"/>
            </w:pPr>
            <w:r>
              <w:t xml:space="preserve">hybrid</w:t>
            </w:r>
          </w:p>
        </w:tc>
        <w:tc>
          <w:tcPr>
            <w:tcW w:w="2256" w:type="dxa"/>
          </w:tcPr>
          <w:p>
            <w:pPr>
              <w:pStyle w:val="TableContents"/>
            </w:pPr>
            <w:r>
              <w:t xml:space="preserve">0.70</w:t>
            </w:r>
          </w:p>
        </w:tc>
        <w:tc>
          <w:tcPr>
            <w:tcW w:w="2257" w:type="dxa"/>
          </w:tcPr>
          <w:p>
            <w:pPr>
              <w:pStyle w:val="TableContents"/>
            </w:pPr>
            <w:r>
              <w:t xml:space="preserve">0.70</w:t>
            </w:r>
          </w:p>
        </w:tc>
        <w:tc>
          <w:tcPr>
            <w:tcW w:w="2257" w:type="dxa"/>
          </w:tcPr>
          <w:p>
            <w:pPr>
              <w:pStyle w:val="TableContents"/>
            </w:pPr>
            <w:r>
              <w:t xml:space="preserve">1.00</w:t>
            </w:r>
          </w:p>
        </w:tc>
      </w:tr>
    </w:tbl>
    <w:p>
      <w:pPr>
        <w:pStyle w:val="BodyText"/>
      </w:pPr>
    </w:p>
    <w:p>
      <w:pPr>
        <w:pStyle w:val="Heading4"/>
      </w:pPr>
      <w:r>
        <w:t xml:space="preserve">6.2.3 Combined Score and Classification</w:t>
      </w:r>
    </w:p>
    <w:p>
      <w:pPr>
        <w:pStyle w:val="BodyText"/>
      </w:pPr>
      <w:r>
        <w:t xml:space="preserve">The three matrices are combined linearly into a single score for each pair:</w:t>
      </w:r>
    </w:p>
    <w:p>
      <w:pPr>
        <w:pStyle w:val="PreformattedText"/>
        <w:jc w:val="center"/>
      </w:pPr>
      <w:r>
        <w:t xml:space="preserve">M(V, U) = w_sim · S(V, U) + w_lvl · L(V, U) + w_ctx · C(V, U)</w:t>
      </w:r>
    </w:p>
    <w:p>
      <w:pPr>
        <w:pStyle w:val="BodyText"/>
      </w:pPr>
      <w:r>
        <w:t xml:space="preserve">The current weights are w_sim = 0.60, w_lvl = 0.25, and w_ctx = 0.15. The weights are normalised to sum to one at configuration-load time, so any user-supplied values that do not sum to one still produce a well-defined linear combination. Each candidate pair is then labelled from its combined score using the direct threshold T_d and the partial threshold T_p:</w:t>
      </w:r>
    </w:p>
    <w:p>
      <w:pPr>
        <w:pStyle w:val="PreformattedText"/>
        <w:jc w:val="center"/>
      </w:pPr>
      <w:r>
        <w:t xml:space="preserve">m(V, U) = Direct      if M(V, U) ≥ T_d</w:t>
      </w:r>
    </w:p>
    <w:p>
      <w:pPr>
        <w:pStyle w:val="PreformattedText"/>
        <w:jc w:val="center"/>
      </w:pPr>
      <w:r>
        <w:t xml:space="preserve">m(V, U) = Partial     if T_p ≤ M(V, U) &lt; T_d</w:t>
      </w:r>
    </w:p>
    <w:p>
      <w:pPr>
        <w:pStyle w:val="PreformattedText"/>
        <w:jc w:val="center"/>
      </w:pPr>
      <w:r>
        <w:t xml:space="preserve">m(V, U) = Unmapped    if M(V, U) &lt; T_p</w:t>
      </w:r>
    </w:p>
    <w:p>
      <w:pPr>
        <w:pStyle w:val="BodyText"/>
      </w:pPr>
      <w:r>
        <w:t xml:space="preserve">The production thresholds are T_d = 0.87 and T_p = 0.78.</w:t>
      </w:r>
    </w:p>
    <w:p>
      <w:pPr>
        <w:pStyle w:val="Heading3"/>
      </w:pPr>
      <w:r>
        <w:t xml:space="preserve">6.3 Winner Selection and Demotion Guards</w:t>
      </w:r>
    </w:p>
    <w:p>
      <w:pPr>
        <w:pStyle w:val="BodyText"/>
      </w:pPr>
      <w:r>
        <w:t xml:space="preserve">This phase selects one winning VET partner for each university outcome, caps the number of outcomes a single VET skill may win, and applies a sequence of guards that demote weak or spurious matches.</w:t>
      </w:r>
    </w:p>
    <w:p>
      <w:pPr>
        <w:pStyle w:val="Heading4"/>
      </w:pPr>
      <w:r>
        <w:t xml:space="preserve">6.3.1 Winner Selection and Capping</w:t>
      </w:r>
    </w:p>
    <w:p>
      <w:pPr>
        <w:pStyle w:val="BodyText"/>
      </w:pPr>
      <w:r>
        <w:t xml:space="preserve">For each university skill U the matcher selects the VET skill that maximises the combined score, V_best(U) = argmax_V M(V, U). The set of winners contains one winner per university outcome and therefore has size n_U; the same VET skill may appear as a winner for several distinct university outcomes. If, after Unicode whitespace collapsing and case folding, the names of V_best(U) and U are equal, the label of that pair is promoted to Direct regardless of M, providing a low-cost precision improvement; such pairs may still be demoted later by the guards or the equivalence judge. Finally, any single VET skill may win at most K university outcomes per course, with a default of K = 3. For each VET skill the winning pairs are ranked by M in descending order, and any pair ranked beyond K is demoted to Unmapped:</w:t>
      </w:r>
    </w:p>
    <w:p>
      <w:pPr>
        <w:pStyle w:val="PreformattedText"/>
        <w:jc w:val="center"/>
      </w:pPr>
      <w:r>
        <w:t xml:space="preserve">m(V, U) = Unmapped   if rank_V(U) &gt; K within { U : V_best(U) = V }</w:t>
      </w:r>
    </w:p>
    <w:p>
      <w:pPr>
        <w:pStyle w:val="BodyText"/>
      </w:pPr>
      <w:r>
        <w:t xml:space="preserve">The cap runs after the identical-name promotion, so promoted pairs count toward the cap, and before the equivalence judge, so the judge does not expend a call on a pair that is about to be capped.</w:t>
      </w:r>
    </w:p>
    <w:p>
      <w:pPr>
        <w:pStyle w:val="Heading4"/>
      </w:pPr>
      <w:r>
        <w:t xml:space="preserve">6.3.2 Optional Demotion Guards</w:t>
      </w:r>
    </w:p>
    <w:p>
      <w:pPr>
        <w:pStyle w:val="BodyText"/>
      </w:pPr>
      <w:r>
        <w:t xml:space="preserve">Two further guards are available but disabled by default, because the equivalence judge covers the same demotions. The specialist guard runs two deterministic detectors: the anchored detector computes the projection of the VET embedding onto a centroid of generic anchor phrases and of the university embedding onto a centroid of specialist phrases, and demotes a pair when the generic projection is at least 0.80 and the specialist projection is at least 0.70; the lateral detector demotes all wins of a VET skill that wins at least four university outcomes whose mutual mean cosine similarity falls below 0.55, capturing the case of one VET skill being distributed across mutually unrelated outcomes. The verb-class guard issues one batched language model call that classifies every unique skill name into a Bloom action level from 1 (Remember) to 6 (Create) [7], and demotes a winning pair when the university action level exceeds the VET action level by at least three.</w:t>
      </w:r>
    </w:p>
    <w:p>
      <w:pPr>
        <w:pStyle w:val="Heading4"/>
      </w:pPr>
      <w:r>
        <w:t xml:space="preserve">6.3.3 Equivalence Judge with Self-Consistency Voting</w:t>
      </w:r>
    </w:p>
    <w:p>
      <w:pPr>
        <w:pStyle w:val="BodyText"/>
      </w:pPr>
      <w:r>
        <w:t xml:space="preserve">Every surviving Direct or Partial winner is submitted to a large language model equivalence judge. The production model is gpt-oss-120b at medium reasoning effort. The prompt is structured as a short system message that sets the role and a longer user message that carries the data, the decision procedure, the rules, a confidence rubric, and worked examples. For each side the judge is shown the parent unit or course identity and description, the university course year, and the skill name, description, and a short evidence excerpt, as summarised below.</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00"/>
        <w:gridCol w:w="7526"/>
      </w:tblGrid>
      <w:tr>
        <w:tc>
          <w:tcPr>
            <w:tcW w:w="1500" w:type="dxa"/>
            <w:shd w:val="clear" w:color="auto" w:fill="EDE3F5"/>
            <w:vAlign w:val="center"/>
          </w:tcPr>
          <w:p>
            <w:pPr>
              <w:pStyle w:val="TableHeading"/>
            </w:pPr>
            <w:r>
              <w:t xml:space="preserve">Side</w:t>
            </w:r>
          </w:p>
        </w:tc>
        <w:tc>
          <w:tcPr>
            <w:tcW w:w="7526" w:type="dxa"/>
            <w:shd w:val="clear" w:color="auto" w:fill="EDE3F5"/>
            <w:vAlign w:val="center"/>
          </w:tcPr>
          <w:p>
            <w:pPr>
              <w:pStyle w:val="TableHeading"/>
            </w:pPr>
            <w:r>
              <w:t xml:space="preserve">Fields supplied to the judge</w:t>
            </w:r>
          </w:p>
        </w:tc>
      </w:tr>
      <w:tr>
        <w:tc>
          <w:tcPr>
            <w:tcW w:w="1500" w:type="dxa"/>
          </w:tcPr>
          <w:p>
            <w:pPr>
              <w:pStyle w:val="TableContents"/>
            </w:pPr>
            <w:r>
              <w:t xml:space="preserve">VET</w:t>
            </w:r>
          </w:p>
        </w:tc>
        <w:tc>
          <w:tcPr>
            <w:tcW w:w="7526" w:type="dxa"/>
          </w:tcPr>
          <w:p>
            <w:pPr>
              <w:pStyle w:val="TableContents"/>
            </w:pPr>
            <w:r>
              <w:t xml:space="preserve">Parent unit code and name; parent unit description; skill name, description, and evidence (truncated to 300 characters).</w:t>
            </w:r>
          </w:p>
        </w:tc>
      </w:tr>
      <w:tr>
        <w:tc>
          <w:tcPr>
            <w:tcW w:w="1500" w:type="dxa"/>
          </w:tcPr>
          <w:p>
            <w:pPr>
              <w:pStyle w:val="TableContents"/>
            </w:pPr>
            <w:r>
              <w:t xml:space="preserve">University</w:t>
            </w:r>
          </w:p>
        </w:tc>
        <w:tc>
          <w:tcPr>
            <w:tcW w:w="7526" w:type="dxa"/>
          </w:tcPr>
          <w:p>
            <w:pPr>
              <w:pStyle w:val="TableContents"/>
            </w:pPr>
            <w:r>
              <w:t xml:space="preserve">Parent course name; parent course year (1 to 4); parent course description; skill name, description, and evidence (truncated to 300 characters).</w:t>
            </w:r>
          </w:p>
        </w:tc>
      </w:tr>
    </w:tbl>
    <w:p>
      <w:pPr>
        <w:pStyle w:val="BodyText"/>
      </w:pPr>
    </w:p>
    <w:p>
      <w:pPr>
        <w:pStyle w:val="BodyText"/>
      </w:pPr>
      <w:r>
        <w:rPr>
          <w:rStyle w:val="StrongEmphasis"/>
        </w:rPr>
        <w:t xml:space="preserve">Decision procedure. </w:t>
      </w:r>
      <w:r>
        <w:t xml:space="preserve">The user prompt first walks the judge through six orienting questions — what each parent unit or course is actually about, what concrete object each skill acts on, whether those objects are the same kind of thing, and whether the VET-trained person could perform the university task without substantial new learning — and then determines the verdict through six ordered rules.</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00"/>
        <w:gridCol w:w="5826"/>
        <w:gridCol w:w="1700"/>
      </w:tblGrid>
      <w:tr>
        <w:tc>
          <w:tcPr>
            <w:tcW w:w="1500" w:type="dxa"/>
            <w:shd w:val="clear" w:color="auto" w:fill="EDE3F5"/>
            <w:vAlign w:val="center"/>
          </w:tcPr>
          <w:p>
            <w:pPr>
              <w:pStyle w:val="TableHeading"/>
            </w:pPr>
            <w:r>
              <w:t xml:space="preserve">Rule</w:t>
            </w:r>
          </w:p>
        </w:tc>
        <w:tc>
          <w:tcPr>
            <w:tcW w:w="5826" w:type="dxa"/>
            <w:shd w:val="clear" w:color="auto" w:fill="EDE3F5"/>
            <w:vAlign w:val="center"/>
          </w:tcPr>
          <w:p>
            <w:pPr>
              <w:pStyle w:val="TableHeading"/>
            </w:pPr>
            <w:r>
              <w:t xml:space="preserve">When it fires</w:t>
            </w:r>
          </w:p>
        </w:tc>
        <w:tc>
          <w:tcPr>
            <w:tcW w:w="1700" w:type="dxa"/>
            <w:shd w:val="clear" w:color="auto" w:fill="EDE3F5"/>
            <w:vAlign w:val="center"/>
          </w:tcPr>
          <w:p>
            <w:pPr>
              <w:pStyle w:val="TableHeading"/>
            </w:pPr>
            <w:r>
              <w:t xml:space="preserve">Verdict</w:t>
            </w:r>
          </w:p>
        </w:tc>
      </w:tr>
      <w:tr>
        <w:tc>
          <w:tcPr>
            <w:tcW w:w="1500" w:type="dxa"/>
          </w:tcPr>
          <w:p>
            <w:pPr>
              <w:pStyle w:val="TableContents"/>
            </w:pPr>
            <w:r>
              <w:t xml:space="preserve">R0 portable</w:t>
            </w:r>
          </w:p>
        </w:tc>
        <w:tc>
          <w:tcPr>
            <w:tcW w:w="5826" w:type="dxa"/>
          </w:tcPr>
          <w:p>
            <w:pPr>
              <w:pStyle w:val="TableContents"/>
            </w:pPr>
            <w:r>
              <w:t xml:space="preserve">Both sides are the same genuinely portable professional skill (project planning, team collaboration, communication, stakeholder engagement, time management, report writing, presentation, meeting facilitation). Excludes domain-coloured meta-skills such as Problem Solving, Analysis, Design, Evaluation, Research, and Assessment.</w:t>
            </w:r>
          </w:p>
        </w:tc>
        <w:tc>
          <w:tcPr>
            <w:tcW w:w="1700" w:type="dxa"/>
          </w:tcPr>
          <w:p>
            <w:pPr>
              <w:pStyle w:val="TableContents"/>
            </w:pPr>
            <w:r>
              <w:t xml:space="preserve">equivalent, regardless of parent domain</w:t>
            </w:r>
          </w:p>
        </w:tc>
      </w:tr>
      <w:tr>
        <w:tc>
          <w:tcPr>
            <w:tcW w:w="1500" w:type="dxa"/>
          </w:tcPr>
          <w:p>
            <w:pPr>
              <w:pStyle w:val="TableContents"/>
            </w:pPr>
            <w:r>
              <w:t xml:space="preserve">R1 cross-domain</w:t>
            </w:r>
          </w:p>
        </w:tc>
        <w:tc>
          <w:tcPr>
            <w:tcW w:w="5826" w:type="dxa"/>
          </w:tcPr>
          <w:p>
            <w:pPr>
              <w:pStyle w:val="TableContents"/>
            </w:pPr>
            <w:r>
              <w:t xml:space="preserve">The VET unit and university course are in clearly different domains (for example, intellectual property and ethics against introductory programming). Shared words in the skill names do not rescue the pair.</w:t>
            </w:r>
          </w:p>
        </w:tc>
        <w:tc>
          <w:tcPr>
            <w:tcW w:w="1700" w:type="dxa"/>
          </w:tcPr>
          <w:p>
            <w:pPr>
              <w:pStyle w:val="TableContents"/>
            </w:pPr>
            <w:r>
              <w:t xml:space="preserve">not equivalent</w:t>
            </w:r>
          </w:p>
        </w:tc>
      </w:tr>
      <w:tr>
        <w:tc>
          <w:tcPr>
            <w:tcW w:w="1500" w:type="dxa"/>
          </w:tcPr>
          <w:p>
            <w:pPr>
              <w:pStyle w:val="TableContents"/>
            </w:pPr>
            <w:r>
              <w:t xml:space="preserve">R2 different sub-field</w:t>
            </w:r>
          </w:p>
        </w:tc>
        <w:tc>
          <w:tcPr>
            <w:tcW w:w="5826" w:type="dxa"/>
          </w:tcPr>
          <w:p>
            <w:pPr>
              <w:pStyle w:val="TableContents"/>
            </w:pPr>
            <w:r>
              <w:t xml:space="preserve">Same broad domain, but the skills act on genuinely different artefacts (documents against code, business figures against forensic disk images). Narrow: it does not fire for a different tool, protocol, or depth within one domain, which is left to R5.</w:t>
            </w:r>
          </w:p>
        </w:tc>
        <w:tc>
          <w:tcPr>
            <w:tcW w:w="1700" w:type="dxa"/>
          </w:tcPr>
          <w:p>
            <w:pPr>
              <w:pStyle w:val="TableContents"/>
            </w:pPr>
            <w:r>
              <w:t xml:space="preserve">not equivalent</w:t>
            </w:r>
          </w:p>
        </w:tc>
      </w:tr>
      <w:tr>
        <w:tc>
          <w:tcPr>
            <w:tcW w:w="1500" w:type="dxa"/>
          </w:tcPr>
          <w:p>
            <w:pPr>
              <w:pStyle w:val="TableContents"/>
            </w:pPr>
            <w:r>
              <w:t xml:space="preserve">R3 formal knowledge</w:t>
            </w:r>
          </w:p>
        </w:tc>
        <w:tc>
          <w:tcPr>
            <w:tcW w:w="5826" w:type="dxa"/>
          </w:tcPr>
          <w:p>
            <w:pPr>
              <w:pStyle w:val="TableContents"/>
            </w:pPr>
            <w:r>
              <w:t xml:space="preserve">The university skill needs a specialist body of formal knowledge the VET skill does not teach: set theory, graph theory, discrete mathematics, calculus, linear algebra, probability and statistics, algorithms and complexity, object-oriented principles, or cryptography as mathematics.</w:t>
            </w:r>
          </w:p>
        </w:tc>
        <w:tc>
          <w:tcPr>
            <w:tcW w:w="1700" w:type="dxa"/>
          </w:tcPr>
          <w:p>
            <w:pPr>
              <w:pStyle w:val="TableContents"/>
            </w:pPr>
            <w:r>
              <w:t xml:space="preserve">not equivalent</w:t>
            </w:r>
          </w:p>
        </w:tc>
      </w:tr>
      <w:tr>
        <w:tc>
          <w:tcPr>
            <w:tcW w:w="1500" w:type="dxa"/>
          </w:tcPr>
          <w:p>
            <w:pPr>
              <w:pStyle w:val="TableContents"/>
            </w:pPr>
            <w:r>
              <w:t xml:space="preserve">R4 advanced outcome</w:t>
            </w:r>
          </w:p>
        </w:tc>
        <w:tc>
          <w:tcPr>
            <w:tcW w:w="5826" w:type="dxa"/>
          </w:tcPr>
          <w:p>
            <w:pPr>
              <w:pStyle w:val="TableContents"/>
            </w:pPr>
            <w:r>
              <w:t xml:space="preserve">An advanced or later-year outcome is not rejected merely for being advanced; partial coverage of an advanced outcome is valid transfer. It is rejected only when the advanced outcome concerns something the VET skill does not address at all (pure reflective, research-design, or theory work).</w:t>
            </w:r>
          </w:p>
        </w:tc>
        <w:tc>
          <w:tcPr>
            <w:tcW w:w="1700" w:type="dxa"/>
          </w:tcPr>
          <w:p>
            <w:pPr>
              <w:pStyle w:val="TableContents"/>
            </w:pPr>
            <w:r>
              <w:t xml:space="preserve">usually equivalent</w:t>
            </w:r>
          </w:p>
        </w:tc>
      </w:tr>
      <w:tr>
        <w:tc>
          <w:tcPr>
            <w:tcW w:w="1500" w:type="dxa"/>
          </w:tcPr>
          <w:p>
            <w:pPr>
              <w:pStyle w:val="TableContents"/>
            </w:pPr>
            <w:r>
              <w:t xml:space="preserve">R5 same area keep</w:t>
            </w:r>
          </w:p>
        </w:tc>
        <w:tc>
          <w:tcPr>
            <w:tcW w:w="5826" w:type="dxa"/>
          </w:tcPr>
          <w:p>
            <w:pPr>
              <w:pStyle w:val="TableContents"/>
            </w:pPr>
            <w:r>
              <w:t xml:space="preserve">The VET unit and university course are in the same applied area and the skills are in the same subject area. Adjacent verbs and stages (assess and select, evaluate and implement, monitor and operate, troubleshoot and analyse, configure and install, policy and controls) count as capability transfer.</w:t>
            </w:r>
          </w:p>
        </w:tc>
        <w:tc>
          <w:tcPr>
            <w:tcW w:w="1700" w:type="dxa"/>
          </w:tcPr>
          <w:p>
            <w:pPr>
              <w:pStyle w:val="TableContents"/>
            </w:pPr>
            <w:r>
              <w:t xml:space="preserve">equivalent</w:t>
            </w:r>
          </w:p>
        </w:tc>
      </w:tr>
    </w:tbl>
    <w:p>
      <w:pPr>
        <w:pStyle w:val="BodyText"/>
      </w:pPr>
    </w:p>
    <w:p>
      <w:pPr>
        <w:pStyle w:val="BodyText"/>
      </w:pPr>
      <w:r>
        <w:rPr>
          <w:rStyle w:val="StrongEmphasis"/>
        </w:rPr>
        <w:t xml:space="preserve">Confidence rubric. </w:t>
      </w:r>
      <w:r>
        <w:t xml:space="preserve">The judge is asked to report confidence honestly against a fixed rubric: 0.95 to 1.00 for a definitive judgement, 0.85 to 0.94 for a clear application of a rule, 0.70 to 0.84 for a rule that fits with some ambiguity, 0.50 to 0.69 for a borderline pair, and below 0.50 when it cannot judge. Confidences below 0.70 are treated as keep downstream.</w:t>
      </w:r>
    </w:p>
    <w:p>
      <w:pPr>
        <w:pStyle w:val="BodyText"/>
      </w:pPr>
      <w:r>
        <w:rPr>
          <w:rStyle w:val="StrongEmphasis"/>
        </w:rPr>
        <w:t xml:space="preserve">Self-consistency voting. </w:t>
      </w:r>
      <w:r>
        <w:t xml:space="preserve">To damp the run-to-run nondeterminism observed under mixture-of-experts execution — measured at about a 13 percent verdict-flip rate between identical-configuration runs with a single sample — the judge runs J independent samples per pair, with a default of J = 5, at temperature 0.5, and takes the majority verdict:</w:t>
      </w:r>
    </w:p>
    <w:p>
      <w:pPr>
        <w:pStyle w:val="PreformattedText"/>
        <w:jc w:val="center"/>
      </w:pPr>
      <w:r>
        <w:t xml:space="preserve">verdict(V, U) = majority over j = 1..J of equivalent_j(V, U)</w:t>
      </w:r>
    </w:p>
    <w:p>
      <w:pPr>
        <w:pStyle w:val="BodyText"/>
      </w:pPr>
      <w:r>
        <w:t xml:space="preserve">A single sample reproduces the original single-shot, temperature-zero call exactly. A tie, which is possible only with an even J, keeps the pair, the conservative choice that avoids false rejections. The confidence is averaged over the winning side only, and the reason reported is the highest-confidence reason from that side. The audit columns record the vote split per pair, so that a five-to-zero or zero-to-five split is recognisably solid while a three-to-two split marks a genuinely borderline pair.</w:t>
      </w:r>
    </w:p>
    <w:p>
      <w:pPr>
        <w:pStyle w:val="BodyText"/>
      </w:pPr>
      <w:r>
        <w:rPr>
          <w:rStyle w:val="StrongEmphasis"/>
        </w:rPr>
        <w:t xml:space="preserve">Two-tier demotion. </w:t>
      </w:r>
      <w:r>
        <w:t xml:space="preserve">The voted verdict and averaged confidence drive the final label change through a two-tier rule:</w:t>
      </w:r>
    </w:p>
    <w:p>
      <w:pPr>
        <w:pStyle w:val="PreformattedText"/>
        <w:jc w:val="center"/>
      </w:pPr>
      <w:r>
        <w:t xml:space="preserve">m → Unmapped   if verdict = not equivalent and confidence ≥ 0.85</w:t>
      </w:r>
    </w:p>
    <w:p>
      <w:pPr>
        <w:pStyle w:val="PreformattedText"/>
        <w:jc w:val="center"/>
      </w:pPr>
      <w:r>
        <w:t xml:space="preserve">m → demote(m)  if verdict = not equivalent and 0.70 ≤ confidence &lt; 0.85</w:t>
      </w:r>
    </w:p>
    <w:p>
      <w:pPr>
        <w:pStyle w:val="PreformattedText"/>
        <w:jc w:val="center"/>
      </w:pPr>
      <w:r>
        <w:t xml:space="preserve">m unchanged    otherwise</w:t>
      </w:r>
    </w:p>
    <w:p>
      <w:pPr>
        <w:pStyle w:val="BodyText"/>
      </w:pPr>
      <w:r>
        <w:t xml:space="preserve">where demote maps Direct to Partial and Partial to Unmapped. The 0.85 rejection cutoff ensures that a confident cross-domain rejection cannot survive as a Partial merely because it began as a Direct match, while confidences below 0.70 are treated as keep, so the embedding-driven decision stands whenever the judge is unsure.</w:t>
      </w:r>
    </w:p>
    <w:p>
      <w:pPr>
        <w:pStyle w:val="Heading3"/>
      </w:pPr>
      <w:r>
        <w:t xml:space="preserve">6.4 Course-Level Score Aggregation</w:t>
      </w:r>
    </w:p>
    <w:p>
      <w:pPr>
        <w:pStyle w:val="BodyText"/>
      </w:pPr>
      <w:r>
        <w:t xml:space="preserve">This phase aggregates the surviving winners into the multidimensional headline score for a university course, combining coverage with quality, level, context, confidence, and volume sub-metrics, and applying any defensive penalties.</w:t>
      </w:r>
    </w:p>
    <w:p>
      <w:pPr>
        <w:pStyle w:val="Heading4"/>
      </w:pPr>
      <w:r>
        <w:t xml:space="preserve">6.4.1 Coverage</w:t>
      </w:r>
    </w:p>
    <w:p>
      <w:pPr>
        <w:pStyle w:val="BodyText"/>
      </w:pPr>
      <w:r>
        <w:t xml:space="preserve">After all demotions, the surviving winners of each VET skill are weighted by rank. For a VET skill with surviving winners sorted by M in descending order, the decay weight is</w:t>
      </w:r>
    </w:p>
    <w:p>
      <w:pPr>
        <w:pStyle w:val="PreformattedText"/>
        <w:jc w:val="center"/>
      </w:pPr>
      <w:r>
        <w:t xml:space="preserve">decay(V, U) = β ^ (rank_V(U) − 1),   with β = 0.7</w:t>
      </w:r>
    </w:p>
    <w:p>
      <w:pPr>
        <w:pStyle w:val="BodyText"/>
      </w:pPr>
      <w:r>
        <w:t xml:space="preserve">This yields the sequence 1.00, 0.70, 0.49, 0.343, and so on for successive wins, so that a VET skill with a single surviving winner has a decay weight of one. The decay value is used by the coverage axis only; the quality, level, and context axes are left undecayed. Each surviving winner contributes a graduated bucket value to the coverage axis, defined from the combined score relative to the two thresholds:</w:t>
      </w:r>
    </w:p>
    <w:p>
      <w:pPr>
        <w:pStyle w:val="PreformattedText"/>
        <w:jc w:val="center"/>
      </w:pPr>
      <w:r>
        <w:t xml:space="preserve">bucket(M) = 1.0                          if M ≥ T_d</w:t>
      </w:r>
    </w:p>
    <w:p>
      <w:pPr>
        <w:pStyle w:val="PreformattedText"/>
        <w:jc w:val="center"/>
      </w:pPr>
      <w:r>
        <w:t xml:space="preserve">bucket(M) = (M − T_p) / (T_d − T_p)      if T_p ≤ M &lt; T_d</w:t>
      </w:r>
    </w:p>
    <w:p>
      <w:pPr>
        <w:pStyle w:val="PreformattedText"/>
        <w:jc w:val="center"/>
      </w:pPr>
      <w:r>
        <w:t xml:space="preserve">bucket(M) = 0.0                          if M &lt; T_p</w:t>
      </w:r>
    </w:p>
    <w:p>
      <w:pPr>
        <w:pStyle w:val="BodyText"/>
      </w:pPr>
      <w:r>
        <w:t xml:space="preserve">A Direct pair therefore counts as one university outcome covered, while a Partial pair counts as a fractional outcome whose value rises linearly between the partial and direct thresholds. University coverage averages the bucket over all university skills of the course, with unmapped pairs contributing zero and surviving pairs contributing the product of bucket and decay:</w:t>
      </w:r>
    </w:p>
    <w:p>
      <w:pPr>
        <w:pStyle w:val="PreformattedText"/>
        <w:jc w:val="center"/>
      </w:pPr>
      <w:r>
        <w:t xml:space="preserve">Coverage_uni(C) = (1 / n_U) · Σ_U bucket(M(V_best(U), U)) · decay(V_best(U), U)</w:t>
      </w:r>
    </w:p>
    <w:p>
      <w:pPr>
        <w:pStyle w:val="BodyText"/>
      </w:pPr>
      <w:r>
        <w:t xml:space="preserve">VET coverage is the symmetric quantity over the n_V VET skills, where the score of a VET skill is its maximum M over all university skills:</w:t>
      </w:r>
    </w:p>
    <w:p>
      <w:pPr>
        <w:pStyle w:val="PreformattedText"/>
        <w:jc w:val="center"/>
      </w:pPr>
      <w:r>
        <w:t xml:space="preserve">Coverage_vet = (1 / n_V) · Σ_V bucket(max_U M(V, U))</w:t>
      </w:r>
    </w:p>
    <w:p>
      <w:pPr>
        <w:pStyle w:val="BodyText"/>
      </w:pPr>
      <w:r>
        <w:t xml:space="preserve">The bidirectional summary is the minimum of the two, Coverage_bi = min(Coverage_uni, Coverage_vet). Only university coverage enters the headline score; the bidirectional summary appears in the audit fields.</w:t>
      </w:r>
    </w:p>
    <w:p>
      <w:pPr>
        <w:pStyle w:val="Heading4"/>
      </w:pPr>
      <w:r>
        <w:t xml:space="preserve">6.4.2 Quality, Level, Context, and Confidence Sub-Metrics</w:t>
      </w:r>
    </w:p>
    <w:p>
      <w:pPr>
        <w:pStyle w:val="BodyText"/>
      </w:pPr>
      <w:r>
        <w:t xml:space="preserve">The quality, level, and context sub-metrics average over the surviving winners but use n_U as the denominator, so that demoted winners lower the metric by contributing zero. Let W* be the set of university skills whose winner survives as Direct or Partial. Then</w:t>
      </w:r>
    </w:p>
    <w:p>
      <w:pPr>
        <w:pStyle w:val="PreformattedText"/>
        <w:jc w:val="center"/>
      </w:pPr>
      <w:r>
        <w:t xml:space="preserve">Quality(C) = (1 / n_U) · Σ_{U ∈ W*} S(V_best(U), U)</w:t>
      </w:r>
    </w:p>
    <w:p>
      <w:pPr>
        <w:pStyle w:val="PreformattedText"/>
        <w:jc w:val="center"/>
      </w:pPr>
      <w:r>
        <w:t xml:space="preserve">Level(C)   = (1 / n_U) · Σ_{U ∈ W*} L(V_best(U), U)</w:t>
      </w:r>
    </w:p>
    <w:p>
      <w:pPr>
        <w:pStyle w:val="PreformattedText"/>
        <w:jc w:val="center"/>
      </w:pPr>
      <w:r>
        <w:t xml:space="preserve">Context(C) = (1 / n_U) · Σ_{U ∈ W*} C(V_best(U), U)</w:t>
      </w:r>
    </w:p>
    <w:p>
      <w:pPr>
        <w:pStyle w:val="BodyText"/>
      </w:pPr>
      <w:r>
        <w:t xml:space="preserve">The quality sub-metric has a legacy combined mode that substitutes M for S; the production setting is similarity-only, because the level and context dimensions already carry their own headline weights and using M here would double-count them. The confidence sub-metric is the mean of the self-reported extractor confidence over the union of surviving VET and university skills, Confidence(C) = mean{ conf(V) } ∪ { conf(U) } over survivors.</w:t>
      </w:r>
    </w:p>
    <w:p>
      <w:pPr>
        <w:pStyle w:val="Heading4"/>
      </w:pPr>
      <w:r>
        <w:t xml:space="preserve">6.4.3 Volume Gate</w:t>
      </w:r>
    </w:p>
    <w:p>
      <w:pPr>
        <w:pStyle w:val="BodyText"/>
      </w:pPr>
      <w:r>
        <w:t xml:space="preserve">The volume of learning compares VET nominal hours against the university credit-point workload, with a default conversion of 25 hours per credit point. The volume ratio is</w:t>
      </w:r>
    </w:p>
    <w:p>
      <w:pPr>
        <w:pStyle w:val="PreformattedText"/>
        <w:jc w:val="center"/>
      </w:pPr>
      <w:r>
        <w:t xml:space="preserve">volume_ratio = min(1, VET_hours / (credit_points × 25))</w:t>
      </w:r>
    </w:p>
    <w:p>
      <w:pPr>
        <w:pStyle w:val="BodyText"/>
      </w:pPr>
      <w:r>
        <w:t xml:space="preserve">If either side is missing or zero, the ratio is set to one so the gate becomes a no-op. The ratio enters the headline through a gate multiplier with floor f, default 0.5:</w:t>
      </w:r>
    </w:p>
    <w:p>
      <w:pPr>
        <w:pStyle w:val="PreformattedText"/>
        <w:jc w:val="center"/>
      </w:pPr>
      <w:r>
        <w:t xml:space="preserve">gate = f + (1 − f) · volume_ratio</w:t>
      </w:r>
    </w:p>
    <w:p>
      <w:pPr>
        <w:pStyle w:val="Heading4"/>
      </w:pPr>
      <w:r>
        <w:t xml:space="preserve">6.4.4 Base Score, Penalties, and Final Score</w:t>
      </w:r>
    </w:p>
    <w:p>
      <w:pPr>
        <w:pStyle w:val="BodyText"/>
      </w:pPr>
      <w:r>
        <w:t xml:space="preserve">Let the six headline weights be those for coverage, quality, level, context, confidence, and volume, with current values 0.40, 0.25, 0.15, 0.10, 0.05, and 0.05 respectively, summing to one. Let the total edge-case penalty lie in the unit interval. The base score, the score after penalty, and the final score are</w:t>
      </w:r>
    </w:p>
    <w:p>
      <w:pPr>
        <w:pStyle w:val="PreformattedText"/>
        <w:jc w:val="center"/>
      </w:pPr>
      <w:r>
        <w:t xml:space="preserve">base = w_cov·Coverage_uni + w_qual·Quality + w_lvl·Level</w:t>
      </w:r>
    </w:p>
    <w:p>
      <w:pPr>
        <w:pStyle w:val="PreformattedText"/>
        <w:jc w:val="center"/>
      </w:pPr>
      <w:r>
        <w:t xml:space="preserve">       + w_ctx·Context + w_conf·Confidence + w_vol·volume_ratio</w:t>
      </w:r>
    </w:p>
    <w:p>
      <w:pPr>
        <w:pStyle w:val="PreformattedText"/>
        <w:jc w:val="center"/>
      </w:pPr>
      <w:r>
        <w:t xml:space="preserve">score_after_penalty = max(0, base · (1 − penalty_total))</w:t>
      </w:r>
    </w:p>
    <w:p>
      <w:pPr>
        <w:pStyle w:val="PreformattedText"/>
        <w:jc w:val="center"/>
      </w:pPr>
      <w:r>
        <w:t xml:space="preserve">final_score(C) = score_after_penalty · gate</w:t>
      </w:r>
    </w:p>
    <w:p>
      <w:pPr>
        <w:pStyle w:val="BodyText"/>
      </w:pPr>
      <w:r>
        <w:t xml:space="preserve">The final score is the headline alignment score recorded in the recommendations output. When edge-case detection is enabled, several signals multiplicatively reduce the base score through the penalty total; edge-case detection is disabled in the production configuration, so the total penalty defaults to zero.</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00"/>
        <w:gridCol w:w="1300"/>
        <w:gridCol w:w="4826"/>
      </w:tblGrid>
      <w:tr>
        <w:tc>
          <w:tcPr>
            <w:tcW w:w="2900" w:type="dxa"/>
            <w:shd w:val="clear" w:color="auto" w:fill="EDE3F5"/>
            <w:vAlign w:val="center"/>
          </w:tcPr>
          <w:p>
            <w:pPr>
              <w:pStyle w:val="TableHeading"/>
            </w:pPr>
            <w:r>
              <w:t xml:space="preserve">Penalty</w:t>
            </w:r>
          </w:p>
        </w:tc>
        <w:tc>
          <w:tcPr>
            <w:tcW w:w="1300" w:type="dxa"/>
            <w:shd w:val="clear" w:color="auto" w:fill="EDE3F5"/>
            <w:vAlign w:val="center"/>
          </w:tcPr>
          <w:p>
            <w:pPr>
              <w:pStyle w:val="TableHeading"/>
            </w:pPr>
            <w:r>
              <w:t xml:space="preserve">Default</w:t>
            </w:r>
          </w:p>
        </w:tc>
        <w:tc>
          <w:tcPr>
            <w:tcW w:w="4826" w:type="dxa"/>
            <w:shd w:val="clear" w:color="auto" w:fill="EDE3F5"/>
            <w:vAlign w:val="center"/>
          </w:tcPr>
          <w:p>
            <w:pPr>
              <w:pStyle w:val="TableHeading"/>
            </w:pPr>
            <w:r>
              <w:t xml:space="preserve">Trigger</w:t>
            </w:r>
          </w:p>
        </w:tc>
      </w:tr>
      <w:tr>
        <w:tc>
          <w:tcPr>
            <w:tcW w:w="2900" w:type="dxa"/>
          </w:tcPr>
          <w:p>
            <w:pPr>
              <w:pStyle w:val="TableContents"/>
            </w:pPr>
            <w:r>
              <w:t xml:space="preserve">context_imbalance</w:t>
            </w:r>
          </w:p>
        </w:tc>
        <w:tc>
          <w:tcPr>
            <w:tcW w:w="1300" w:type="dxa"/>
          </w:tcPr>
          <w:p>
            <w:pPr>
              <w:pStyle w:val="TableContents"/>
            </w:pPr>
            <w:r>
              <w:t xml:space="preserve">0.10</w:t>
            </w:r>
          </w:p>
        </w:tc>
        <w:tc>
          <w:tcPr>
            <w:tcW w:w="4826" w:type="dxa"/>
          </w:tcPr>
          <w:p>
            <w:pPr>
              <w:pStyle w:val="TableContents"/>
            </w:pPr>
            <w:r>
              <w:t xml:space="preserve">Imbalance score above 0.4.</w:t>
            </w:r>
          </w:p>
        </w:tc>
      </w:tr>
      <w:tr>
        <w:tc>
          <w:tcPr>
            <w:tcW w:w="2900" w:type="dxa"/>
          </w:tcPr>
          <w:p>
            <w:pPr>
              <w:pStyle w:val="TableContents"/>
            </w:pPr>
            <w:r>
              <w:t xml:space="preserve">outdated_content</w:t>
            </w:r>
          </w:p>
        </w:tc>
        <w:tc>
          <w:tcPr>
            <w:tcW w:w="1300" w:type="dxa"/>
          </w:tcPr>
          <w:p>
            <w:pPr>
              <w:pStyle w:val="TableContents"/>
            </w:pPr>
            <w:r>
              <w:t xml:space="preserve">0.05</w:t>
            </w:r>
          </w:p>
        </w:tc>
        <w:tc>
          <w:tcPr>
            <w:tcW w:w="4826" w:type="dxa"/>
          </w:tcPr>
          <w:p>
            <w:pPr>
              <w:pStyle w:val="TableContents"/>
            </w:pPr>
            <w:r>
              <w:t xml:space="preserve">Currency issues flagged in the VET material.</w:t>
            </w:r>
          </w:p>
        </w:tc>
      </w:tr>
      <w:tr>
        <w:tc>
          <w:tcPr>
            <w:tcW w:w="2900" w:type="dxa"/>
          </w:tcPr>
          <w:p>
            <w:pPr>
              <w:pStyle w:val="TableContents"/>
            </w:pPr>
            <w:r>
              <w:t xml:space="preserve">missing_prerequisites</w:t>
            </w:r>
          </w:p>
        </w:tc>
        <w:tc>
          <w:tcPr>
            <w:tcW w:w="1300" w:type="dxa"/>
          </w:tcPr>
          <w:p>
            <w:pPr>
              <w:pStyle w:val="TableContents"/>
            </w:pPr>
            <w:r>
              <w:t xml:space="preserve">0.10</w:t>
            </w:r>
          </w:p>
        </w:tc>
        <w:tc>
          <w:tcPr>
            <w:tcW w:w="4826" w:type="dxa"/>
          </w:tcPr>
          <w:p>
            <w:pPr>
              <w:pStyle w:val="TableContents"/>
            </w:pPr>
            <w:r>
              <w:t xml:space="preserve">Mapped university outcomes have unsatisfied prerequisites.</w:t>
            </w:r>
          </w:p>
        </w:tc>
      </w:tr>
      <w:tr>
        <w:tc>
          <w:tcPr>
            <w:tcW w:w="2900" w:type="dxa"/>
          </w:tcPr>
          <w:p>
            <w:pPr>
              <w:pStyle w:val="TableContents"/>
            </w:pPr>
            <w:r>
              <w:t xml:space="preserve">large_level_gap</w:t>
            </w:r>
          </w:p>
        </w:tc>
        <w:tc>
          <w:tcPr>
            <w:tcW w:w="1300" w:type="dxa"/>
          </w:tcPr>
          <w:p>
            <w:pPr>
              <w:pStyle w:val="TableContents"/>
            </w:pPr>
            <w:r>
              <w:t xml:space="preserve">0.05</w:t>
            </w:r>
          </w:p>
        </w:tc>
        <w:tc>
          <w:tcPr>
            <w:tcW w:w="4826" w:type="dxa"/>
          </w:tcPr>
          <w:p>
            <w:pPr>
              <w:pStyle w:val="TableContents"/>
            </w:pPr>
            <w:r>
              <w:t xml:space="preserve">Mean VET and university levels differ by two or more.</w:t>
            </w:r>
          </w:p>
        </w:tc>
      </w:tr>
    </w:tbl>
    <w:p>
      <w:pPr>
        <w:pStyle w:val="BodyText"/>
      </w:pPr>
    </w:p>
    <w:p>
      <w:pPr>
        <w:pStyle w:val="Heading2"/>
      </w:pPr>
      <w:r>
        <w:t xml:space="preserve">7. Recommendation Classification</w:t>
      </w:r>
    </w:p>
    <w:p>
      <w:pPr>
        <w:pStyle w:val="BodyText"/>
      </w:pPr>
      <w:r>
        <w:t xml:space="preserve">The final score and the sub-metrics determine the recommendation bucket. A FULL recommendation requires all four floors to be cleared simultaneously:</w:t>
      </w:r>
    </w:p>
    <w:p>
      <w:pPr>
        <w:pStyle w:val="PreformattedText"/>
        <w:jc w:val="center"/>
      </w:pPr>
      <w:r>
        <w:t xml:space="preserve">FULL    if final_score ≥ 0.75 and Coverage_uni ≥ 0.70</w:t>
      </w:r>
    </w:p>
    <w:p>
      <w:pPr>
        <w:pStyle w:val="PreformattedText"/>
        <w:jc w:val="center"/>
      </w:pPr>
      <w:r>
        <w:t xml:space="preserve">           and Level ≥ 0.60 and volume_ratio ≥ 0.70</w:t>
      </w:r>
    </w:p>
    <w:p>
      <w:pPr>
        <w:pStyle w:val="PreformattedText"/>
        <w:jc w:val="center"/>
      </w:pPr>
      <w:r>
        <w:t xml:space="preserve">PARTIAL if final_score ≥ 0.45 and at least one Direct or Partial winner</w:t>
      </w:r>
    </w:p>
    <w:p>
      <w:pPr>
        <w:pStyle w:val="PreformattedText"/>
        <w:jc w:val="center"/>
      </w:pPr>
      <w:r>
        <w:t xml:space="preserve">NONE    otherwise</w:t>
      </w:r>
    </w:p>
    <w:p>
      <w:pPr>
        <w:pStyle w:val="BodyText"/>
      </w:pPr>
      <w:r>
        <w:t xml:space="preserve">In the earlier baseline these floors were 0.80 for the score and 0.75 for coverage, with the level and volume floors unchanged. They were relaxed to 0.75 and 0.70 after the La Trobe validation pass, in which a course sitting at a final score of 0.764 and a coverage of 0.748 was being held back from a FULL recommendation by two-tenths of a percentage point on the coverage floor.</w:t>
      </w:r>
    </w:p>
    <w:p>
      <w:pPr>
        <w:pStyle w:val="Heading3"/>
      </w:pPr>
      <w:r>
        <w:t xml:space="preserve">7.1 Confidence of Recommendation</w:t>
      </w:r>
    </w:p>
    <w:p>
      <w:pPr>
        <w:pStyle w:val="BodyText"/>
      </w:pPr>
      <w:r>
        <w:t xml:space="preserve">A scalar confidence in the unit interval is reported alongside the bucket, computed from the sub-metric magnitudes and the floor margins. It is presentational only and does not gate the bucket decision.</w:t>
      </w:r>
    </w:p>
    <w:p>
      <w:pPr>
        <w:pStyle w:val="Heading2"/>
      </w:pPr>
      <w:r>
        <w:t xml:space="preserve">8. Theoretical Foundation</w:t>
      </w:r>
    </w:p>
    <w:p>
      <w:pPr>
        <w:pStyle w:val="BodyText"/>
      </w:pPr>
      <w:r>
        <w:t xml:space="preserve">The framework bridges several educational taxonomies: Bloom’s taxonomy for cognitive complexity assessment [7]; the SFIA framework for individual skill proficiency levels [20]; the Australian Qualifications Framework for VET qualification standards [3]; and the European Qualifications Framework for international compatibility [10]. The distinction between study levels and SFIA skill levels is essential: study levels describe the overall educational context, whereas SFIA levels quantify the proficiency required for individual skills within that context. The use of contextualised embeddings allows the system to capture nuanced relationships between skills that keyword-based approaches miss, and the attention mechanism of the transformer architecture [22] enables an understanding of complex skill relationships within their educational context.</w:t>
      </w:r>
    </w:p>
    <w:p>
      <w:pPr>
        <w:pStyle w:val="Heading2"/>
      </w:pPr>
      <w:r>
        <w:t xml:space="preserve">9. Validation Results</w:t>
      </w:r>
    </w:p>
    <w:p>
      <w:pPr>
        <w:pStyle w:val="BodyText"/>
      </w:pPr>
      <w:r>
        <w:t xml:space="preserve">The current operating point was tuned against an 80-pair human-validated subset of the La Trobe Bachelor of Cyber Security cohort, matched against the units of a Certificate IV in Cyber Security. In this configuration the equivalence judge operates as a first-pass filter rather than a final arbiter; the metrics measured on the validation set are summarised below.</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00"/>
        <w:gridCol w:w="1300"/>
        <w:gridCol w:w="5526"/>
      </w:tblGrid>
      <w:tr>
        <w:tc>
          <w:tcPr>
            <w:tcW w:w="2200" w:type="dxa"/>
            <w:shd w:val="clear" w:color="auto" w:fill="EDE3F5"/>
            <w:vAlign w:val="center"/>
          </w:tcPr>
          <w:p>
            <w:pPr>
              <w:pStyle w:val="TableHeading"/>
            </w:pPr>
            <w:r>
              <w:t xml:space="preserve">Metric</w:t>
            </w:r>
          </w:p>
        </w:tc>
        <w:tc>
          <w:tcPr>
            <w:tcW w:w="1300" w:type="dxa"/>
            <w:shd w:val="clear" w:color="auto" w:fill="EDE3F5"/>
            <w:vAlign w:val="center"/>
          </w:tcPr>
          <w:p>
            <w:pPr>
              <w:pStyle w:val="TableHeading"/>
            </w:pPr>
            <w:r>
              <w:t xml:space="preserve">Value</w:t>
            </w:r>
          </w:p>
        </w:tc>
        <w:tc>
          <w:tcPr>
            <w:tcW w:w="5526" w:type="dxa"/>
            <w:shd w:val="clear" w:color="auto" w:fill="EDE3F5"/>
            <w:vAlign w:val="center"/>
          </w:tcPr>
          <w:p>
            <w:pPr>
              <w:pStyle w:val="TableHeading"/>
            </w:pPr>
            <w:r>
              <w:t xml:space="preserve">Interpretation</w:t>
            </w:r>
          </w:p>
        </w:tc>
      </w:tr>
      <w:tr>
        <w:tc>
          <w:tcPr>
            <w:tcW w:w="2200" w:type="dxa"/>
          </w:tcPr>
          <w:p>
            <w:pPr>
              <w:pStyle w:val="TableContents"/>
            </w:pPr>
            <w:r>
              <w:t xml:space="preserve">Keep precision</w:t>
            </w:r>
          </w:p>
        </w:tc>
        <w:tc>
          <w:tcPr>
            <w:tcW w:w="1300" w:type="dxa"/>
          </w:tcPr>
          <w:p>
            <w:pPr>
              <w:pStyle w:val="TableContents"/>
            </w:pPr>
            <w:r>
              <w:t xml:space="preserve">~93%</w:t>
            </w:r>
          </w:p>
        </w:tc>
        <w:tc>
          <w:tcPr>
            <w:tcW w:w="5526" w:type="dxa"/>
          </w:tcPr>
          <w:p>
            <w:pPr>
              <w:pStyle w:val="TableContents"/>
            </w:pPr>
            <w:r>
              <w:t xml:space="preserve">When the judge keeps a pair, the human reviewer approves it.</w:t>
            </w:r>
          </w:p>
        </w:tc>
      </w:tr>
      <w:tr>
        <w:tc>
          <w:tcPr>
            <w:tcW w:w="2200" w:type="dxa"/>
          </w:tcPr>
          <w:p>
            <w:pPr>
              <w:pStyle w:val="TableContents"/>
            </w:pPr>
            <w:r>
              <w:t xml:space="preserve">Approve recall</w:t>
            </w:r>
          </w:p>
        </w:tc>
        <w:tc>
          <w:tcPr>
            <w:tcW w:w="1300" w:type="dxa"/>
          </w:tcPr>
          <w:p>
            <w:pPr>
              <w:pStyle w:val="TableContents"/>
            </w:pPr>
            <w:r>
              <w:t xml:space="preserve">~82%</w:t>
            </w:r>
          </w:p>
        </w:tc>
        <w:tc>
          <w:tcPr>
            <w:tcW w:w="5526" w:type="dxa"/>
          </w:tcPr>
          <w:p>
            <w:pPr>
              <w:pStyle w:val="TableContents"/>
            </w:pPr>
            <w:r>
              <w:t xml:space="preserve">The judge keeps 82 percent of human-approved pairs.</w:t>
            </w:r>
          </w:p>
        </w:tc>
      </w:tr>
      <w:tr>
        <w:tc>
          <w:tcPr>
            <w:tcW w:w="2200" w:type="dxa"/>
          </w:tcPr>
          <w:p>
            <w:pPr>
              <w:pStyle w:val="TableContents"/>
            </w:pPr>
            <w:r>
              <w:t xml:space="preserve">Reject recall</w:t>
            </w:r>
          </w:p>
        </w:tc>
        <w:tc>
          <w:tcPr>
            <w:tcW w:w="1300" w:type="dxa"/>
          </w:tcPr>
          <w:p>
            <w:pPr>
              <w:pStyle w:val="TableContents"/>
            </w:pPr>
            <w:r>
              <w:t xml:space="preserve">~73%</w:t>
            </w:r>
          </w:p>
        </w:tc>
        <w:tc>
          <w:tcPr>
            <w:tcW w:w="5526" w:type="dxa"/>
          </w:tcPr>
          <w:p>
            <w:pPr>
              <w:pStyle w:val="TableContents"/>
            </w:pPr>
            <w:r>
              <w:t xml:space="preserve">The judge catches roughly three quarters of human rejections.</w:t>
            </w:r>
          </w:p>
        </w:tc>
      </w:tr>
      <w:tr>
        <w:tc>
          <w:tcPr>
            <w:tcW w:w="2200" w:type="dxa"/>
          </w:tcPr>
          <w:p>
            <w:pPr>
              <w:pStyle w:val="TableContents"/>
            </w:pPr>
            <w:r>
              <w:t xml:space="preserve">False-reject rate</w:t>
            </w:r>
          </w:p>
        </w:tc>
        <w:tc>
          <w:tcPr>
            <w:tcW w:w="1300" w:type="dxa"/>
          </w:tcPr>
          <w:p>
            <w:pPr>
              <w:pStyle w:val="TableContents"/>
            </w:pPr>
            <w:r>
              <w:t xml:space="preserve">~18%</w:t>
            </w:r>
          </w:p>
        </w:tc>
        <w:tc>
          <w:tcPr>
            <w:tcW w:w="5526" w:type="dxa"/>
          </w:tcPr>
          <w:p>
            <w:pPr>
              <w:pStyle w:val="TableContents"/>
            </w:pPr>
            <w:r>
              <w:t xml:space="preserve">The judge rejects 18 percent of human-approved pairs, mostly debatable cases.</w:t>
            </w:r>
          </w:p>
        </w:tc>
      </w:tr>
    </w:tbl>
    <w:p>
      <w:pPr>
        <w:pStyle w:val="BodyText"/>
      </w:pPr>
    </w:p>
    <w:p>
      <w:pPr>
        <w:pStyle w:val="BodyText"/>
      </w:pPr>
      <w:r>
        <w:t xml:space="preserve">Self-consistency voting was introduced in this revision to make these metrics reproducible. Identical-configuration runs with a single sample had been flipping about 13 percent of verdicts between runs; raising the sample count to five is expected to reduce that variance substantially.</w:t>
      </w:r>
    </w:p>
    <w:p>
      <w:pPr>
        <w:pStyle w:val="BodyText"/>
      </w:pPr>
      <w:r>
        <w:t xml:space="preserve">Two classes of residual error were identified and retained as known limitations. The first concerns depth and sequencing rejections — for example, that a recommendation step properly follows a testing step, or that a university course treats a static case where the VET unit teaches a dynamic one — which often depend on detail the human reviewer holds but that is not present in the per-skill evidence the judge reads. The second concerns domain-coloured generic skills, such as Problem Solving in mathematics against Problem Solving in security, or Risk Assessment against Risk Management, which are deliberately excluded from the portability rule because their meaning depends on the parent unit, and a hard rule that catches them tends to over-fire on legitimate same-domain pairs. Attempts to encode both classes as additional rules, including an explicit generic-capability-against-specific-object rule and feeding the full performance criteria and learning outcomes into the judge, each showed measurable precision losses and were reverted.</w:t>
      </w:r>
    </w:p>
    <w:p>
      <w:pPr>
        <w:pStyle w:val="Heading2"/>
      </w:pPr>
      <w:r>
        <w:t xml:space="preserve">10. Conclusion</w:t>
      </w:r>
    </w:p>
    <w:p>
      <w:pPr>
        <w:pStyle w:val="BodyText"/>
      </w:pPr>
      <w:r>
        <w:t xml:space="preserve">This report has specified the direct one-vs-all matching strategy used in production by an automated credit transfer recommender, documenting every coefficient, threshold, and decision rule that affects the headline alignment score. By treating each university outcome as an independent unit of decision and pairing it with its best partner from the full pool of VET skills, the strategy produces transparent and defensible recommendations. A layered sequence of deterministic guards and a six-rule large language model equivalence judge, run under self-consistency voting to damp model nondeterminism, progressively refine candidate matches before a multidimensional headline score is aggregated and classified into FULL, PARTIAL, or NONE. Validation against the human-reviewed La Trobe cohort places keep precision at roughly 93 percent with the judge acting as a first-pass filter. The modular architecture supports integration with various embedding models and language model backends, allowing institutions to optimise for their requirements regarding accuracy, throughput, and data privacy, and has the potential to streamline credit transfer processes, improve the consistency of recognition of prior learning, and enhance educational mobility for students transitioning between the vocational and higher education sectors.</w:t>
      </w:r>
    </w:p>
    <w:p>
      <w:pPr>
        <w:pStyle w:val="Heading2"/>
      </w:pPr>
      <w:r>
        <w:t xml:space="preserve">References</w:t>
      </w:r>
    </w:p>
    <w:p>
      <w:pPr>
        <w:pStyle w:val="BodyText"/>
      </w:pPr>
      <w:r>
        <w:t xml:space="preserve">[1] Pitman, T., Trinidad, S., Devlin, M., Harvey, A., Brett, M., &amp; McKay, J. (2019). Recognition of prior learning in Australian higher education. </w:t>
      </w:r>
      <w:r>
        <w:rPr>
          <w:rStyle w:val="Emphasis"/>
        </w:rPr>
        <w:t xml:space="preserve">Journal of Higher Education Policy and Management</w:t>
      </w:r>
      <w:r>
        <w:t xml:space="preserve">, 41(4), 383-398.</w:t>
      </w:r>
    </w:p>
    <w:p>
      <w:pPr>
        <w:pStyle w:val="BodyText"/>
      </w:pPr>
      <w:r>
        <w:t xml:space="preserve">[2] Cameron, R. (2011). Australia's qualification framework: Analysis of its impact and issues. </w:t>
      </w:r>
      <w:r>
        <w:rPr>
          <w:rStyle w:val="Emphasis"/>
        </w:rPr>
        <w:t xml:space="preserve">International Journal of Training Research</w:t>
      </w:r>
      <w:r>
        <w:t xml:space="preserve">, 9(1-2), 3-16.</w:t>
      </w:r>
    </w:p>
    <w:p>
      <w:pPr>
        <w:pStyle w:val="BodyText"/>
      </w:pPr>
      <w:r>
        <w:t xml:space="preserve">[3] Australian Qualifications Framework Council (2013). </w:t>
      </w:r>
      <w:r>
        <w:rPr>
          <w:rStyle w:val="Emphasis"/>
        </w:rPr>
        <w:t xml:space="preserve">Australian Qualifications Framework</w:t>
      </w:r>
      <w:r>
        <w:t xml:space="preserve">. 2nd ed. South Australia: Australian Qualifications Framework Council.</w:t>
      </w:r>
    </w:p>
    <w:p>
      <w:pPr>
        <w:pStyle w:val="BodyText"/>
      </w:pPr>
      <w:r>
        <w:t xml:space="preserve">[4] Wheelahan, L., &amp; Moodie, G. (2015). </w:t>
      </w:r>
      <w:r>
        <w:rPr>
          <w:rStyle w:val="Emphasis"/>
        </w:rPr>
        <w:t xml:space="preserve">Rethinking skills in vocational education and training: From competencies to capabilities</w:t>
      </w:r>
      <w:r>
        <w:t xml:space="preserve">. Sydney: NSW Department of Education.</w:t>
      </w:r>
    </w:p>
    <w:p>
      <w:pPr>
        <w:pStyle w:val="BodyText"/>
      </w:pPr>
      <w:r>
        <w:t xml:space="preserve">[5] Moodie, G. (2013). Variations in student pathways through vocational education and training and higher education. </w:t>
      </w:r>
      <w:r>
        <w:rPr>
          <w:rStyle w:val="Emphasis"/>
        </w:rPr>
        <w:t xml:space="preserve">International Journal of Training Research</w:t>
      </w:r>
      <w:r>
        <w:t xml:space="preserve">, 11(2), 159-171.</w:t>
      </w:r>
    </w:p>
    <w:p>
      <w:pPr>
        <w:pStyle w:val="BodyText"/>
      </w:pPr>
      <w:r>
        <w:t xml:space="preserve">[6] Harris, R., Rainey, L., &amp; Sumner, R. (2011). </w:t>
      </w:r>
      <w:r>
        <w:rPr>
          <w:rStyle w:val="Emphasis"/>
        </w:rPr>
        <w:t xml:space="preserve">Crazy paving or stepping stones? Learning pathways within and between vocational education and training and higher education</w:t>
      </w:r>
      <w:r>
        <w:t xml:space="preserve">. Adelaide: NCVER.</w:t>
      </w:r>
    </w:p>
    <w:p>
      <w:pPr>
        <w:pStyle w:val="BodyText"/>
      </w:pPr>
      <w:r>
        <w:t xml:space="preserve">[7] Bloom, B. S., Engelhart, M. D., Furst, E. J., Hill, W. H., &amp; Krathwohl, D. R. (1956). </w:t>
      </w:r>
      <w:r>
        <w:rPr>
          <w:rStyle w:val="Emphasis"/>
        </w:rPr>
        <w:t xml:space="preserve">Taxonomy of educational objectives: The classification of educational goals. Handbook I: Cognitive domain</w:t>
      </w:r>
      <w:r>
        <w:t xml:space="preserve">. New York: David McKay Company.</w:t>
      </w:r>
    </w:p>
    <w:p>
      <w:pPr>
        <w:pStyle w:val="BodyText"/>
      </w:pPr>
      <w:r>
        <w:t xml:space="preserve">[8] Kivimäki, I., Panchenko, A., Dessy, A., Verdegem, D., Francq, P., Bersini, H., &amp; Saerens, M. (2013). A graph-based approach to skill extraction from text. </w:t>
      </w:r>
      <w:r>
        <w:rPr>
          <w:rStyle w:val="Emphasis"/>
        </w:rPr>
        <w:t xml:space="preserve">Proceedings of TextGraphs-8</w:t>
      </w:r>
      <w:r>
        <w:t xml:space="preserve">, 79-87.</w:t>
      </w:r>
    </w:p>
    <w:p>
      <w:pPr>
        <w:pStyle w:val="BodyText"/>
      </w:pPr>
      <w:r>
        <w:t xml:space="preserve">[9] Zhao, M., Javed, F., Jacob, F., &amp; McNair, M. (2015). SKILL: A system for skill identification and normalization. </w:t>
      </w:r>
      <w:r>
        <w:rPr>
          <w:rStyle w:val="Emphasis"/>
        </w:rPr>
        <w:t xml:space="preserve">Proceedings of AAAI</w:t>
      </w:r>
      <w:r>
        <w:t xml:space="preserve">, 4012-4017.</w:t>
      </w:r>
    </w:p>
    <w:p>
      <w:pPr>
        <w:pStyle w:val="BodyText"/>
      </w:pPr>
      <w:r>
        <w:t xml:space="preserve">[10] European Commission (2017). </w:t>
      </w:r>
      <w:r>
        <w:rPr>
          <w:rStyle w:val="Emphasis"/>
        </w:rPr>
        <w:t xml:space="preserve">The European Qualifications Framework for lifelong learning</w:t>
      </w:r>
      <w:r>
        <w:t xml:space="preserve">. Luxembourg: Publications Office of the European Union.</w:t>
      </w:r>
    </w:p>
    <w:p>
      <w:pPr>
        <w:pStyle w:val="BodyText"/>
      </w:pPr>
      <w:r>
        <w:t xml:space="preserve">[11] Zhang, Y., Yang, F., &amp; Liu, B. (2022). SkillSpan: Hard and soft skill extraction from job postings. </w:t>
      </w:r>
      <w:r>
        <w:rPr>
          <w:rStyle w:val="Emphasis"/>
        </w:rPr>
        <w:t xml:space="preserve">Proceedings of NAACL 2022</w:t>
      </w:r>
      <w:r>
        <w:t xml:space="preserve">, 4962-4984.</w:t>
      </w:r>
    </w:p>
    <w:p>
      <w:pPr>
        <w:pStyle w:val="BodyText"/>
      </w:pPr>
      <w:r>
        <w:t xml:space="preserve">[12] Bhola, A., Halder, K., Prasad, A., &amp; Kan, M. Y. (2020). Retrieving skills from job descriptions: A language model based extreme multi-label classification framework. </w:t>
      </w:r>
      <w:r>
        <w:rPr>
          <w:rStyle w:val="Emphasis"/>
        </w:rPr>
        <w:t xml:space="preserve">Proceedings of COLING 2020</w:t>
      </w:r>
      <w:r>
        <w:t xml:space="preserve">, 5832-5842.</w:t>
      </w:r>
    </w:p>
    <w:p>
      <w:pPr>
        <w:pStyle w:val="BodyText"/>
      </w:pPr>
      <w:r>
        <w:t xml:space="preserve">[13] Reimers, N., &amp; Gurevych, I. (2019). Sentence-BERT: Sentence embeddings using Siamese BERT-networks. </w:t>
      </w:r>
      <w:r>
        <w:rPr>
          <w:rStyle w:val="Emphasis"/>
        </w:rPr>
        <w:t xml:space="preserve">Proceedings of EMNLP-IJCNLP 2019</w:t>
      </w:r>
      <w:r>
        <w:t xml:space="preserve">, 3982-3992.</w:t>
      </w:r>
    </w:p>
    <w:p>
      <w:pPr>
        <w:pStyle w:val="BodyText"/>
      </w:pPr>
      <w:r>
        <w:t xml:space="preserve">[14] Günther, M., Xiao, B., Colavizza, G., Macke, S., &amp; Marsman, N. (2023). Jina Embeddings: A novel set of high-performance sentence embedding models. </w:t>
      </w:r>
      <w:r>
        <w:rPr>
          <w:rStyle w:val="Emphasis"/>
        </w:rPr>
        <w:t xml:space="preserve">arXiv preprint arXiv:2307.11224</w:t>
      </w:r>
      <w:r>
        <w:t xml:space="preserve">.</w:t>
      </w:r>
    </w:p>
    <w:p>
      <w:pPr>
        <w:pStyle w:val="BodyText"/>
      </w:pPr>
      <w:r>
        <w:t xml:space="preserve">[15] Ester, M., Kriegel, H. P., Sander, J., &amp; Xu, X. (1996). A density-based algorithm for discovering clusters in large spatial databases with noise. </w:t>
      </w:r>
      <w:r>
        <w:rPr>
          <w:rStyle w:val="Emphasis"/>
        </w:rPr>
        <w:t xml:space="preserve">Proceedings of KDD</w:t>
      </w:r>
      <w:r>
        <w:t xml:space="preserve">, 96(34), 226-231.</w:t>
      </w:r>
    </w:p>
    <w:p>
      <w:pPr>
        <w:pStyle w:val="BodyText"/>
      </w:pPr>
      <w:r>
        <w:t xml:space="preserve">[16] Müllner, D. (2011). Modern hierarchical, agglomerative clustering algorithms. </w:t>
      </w:r>
      <w:r>
        <w:rPr>
          <w:rStyle w:val="Emphasis"/>
        </w:rPr>
        <w:t xml:space="preserve">arXiv preprint arXiv:1109.2378</w:t>
      </w:r>
      <w:r>
        <w:t xml:space="preserve">.</w:t>
      </w:r>
    </w:p>
    <w:p>
      <w:pPr>
        <w:pStyle w:val="BodyText"/>
      </w:pPr>
      <w:r>
        <w:t xml:space="preserve">[17] European Commission. (2015). </w:t>
      </w:r>
      <w:r>
        <w:rPr>
          <w:rStyle w:val="Emphasis"/>
        </w:rPr>
        <w:t xml:space="preserve">ECTS Users' Guide</w:t>
      </w:r>
      <w:r>
        <w:t xml:space="preserve">. Publications Office of the European Union.</w:t>
      </w:r>
    </w:p>
    <w:p>
      <w:pPr>
        <w:pStyle w:val="BodyText"/>
      </w:pPr>
      <w:r>
        <w:t xml:space="preserve">[18] TAFE NSW. (2018). </w:t>
      </w:r>
      <w:r>
        <w:rPr>
          <w:rStyle w:val="Emphasis"/>
        </w:rPr>
        <w:t xml:space="preserve">Credit Transfer Assessment Tool (CTAT) User Guide</w:t>
      </w:r>
      <w:r>
        <w:t xml:space="preserve">. TAFE NSW.</w:t>
      </w:r>
    </w:p>
    <w:p>
      <w:pPr>
        <w:pStyle w:val="BodyText"/>
      </w:pPr>
      <w:r>
        <w:t xml:space="preserve">[19] Smith, J., Brown, K., &amp; Wilson, R. (2021). Ontology-based reasoning for automated credit transfer in Australian higher education. </w:t>
      </w:r>
      <w:r>
        <w:rPr>
          <w:rStyle w:val="Emphasis"/>
        </w:rPr>
        <w:t xml:space="preserve">Computers &amp; Education</w:t>
      </w:r>
      <w:r>
        <w:t xml:space="preserve">, 170, 104-117.</w:t>
      </w:r>
    </w:p>
    <w:p>
      <w:pPr>
        <w:pStyle w:val="BodyText"/>
      </w:pPr>
      <w:r>
        <w:t xml:space="preserve">[20] SFIA Foundation (2021). </w:t>
      </w:r>
      <w:r>
        <w:rPr>
          <w:rStyle w:val="Emphasis"/>
        </w:rPr>
        <w:t xml:space="preserve">Skills Framework for the Information Age</w:t>
      </w:r>
      <w:r>
        <w:t xml:space="preserve">. Version 8. London: SFIA Foundation.</w:t>
      </w:r>
    </w:p>
    <w:p>
      <w:pPr>
        <w:pStyle w:val="BodyText"/>
      </w:pPr>
      <w:r>
        <w:t xml:space="preserve">[21] Wei, J., Wang, X., Schuurmans, D., Bosma, M., Ichter, B., Xia, F., Chi, E., Le, Q., &amp; Zhou, D. (2022). Chain-of-thought prompting elicits reasoning in large language models. </w:t>
      </w:r>
      <w:r>
        <w:rPr>
          <w:rStyle w:val="Emphasis"/>
        </w:rPr>
        <w:t xml:space="preserve">Advances in Neural Information Processing Systems</w:t>
      </w:r>
      <w:r>
        <w:t xml:space="preserve">, 35, 24824-24837.</w:t>
      </w:r>
    </w:p>
    <w:p>
      <w:pPr>
        <w:pStyle w:val="BodyText"/>
      </w:pPr>
      <w:r>
        <w:t xml:space="preserve">[22] Vaswani, A., Shazeer, N., Parmar, N., Uszkoreit, J., Jones, L., Gomez, A. N., Kaiser, Ł., &amp; Polosukhin, I. (2017). Attention is all you need. </w:t>
      </w:r>
      <w:r>
        <w:rPr>
          <w:rStyle w:val="Emphasis"/>
        </w:rPr>
        <w:t xml:space="preserve">Advances in Neural Information Processing Systems</w:t>
      </w:r>
      <w:r>
        <w:t xml:space="preserve">, 5998-6008.</w:t>
      </w:r>
    </w:p>
    <w:p>
      <w:pPr>
        <w:pStyle w:val="Heading2"/>
      </w:pPr>
      <w:r>
        <w:t xml:space="preserve">Appendix A. Configuration</w:t>
      </w:r>
    </w:p>
    <w:p>
      <w:pPr>
        <w:pStyle w:val="BodyText"/>
      </w:pPr>
      <w:r>
        <w:t xml:space="preserve">Every numeric coefficient cited above is set in the production configuration file. The current production values are reproduced below.</w:t>
      </w:r>
    </w:p>
    <w:p>
      <w:pPr>
        <w:pStyle w:val="PreformattedText"/>
      </w:pPr>
      <w:r>
        <w:t xml:space="preserve">scoring:</w:t>
      </w:r>
    </w:p>
    <w:p>
      <w:pPr>
        <w:pStyle w:val="PreformattedText"/>
      </w:pPr>
      <w:r>
        <w:t xml:space="preserve">  combined_similarity_weight: 0.60</w:t>
      </w:r>
    </w:p>
    <w:p>
      <w:pPr>
        <w:pStyle w:val="PreformattedText"/>
      </w:pPr>
      <w:r>
        <w:t xml:space="preserve">  combined_level_weight:      0.25</w:t>
      </w:r>
    </w:p>
    <w:p>
      <w:pPr>
        <w:pStyle w:val="PreformattedText"/>
      </w:pPr>
      <w:r>
        <w:t xml:space="preserve">  combined_context_weight:    0.15</w:t>
      </w:r>
    </w:p>
    <w:p>
      <w:pPr>
        <w:pStyle w:val="PreformattedText"/>
      </w:pPr>
      <w:r>
        <w:t xml:space="preserve">  direct_threshold:           0.87</w:t>
      </w:r>
    </w:p>
    <w:p>
      <w:pPr>
        <w:pStyle w:val="PreformattedText"/>
      </w:pPr>
      <w:r>
        <w:t xml:space="preserve">  partial_threshold:          0.78</w:t>
      </w:r>
    </w:p>
    <w:p>
      <w:pPr>
        <w:pStyle w:val="PreformattedText"/>
      </w:pPr>
      <w:r>
        <w:t xml:space="preserve">  use_graduated_coverage:     true</w:t>
      </w:r>
    </w:p>
    <w:p>
      <w:pPr>
        <w:pStyle w:val="PreformattedText"/>
      </w:pPr>
      <w:r>
        <w:t xml:space="preserve">  partial_bucket:             0.5</w:t>
      </w:r>
    </w:p>
    <w:p>
      <w:pPr>
        <w:pStyle w:val="PreformattedText"/>
      </w:pPr>
      <w:r>
        <w:t xml:space="preserve">  quality_formulation:        similarity_only</w:t>
      </w:r>
    </w:p>
    <w:p>
      <w:pPr>
        <w:pStyle w:val="PreformattedText"/>
      </w:pPr>
      <w:r>
        <w:t xml:space="preserve">  weight_coverage:            0.40</w:t>
      </w:r>
    </w:p>
    <w:p>
      <w:pPr>
        <w:pStyle w:val="PreformattedText"/>
      </w:pPr>
      <w:r>
        <w:t xml:space="preserve">  weight_quality:             0.25</w:t>
      </w:r>
    </w:p>
    <w:p>
      <w:pPr>
        <w:pStyle w:val="PreformattedText"/>
      </w:pPr>
      <w:r>
        <w:t xml:space="preserve">  weight_level:               0.15</w:t>
      </w:r>
    </w:p>
    <w:p>
      <w:pPr>
        <w:pStyle w:val="PreformattedText"/>
      </w:pPr>
      <w:r>
        <w:t xml:space="preserve">  weight_context:             0.10</w:t>
      </w:r>
    </w:p>
    <w:p>
      <w:pPr>
        <w:pStyle w:val="PreformattedText"/>
      </w:pPr>
      <w:r>
        <w:t xml:space="preserve">  weight_confidence:          0.05</w:t>
      </w:r>
    </w:p>
    <w:p>
      <w:pPr>
        <w:pStyle w:val="PreformattedText"/>
      </w:pPr>
      <w:r>
        <w:t xml:space="preserve">  weight_volume:              0.05</w:t>
      </w:r>
    </w:p>
    <w:p>
      <w:pPr>
        <w:pStyle w:val="PreformattedText"/>
      </w:pPr>
      <w:r>
        <w:t xml:space="preserve">  use_volume_gate:            true</w:t>
      </w:r>
    </w:p>
    <w:p>
      <w:pPr>
        <w:pStyle w:val="PreformattedText"/>
      </w:pPr>
      <w:r>
        <w:t xml:space="preserve">  hours_per_credit_point:     25.0</w:t>
      </w:r>
    </w:p>
    <w:p>
      <w:pPr>
        <w:pStyle w:val="PreformattedText"/>
      </w:pPr>
      <w:r>
        <w:t xml:space="preserve">  volume_gate_floor:          0.5</w:t>
      </w:r>
    </w:p>
    <w:p>
      <w:pPr>
        <w:pStyle w:val="PreformattedText"/>
      </w:pPr>
      <w:r>
        <w:t xml:space="preserve">  level_compat_curve:         [1.0, 0.75, 0.5, 0.2, 0.0]</w:t>
      </w:r>
    </w:p>
    <w:p>
      <w:pPr>
        <w:pStyle w:val="PreformattedText"/>
      </w:pPr>
      <w:r>
        <w:t xml:space="preserve">  full_score_floor:           0.75</w:t>
      </w:r>
    </w:p>
    <w:p>
      <w:pPr>
        <w:pStyle w:val="PreformattedText"/>
      </w:pPr>
      <w:r>
        <w:t xml:space="preserve">  full_coverage_floor:        0.70</w:t>
      </w:r>
    </w:p>
    <w:p>
      <w:pPr>
        <w:pStyle w:val="PreformattedText"/>
      </w:pPr>
      <w:r>
        <w:t xml:space="preserve">  full_level_floor:           0.60</w:t>
      </w:r>
    </w:p>
    <w:p>
      <w:pPr>
        <w:pStyle w:val="PreformattedText"/>
      </w:pPr>
      <w:r>
        <w:t xml:space="preserve">  full_volume_floor:          0.70</w:t>
      </w:r>
    </w:p>
    <w:p>
      <w:pPr>
        <w:pStyle w:val="PreformattedText"/>
      </w:pPr>
      <w:r>
        <w:t xml:space="preserve">  partial_score_floor:        0.45</w:t>
      </w:r>
    </w:p>
    <w:p>
      <w:pPr>
        <w:pStyle w:val="PreformattedText"/>
      </w:pPr>
      <w:r>
        <w:t xml:space="preserve"/>
      </w:r>
    </w:p>
    <w:p>
      <w:pPr>
        <w:pStyle w:val="PreformattedText"/>
      </w:pPr>
      <w:r>
        <w:t xml:space="preserve">analyze:</w:t>
      </w:r>
    </w:p>
    <w:p>
      <w:pPr>
        <w:pStyle w:val="PreformattedText"/>
      </w:pPr>
      <w:r>
        <w:t xml:space="preserve">  exclude_skill_flags:         []   # e.g. [is_duplicate, is_out_of_scope]</w:t>
      </w:r>
    </w:p>
    <w:p>
      <w:pPr>
        <w:pStyle w:val="PreformattedText"/>
      </w:pPr>
      <w:r>
        <w:t xml:space="preserve">  identical_name_direct_floor: true</w:t>
      </w:r>
    </w:p>
    <w:p>
      <w:pPr>
        <w:pStyle w:val="PreformattedText"/>
      </w:pPr>
      <w:r>
        <w:t xml:space="preserve">  max_winners_per_vet:         3</w:t>
      </w:r>
    </w:p>
    <w:p>
      <w:pPr>
        <w:pStyle w:val="PreformattedText"/>
      </w:pPr>
      <w:r>
        <w:t xml:space="preserve">  coverage_decay_enabled:      true</w:t>
      </w:r>
    </w:p>
    <w:p>
      <w:pPr>
        <w:pStyle w:val="PreformattedText"/>
      </w:pPr>
      <w:r>
        <w:t xml:space="preserve">  coverage_decay_base:         0.7</w:t>
      </w:r>
    </w:p>
    <w:p>
      <w:pPr>
        <w:pStyle w:val="PreformattedText"/>
      </w:pPr>
      <w:r>
        <w:t xml:space="preserve">  genai_validate:              true</w:t>
      </w:r>
    </w:p>
    <w:p>
      <w:pPr>
        <w:pStyle w:val="PreformattedText"/>
      </w:pPr>
      <w:r>
        <w:t xml:space="preserve">  genai_demote_confidence_threshold: 0.70</w:t>
      </w:r>
    </w:p>
    <w:p>
      <w:pPr>
        <w:pStyle w:val="PreformattedText"/>
      </w:pPr>
      <w:r>
        <w:t xml:space="preserve">  genai_reject_confidence_threshold: 0.85</w:t>
      </w:r>
    </w:p>
    <w:p>
      <w:pPr>
        <w:pStyle w:val="PreformattedText"/>
      </w:pPr>
      <w:r>
        <w:t xml:space="preserve">  genai_validate_votes:        5    # self-consistency voting (J)</w:t>
      </w:r>
    </w:p>
    <w:p>
      <w:pPr>
        <w:pStyle w:val="PreformattedText"/>
      </w:pPr>
      <w:r>
        <w:t xml:space="preserve">  genai_validate_vote_temperature: 0.5</w:t>
      </w:r>
    </w:p>
    <w:p>
      <w:pPr>
        <w:pStyle w:val="PreformattedText"/>
      </w:pPr>
      <w:r>
        <w:t xml:space="preserve"/>
      </w:r>
    </w:p>
    <w:p>
      <w:pPr>
        <w:pStyle w:val="PreformattedText"/>
      </w:pPr>
      <w:r>
        <w:t xml:space="preserve">refine:</w:t>
      </w:r>
    </w:p>
    <w:p>
      <w:pPr>
        <w:pStyle w:val="PreformattedText"/>
      </w:pPr>
      <w:r>
        <w:t xml:space="preserve">  enabled:              true</w:t>
      </w:r>
    </w:p>
    <w:p>
      <w:pPr>
        <w:pStyle w:val="PreformattedText"/>
      </w:pPr>
      <w:r>
        <w:t xml:space="preserve">  sides:                [vet, uni]</w:t>
      </w:r>
    </w:p>
    <w:p>
      <w:pPr>
        <w:pStyle w:val="PreformattedText"/>
      </w:pPr>
      <w:r>
        <w:t xml:space="preserve">  batch_size:           20</w:t>
      </w:r>
    </w:p>
    <w:p>
      <w:pPr>
        <w:pStyle w:val="PreformattedText"/>
      </w:pPr>
      <w:r>
        <w:t xml:space="preserve">  apply_style:          true</w:t>
      </w:r>
    </w:p>
    <w:p>
      <w:pPr>
        <w:pStyle w:val="PreformattedText"/>
      </w:pPr>
      <w:r>
        <w:t xml:space="preserve">  fill_gap:             true</w:t>
      </w:r>
    </w:p>
    <w:p>
      <w:pPr>
        <w:pStyle w:val="PreformattedText"/>
      </w:pPr>
      <w:r>
        <w:t xml:space="preserve">  grounded_name_refine: false</w:t>
      </w:r>
    </w:p>
    <w:p>
      <w:pPr>
        <w:pStyle w:val="Heading2"/>
      </w:pPr>
      <w:r>
        <w:t xml:space="preserve">Appendix B. Output Artefacts</w:t>
      </w:r>
    </w:p>
    <w:p>
      <w:pPr>
        <w:pStyle w:val="BodyText"/>
      </w:pPr>
      <w:r>
        <w:t xml:space="preserve">After processing every university course in the qualification, the recommender writes three artefacts:</w:t>
      </w:r>
    </w:p>
    <w:p>
      <w:pPr>
        <w:pStyle w:val="BodyText"/>
      </w:pPr>
      <w:r>
        <w:t xml:space="preserve">• </w:t>
      </w:r>
      <w:r>
        <w:rPr>
          <w:rStyle w:val="StrongEmphasis"/>
        </w:rPr>
        <w:t xml:space="preserve">Recommendations file</w:t>
      </w:r>
      <w:r>
        <w:t xml:space="preserve">: one recommendation per university course, recording its matched VET units, score, type, confidence, evidence lines, gaps, and a generated rationale.</w:t>
      </w:r>
    </w:p>
    <w:p>
      <w:pPr>
        <w:pStyle w:val="BodyText"/>
      </w:pPr>
      <w:r>
        <w:t xml:space="preserve">• </w:t>
      </w:r>
      <w:r>
        <w:rPr>
          <w:rStyle w:val="StrongEmphasis"/>
        </w:rPr>
        <w:t xml:space="preserve">Per-candidate-pair audit table</w:t>
      </w:r>
      <w:r>
        <w:t xml:space="preserve">: the raw similarity, level, and context values, the combined score, the classification, any guard demotions, the judge verdict and confidence, the per-pair vote split, and the decay weight for every candidate pair.</w:t>
      </w:r>
    </w:p>
    <w:p>
      <w:pPr>
        <w:pStyle w:val="BodyText"/>
      </w:pPr>
      <w:r>
        <w:t xml:space="preserve">• </w:t>
      </w:r>
      <w:r>
        <w:rPr>
          <w:rStyle w:val="StrongEmphasis"/>
        </w:rPr>
        <w:t xml:space="preserve">Per-winning-pair spreadsheet</w:t>
      </w:r>
      <w:r>
        <w:t xml:space="preserve">: a reviewer-facing table of the winning pairs that also surfaces the refiner and differentiation audit flags.</w:t>
      </w:r>
    </w:p>
    <w:p>
      <w:pPr>
        <w:pStyle w:val="BodyText"/>
      </w:pPr>
      <w:r>
        <w:t xml:space="preserve">• </w:t>
      </w:r>
      <w:r>
        <w:rPr>
          <w:rStyle w:val="StrongEmphasis"/>
        </w:rPr>
        <w:t xml:space="preserve">Per-course overview page</w:t>
      </w:r>
      <w:r>
        <w:t xml:space="preserve">: an HTML page per course presenting a score gauge and a skill-to-skill match table, with columns for the VET unit, VET skill, university skill, combined score, similarity, level, and context.</w:t>
      </w:r>
    </w:p>
    <w:p w14:paraId="4B314EBE" w14:textId="36C1CC1E" w:rsidR="009D0693" w:rsidRDefault="009D0693" w:rsidP="00C02135">
      <w:pPr>
        <w:pStyle w:val="Heading1"/>
        <w:rPr>
          <w:b w:val="0"/>
          <w:bCs/>
        </w:rPr>
      </w:pPr>
    </w:p>
    <w:sectPr w:rsidR="009D0693" w:rsidSect="00083B07">
      <w:type w:val="continuous"/>
      <w:pgSz w:w="11906" w:h="16838"/>
      <w:pgMar w:top="1276" w:right="1440" w:bottom="1134" w:left="1440" w:header="0" w:footer="53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0407" w14:textId="77777777" w:rsidR="00DD0CEA" w:rsidRDefault="00DD0CEA" w:rsidP="008C0056">
      <w:r>
        <w:separator/>
      </w:r>
    </w:p>
  </w:endnote>
  <w:endnote w:type="continuationSeparator" w:id="0">
    <w:p w14:paraId="36C10BE7" w14:textId="77777777" w:rsidR="00DD0CEA" w:rsidRDefault="00DD0CEA" w:rsidP="008C0056">
      <w:r>
        <w:continuationSeparator/>
      </w:r>
    </w:p>
  </w:endnote>
  <w:endnote w:type="continuationNotice" w:id="1">
    <w:p w14:paraId="3DFC6B13" w14:textId="77777777" w:rsidR="00DD0CEA" w:rsidRDefault="00DD0CEA" w:rsidP="008C00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350B" w14:textId="77777777" w:rsidR="002A7CAE" w:rsidRDefault="002A7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053515"/>
      <w:docPartObj>
        <w:docPartGallery w:val="Page Numbers (Bottom of Page)"/>
        <w:docPartUnique/>
      </w:docPartObj>
    </w:sdtPr>
    <w:sdtEndPr>
      <w:rPr>
        <w:noProof/>
      </w:rPr>
    </w:sdtEndPr>
    <w:sdtContent>
      <w:p w14:paraId="1DE9E510" w14:textId="3A8643E8" w:rsidR="003708C1" w:rsidRPr="00991526" w:rsidRDefault="00051CBE" w:rsidP="00991526">
        <w:pPr>
          <w:pStyle w:val="Footer"/>
        </w:pPr>
        <w:r w:rsidRPr="00991526">
          <w:t xml:space="preserve">Jobs and Skills Australia – </w:t>
        </w:r>
        <w:sdt>
          <w:sdtPr>
            <w:alias w:val="Title"/>
            <w:tag w:val=""/>
            <w:id w:val="-1056470111"/>
            <w:placeholder>
              <w:docPart w:val="E4DB317D2DA340B1AF9BACDEE3AB05B6"/>
            </w:placeholder>
            <w:dataBinding w:prefixMappings="xmlns:ns0='http://purl.org/dc/elements/1.1/' xmlns:ns1='http://schemas.openxmlformats.org/package/2006/metadata/core-properties' " w:xpath="/ns1:coreProperties[1]/ns0:title[1]" w:storeItemID="{6C3C8BC8-F283-45AE-878A-BAB7291924A1}"/>
            <w:text/>
          </w:sdtPr>
          <w:sdtContent>
            <w:r w:rsidR="000860AE">
              <w:t>VET to Uni rapid test</w:t>
            </w:r>
          </w:sdtContent>
        </w:sdt>
        <w:r w:rsidR="00991526">
          <w:tab/>
        </w:r>
        <w:r w:rsidR="00BE2AB7" w:rsidRPr="00991526">
          <w:fldChar w:fldCharType="begin"/>
        </w:r>
        <w:r w:rsidR="00BE2AB7" w:rsidRPr="00991526">
          <w:instrText xml:space="preserve"> PAGE   \* MERGEFORMAT </w:instrText>
        </w:r>
        <w:r w:rsidR="00BE2AB7" w:rsidRPr="00991526">
          <w:fldChar w:fldCharType="separate"/>
        </w:r>
        <w:r w:rsidR="00BE2AB7" w:rsidRPr="00991526">
          <w:rPr>
            <w:noProof/>
          </w:rPr>
          <w:t>2</w:t>
        </w:r>
        <w:r w:rsidR="00BE2AB7" w:rsidRPr="00991526">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298338"/>
      <w:docPartObj>
        <w:docPartGallery w:val="Page Numbers (Bottom of Page)"/>
        <w:docPartUnique/>
      </w:docPartObj>
    </w:sdtPr>
    <w:sdtEndPr>
      <w:rPr>
        <w:noProof/>
      </w:rPr>
    </w:sdtEndPr>
    <w:sdtContent>
      <w:p w14:paraId="1506E6C8" w14:textId="31E2BFA9" w:rsidR="00B30EAB" w:rsidRDefault="00B30EAB" w:rsidP="00B30EAB">
        <w:pPr>
          <w:pStyle w:val="Footer"/>
          <w:tabs>
            <w:tab w:val="left" w:pos="8925"/>
          </w:tabs>
        </w:pPr>
        <w:r w:rsidRPr="00991526">
          <w:t xml:space="preserve">Jobs and Skills Australia – </w:t>
        </w:r>
        <w:sdt>
          <w:sdtPr>
            <w:alias w:val="Title"/>
            <w:tag w:val=""/>
            <w:id w:val="-818111507"/>
            <w:placeholder>
              <w:docPart w:val="2D2D024BDF304EF58EB26857CD7A9952"/>
            </w:placeholder>
            <w:dataBinding w:prefixMappings="xmlns:ns0='http://purl.org/dc/elements/1.1/' xmlns:ns1='http://schemas.openxmlformats.org/package/2006/metadata/core-properties' " w:xpath="/ns1:coreProperties[1]/ns0:title[1]" w:storeItemID="{6C3C8BC8-F283-45AE-878A-BAB7291924A1}"/>
            <w:text/>
          </w:sdtPr>
          <w:sdtContent>
            <w:r w:rsidR="000860AE">
              <w:t>VET to Uni rapid test</w:t>
            </w:r>
          </w:sdtContent>
        </w:sdt>
        <w:r>
          <w:tab/>
        </w:r>
        <w:r>
          <w:tab/>
        </w:r>
        <w:r w:rsidRPr="00991526">
          <w:fldChar w:fldCharType="begin"/>
        </w:r>
        <w:r w:rsidRPr="00991526">
          <w:instrText xml:space="preserve"> PAGE   \* MERGEFORMAT </w:instrText>
        </w:r>
        <w:r w:rsidRPr="00991526">
          <w:fldChar w:fldCharType="separate"/>
        </w:r>
        <w:r>
          <w:t>1</w:t>
        </w:r>
        <w:r w:rsidRPr="00991526">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8D613" w14:textId="77777777" w:rsidR="00DD0CEA" w:rsidRDefault="00DD0CEA" w:rsidP="008C0056">
      <w:r>
        <w:separator/>
      </w:r>
    </w:p>
  </w:footnote>
  <w:footnote w:type="continuationSeparator" w:id="0">
    <w:p w14:paraId="539DDA74" w14:textId="77777777" w:rsidR="00DD0CEA" w:rsidRDefault="00DD0CEA" w:rsidP="008C0056">
      <w:r>
        <w:continuationSeparator/>
      </w:r>
    </w:p>
  </w:footnote>
  <w:footnote w:type="continuationNotice" w:id="1">
    <w:p w14:paraId="48846B59" w14:textId="77777777" w:rsidR="00DD0CEA" w:rsidRDefault="00DD0CEA" w:rsidP="008C00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584C" w14:textId="77777777" w:rsidR="002A7CAE" w:rsidRDefault="002A7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3EDF" w14:textId="77777777" w:rsidR="002A7CAE" w:rsidRDefault="002A7C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999C" w14:textId="1CA1CAF3" w:rsidR="00A8077F" w:rsidRDefault="00000000">
    <w:pPr>
      <w:pStyle w:val="Header"/>
    </w:pPr>
    <w:sdt>
      <w:sdtPr>
        <w:id w:val="1036771914"/>
        <w:docPartObj>
          <w:docPartGallery w:val="Watermarks"/>
          <w:docPartUnique/>
        </w:docPartObj>
      </w:sdtPr>
      <w:sdtContent>
        <w:r>
          <w:rPr>
            <w:noProof/>
          </w:rPr>
          <w:pict w14:anchorId="08305D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A8077F">
      <w:t>Australian Government Jobs and Skills Australia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A5C"/>
    <w:multiLevelType w:val="hybridMultilevel"/>
    <w:tmpl w:val="A0A67D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B46D46"/>
    <w:multiLevelType w:val="multilevel"/>
    <w:tmpl w:val="F078BBE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5940229"/>
    <w:multiLevelType w:val="hybridMultilevel"/>
    <w:tmpl w:val="2B84E6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D87258"/>
    <w:multiLevelType w:val="multilevel"/>
    <w:tmpl w:val="15D870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D585F53"/>
    <w:multiLevelType w:val="multilevel"/>
    <w:tmpl w:val="A3E88540"/>
    <w:name w:val="ListBullets"/>
    <w:lvl w:ilvl="0">
      <w:start w:val="1"/>
      <w:numFmt w:val="bullet"/>
      <w:pStyle w:val="ListBullet"/>
      <w:lvlText w:val="•"/>
      <w:lvlJc w:val="left"/>
      <w:pPr>
        <w:ind w:left="340" w:hanging="340"/>
      </w:pPr>
      <w:rPr>
        <w:rFonts w:ascii="Calibri" w:hAnsi="Calibri" w:hint="default"/>
        <w:color w:val="auto"/>
      </w:rPr>
    </w:lvl>
    <w:lvl w:ilvl="1">
      <w:start w:val="1"/>
      <w:numFmt w:val="bullet"/>
      <w:pStyle w:val="ListBullet2"/>
      <w:lvlText w:val="–"/>
      <w:lvlJc w:val="left"/>
      <w:pPr>
        <w:ind w:left="680" w:hanging="340"/>
      </w:pPr>
      <w:rPr>
        <w:rFonts w:ascii="Arial" w:hAnsi="Arial" w:hint="default"/>
        <w:color w:val="auto"/>
      </w:rPr>
    </w:lvl>
    <w:lvl w:ilvl="2">
      <w:start w:val="1"/>
      <w:numFmt w:val="bullet"/>
      <w:pStyle w:val="ListBullet3"/>
      <w:lvlText w:val="○"/>
      <w:lvlJc w:val="left"/>
      <w:pPr>
        <w:ind w:left="1020" w:hanging="340"/>
      </w:pPr>
      <w:rPr>
        <w:rFonts w:ascii="Times New Roman" w:hAnsi="Times New Roman" w:cs="Times New Roman" w:hint="default"/>
        <w:color w:val="auto"/>
      </w:rPr>
    </w:lvl>
    <w:lvl w:ilvl="3">
      <w:start w:val="1"/>
      <w:numFmt w:val="bullet"/>
      <w:pStyle w:val="ListBullet4"/>
      <w:lvlText w:val="•"/>
      <w:lvlJc w:val="left"/>
      <w:pPr>
        <w:ind w:left="1360" w:hanging="340"/>
      </w:pPr>
      <w:rPr>
        <w:rFonts w:ascii="Arial" w:hAnsi="Arial" w:hint="default"/>
        <w:color w:val="auto"/>
      </w:rPr>
    </w:lvl>
    <w:lvl w:ilvl="4">
      <w:start w:val="1"/>
      <w:numFmt w:val="none"/>
      <w:lvlText w:val=""/>
      <w:lvlJc w:val="left"/>
      <w:pPr>
        <w:tabs>
          <w:tab w:val="num" w:pos="1712"/>
        </w:tabs>
        <w:ind w:left="1700" w:hanging="340"/>
      </w:pPr>
      <w:rPr>
        <w:rFonts w:hint="default"/>
      </w:rPr>
    </w:lvl>
    <w:lvl w:ilvl="5">
      <w:start w:val="1"/>
      <w:numFmt w:val="none"/>
      <w:lvlText w:val=""/>
      <w:lvlJc w:val="left"/>
      <w:pPr>
        <w:tabs>
          <w:tab w:val="num" w:pos="2069"/>
        </w:tabs>
        <w:ind w:left="2040" w:hanging="340"/>
      </w:pPr>
      <w:rPr>
        <w:rFonts w:hint="default"/>
      </w:rPr>
    </w:lvl>
    <w:lvl w:ilvl="6">
      <w:start w:val="1"/>
      <w:numFmt w:val="none"/>
      <w:lvlText w:val=""/>
      <w:lvlJc w:val="left"/>
      <w:pPr>
        <w:tabs>
          <w:tab w:val="num" w:pos="2426"/>
        </w:tabs>
        <w:ind w:left="2380" w:hanging="340"/>
      </w:pPr>
      <w:rPr>
        <w:rFonts w:hint="default"/>
      </w:rPr>
    </w:lvl>
    <w:lvl w:ilvl="7">
      <w:start w:val="1"/>
      <w:numFmt w:val="none"/>
      <w:lvlText w:val=""/>
      <w:lvlJc w:val="left"/>
      <w:pPr>
        <w:tabs>
          <w:tab w:val="num" w:pos="2783"/>
        </w:tabs>
        <w:ind w:left="2720" w:hanging="340"/>
      </w:pPr>
      <w:rPr>
        <w:rFonts w:hint="default"/>
      </w:rPr>
    </w:lvl>
    <w:lvl w:ilvl="8">
      <w:start w:val="1"/>
      <w:numFmt w:val="none"/>
      <w:lvlText w:val=""/>
      <w:lvlJc w:val="left"/>
      <w:pPr>
        <w:tabs>
          <w:tab w:val="num" w:pos="3140"/>
        </w:tabs>
        <w:ind w:left="3060" w:hanging="340"/>
      </w:pPr>
      <w:rPr>
        <w:rFonts w:hint="default"/>
      </w:rPr>
    </w:lvl>
  </w:abstractNum>
  <w:abstractNum w:abstractNumId="5" w15:restartNumberingAfterBreak="0">
    <w:nsid w:val="37F15D53"/>
    <w:multiLevelType w:val="hybridMultilevel"/>
    <w:tmpl w:val="2B721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CCB4DF8"/>
    <w:multiLevelType w:val="hybridMultilevel"/>
    <w:tmpl w:val="F29864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01F5897"/>
    <w:multiLevelType w:val="hybridMultilevel"/>
    <w:tmpl w:val="9F1A44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1B35C83"/>
    <w:multiLevelType w:val="hybridMultilevel"/>
    <w:tmpl w:val="8B2CAA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7246184">
    <w:abstractNumId w:val="4"/>
  </w:num>
  <w:num w:numId="2" w16cid:durableId="1747995138">
    <w:abstractNumId w:val="3"/>
  </w:num>
  <w:num w:numId="3" w16cid:durableId="1661687378">
    <w:abstractNumId w:val="1"/>
  </w:num>
  <w:num w:numId="4" w16cid:durableId="466364176">
    <w:abstractNumId w:val="5"/>
  </w:num>
  <w:num w:numId="5" w16cid:durableId="1212885962">
    <w:abstractNumId w:val="2"/>
  </w:num>
  <w:num w:numId="6" w16cid:durableId="1276790520">
    <w:abstractNumId w:val="7"/>
  </w:num>
  <w:num w:numId="7" w16cid:durableId="165092776">
    <w:abstractNumId w:val="8"/>
  </w:num>
  <w:num w:numId="8" w16cid:durableId="255865931">
    <w:abstractNumId w:val="6"/>
  </w:num>
  <w:num w:numId="9" w16cid:durableId="359744386">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18"/>
    <w:rsid w:val="00003E8E"/>
    <w:rsid w:val="00025BD0"/>
    <w:rsid w:val="000261A3"/>
    <w:rsid w:val="00026669"/>
    <w:rsid w:val="00032317"/>
    <w:rsid w:val="0003316F"/>
    <w:rsid w:val="00036724"/>
    <w:rsid w:val="00037EB9"/>
    <w:rsid w:val="000404CE"/>
    <w:rsid w:val="0004100D"/>
    <w:rsid w:val="00041073"/>
    <w:rsid w:val="00042611"/>
    <w:rsid w:val="00051CBE"/>
    <w:rsid w:val="0005518A"/>
    <w:rsid w:val="0005530D"/>
    <w:rsid w:val="000572BD"/>
    <w:rsid w:val="00070D8C"/>
    <w:rsid w:val="00083B07"/>
    <w:rsid w:val="000860AE"/>
    <w:rsid w:val="00086325"/>
    <w:rsid w:val="000877C4"/>
    <w:rsid w:val="00093F7D"/>
    <w:rsid w:val="00095E11"/>
    <w:rsid w:val="000A145A"/>
    <w:rsid w:val="000A7F1E"/>
    <w:rsid w:val="000B4ED9"/>
    <w:rsid w:val="000B6324"/>
    <w:rsid w:val="000C0BA2"/>
    <w:rsid w:val="000C2939"/>
    <w:rsid w:val="000C3C00"/>
    <w:rsid w:val="000C5743"/>
    <w:rsid w:val="000D5FCE"/>
    <w:rsid w:val="000D6745"/>
    <w:rsid w:val="000D7234"/>
    <w:rsid w:val="000E38BA"/>
    <w:rsid w:val="000E4F70"/>
    <w:rsid w:val="000E7042"/>
    <w:rsid w:val="000F0C4D"/>
    <w:rsid w:val="000F7E89"/>
    <w:rsid w:val="00101107"/>
    <w:rsid w:val="00101FBF"/>
    <w:rsid w:val="001134ED"/>
    <w:rsid w:val="00114BC9"/>
    <w:rsid w:val="00123DFA"/>
    <w:rsid w:val="00124D9E"/>
    <w:rsid w:val="00125C36"/>
    <w:rsid w:val="001260D9"/>
    <w:rsid w:val="00127EC2"/>
    <w:rsid w:val="001306D6"/>
    <w:rsid w:val="00131E99"/>
    <w:rsid w:val="00143208"/>
    <w:rsid w:val="001472B4"/>
    <w:rsid w:val="001516BF"/>
    <w:rsid w:val="001534EA"/>
    <w:rsid w:val="00163A8E"/>
    <w:rsid w:val="00164614"/>
    <w:rsid w:val="00166B52"/>
    <w:rsid w:val="00170C7D"/>
    <w:rsid w:val="0017574A"/>
    <w:rsid w:val="00186DC1"/>
    <w:rsid w:val="00192BED"/>
    <w:rsid w:val="001973FC"/>
    <w:rsid w:val="001A22A8"/>
    <w:rsid w:val="001A3B6D"/>
    <w:rsid w:val="001B3FBE"/>
    <w:rsid w:val="001B7035"/>
    <w:rsid w:val="001B7F1C"/>
    <w:rsid w:val="001C0CB2"/>
    <w:rsid w:val="001C0D18"/>
    <w:rsid w:val="001C2F16"/>
    <w:rsid w:val="001C381D"/>
    <w:rsid w:val="001C4974"/>
    <w:rsid w:val="001C6BA8"/>
    <w:rsid w:val="001C741F"/>
    <w:rsid w:val="001D03DD"/>
    <w:rsid w:val="001E4390"/>
    <w:rsid w:val="001E4423"/>
    <w:rsid w:val="001E58C4"/>
    <w:rsid w:val="001F108B"/>
    <w:rsid w:val="001F36D6"/>
    <w:rsid w:val="001F567F"/>
    <w:rsid w:val="001F59D3"/>
    <w:rsid w:val="001F61C0"/>
    <w:rsid w:val="00201984"/>
    <w:rsid w:val="00203BF7"/>
    <w:rsid w:val="00204C08"/>
    <w:rsid w:val="00205CD6"/>
    <w:rsid w:val="00206249"/>
    <w:rsid w:val="00207E52"/>
    <w:rsid w:val="002119C0"/>
    <w:rsid w:val="00215161"/>
    <w:rsid w:val="00220DC4"/>
    <w:rsid w:val="00232E3F"/>
    <w:rsid w:val="00233A75"/>
    <w:rsid w:val="0024392D"/>
    <w:rsid w:val="00244550"/>
    <w:rsid w:val="002513E1"/>
    <w:rsid w:val="002618DF"/>
    <w:rsid w:val="00261D00"/>
    <w:rsid w:val="002633D9"/>
    <w:rsid w:val="00266C96"/>
    <w:rsid w:val="002706EB"/>
    <w:rsid w:val="002772AC"/>
    <w:rsid w:val="00280AC6"/>
    <w:rsid w:val="002824C3"/>
    <w:rsid w:val="002915D9"/>
    <w:rsid w:val="002927DB"/>
    <w:rsid w:val="0029455F"/>
    <w:rsid w:val="002950ED"/>
    <w:rsid w:val="00296166"/>
    <w:rsid w:val="002A3539"/>
    <w:rsid w:val="002A44E8"/>
    <w:rsid w:val="002A4B17"/>
    <w:rsid w:val="002A6D28"/>
    <w:rsid w:val="002A7CAE"/>
    <w:rsid w:val="002A7F11"/>
    <w:rsid w:val="002B5D21"/>
    <w:rsid w:val="002C30E8"/>
    <w:rsid w:val="002C714A"/>
    <w:rsid w:val="002D6644"/>
    <w:rsid w:val="002D68E2"/>
    <w:rsid w:val="002E0E18"/>
    <w:rsid w:val="002E5B03"/>
    <w:rsid w:val="002E6E2F"/>
    <w:rsid w:val="002F3EB5"/>
    <w:rsid w:val="002F5690"/>
    <w:rsid w:val="002F6905"/>
    <w:rsid w:val="0030167A"/>
    <w:rsid w:val="0030277F"/>
    <w:rsid w:val="003060CC"/>
    <w:rsid w:val="00306575"/>
    <w:rsid w:val="00306C0E"/>
    <w:rsid w:val="00310CA1"/>
    <w:rsid w:val="003122CC"/>
    <w:rsid w:val="00313B29"/>
    <w:rsid w:val="00314E27"/>
    <w:rsid w:val="00323B9A"/>
    <w:rsid w:val="00327AB4"/>
    <w:rsid w:val="00331217"/>
    <w:rsid w:val="00331EE9"/>
    <w:rsid w:val="00333C8B"/>
    <w:rsid w:val="003350FB"/>
    <w:rsid w:val="0033644E"/>
    <w:rsid w:val="0033752C"/>
    <w:rsid w:val="00337CF8"/>
    <w:rsid w:val="00342BD0"/>
    <w:rsid w:val="0035131B"/>
    <w:rsid w:val="00362CD6"/>
    <w:rsid w:val="00362E76"/>
    <w:rsid w:val="00366923"/>
    <w:rsid w:val="00367AFE"/>
    <w:rsid w:val="003708C1"/>
    <w:rsid w:val="00373153"/>
    <w:rsid w:val="003734B7"/>
    <w:rsid w:val="00373C9A"/>
    <w:rsid w:val="00374E1D"/>
    <w:rsid w:val="00382887"/>
    <w:rsid w:val="00385788"/>
    <w:rsid w:val="00385ABF"/>
    <w:rsid w:val="0039115D"/>
    <w:rsid w:val="003926FD"/>
    <w:rsid w:val="00396A09"/>
    <w:rsid w:val="003A2337"/>
    <w:rsid w:val="003A45DD"/>
    <w:rsid w:val="003A7479"/>
    <w:rsid w:val="003B474F"/>
    <w:rsid w:val="003C0635"/>
    <w:rsid w:val="003C333B"/>
    <w:rsid w:val="003C6A66"/>
    <w:rsid w:val="003D48E5"/>
    <w:rsid w:val="003D4954"/>
    <w:rsid w:val="003D4D3F"/>
    <w:rsid w:val="003E0796"/>
    <w:rsid w:val="003E0B70"/>
    <w:rsid w:val="003E3395"/>
    <w:rsid w:val="003F0CA0"/>
    <w:rsid w:val="003F1578"/>
    <w:rsid w:val="003F5430"/>
    <w:rsid w:val="004121F2"/>
    <w:rsid w:val="00414A4A"/>
    <w:rsid w:val="004160CA"/>
    <w:rsid w:val="00422AD4"/>
    <w:rsid w:val="00431BE4"/>
    <w:rsid w:val="00431BFC"/>
    <w:rsid w:val="00435A0B"/>
    <w:rsid w:val="00440C82"/>
    <w:rsid w:val="004435EA"/>
    <w:rsid w:val="004440ED"/>
    <w:rsid w:val="00446569"/>
    <w:rsid w:val="0046237F"/>
    <w:rsid w:val="00465736"/>
    <w:rsid w:val="00472BF7"/>
    <w:rsid w:val="00474E47"/>
    <w:rsid w:val="004755F6"/>
    <w:rsid w:val="004773D3"/>
    <w:rsid w:val="00480238"/>
    <w:rsid w:val="004838A6"/>
    <w:rsid w:val="004860B6"/>
    <w:rsid w:val="00486CB5"/>
    <w:rsid w:val="00492082"/>
    <w:rsid w:val="004959E6"/>
    <w:rsid w:val="004C0840"/>
    <w:rsid w:val="004C542A"/>
    <w:rsid w:val="004C705B"/>
    <w:rsid w:val="004D0F14"/>
    <w:rsid w:val="004D22A5"/>
    <w:rsid w:val="004D3224"/>
    <w:rsid w:val="004D3A08"/>
    <w:rsid w:val="004D6B53"/>
    <w:rsid w:val="004E0B8B"/>
    <w:rsid w:val="004F2369"/>
    <w:rsid w:val="004F5082"/>
    <w:rsid w:val="004F608C"/>
    <w:rsid w:val="004F72D9"/>
    <w:rsid w:val="00506CD7"/>
    <w:rsid w:val="005109B7"/>
    <w:rsid w:val="00513C8F"/>
    <w:rsid w:val="0051507F"/>
    <w:rsid w:val="00530E2B"/>
    <w:rsid w:val="00532929"/>
    <w:rsid w:val="00536978"/>
    <w:rsid w:val="005411A8"/>
    <w:rsid w:val="00543D06"/>
    <w:rsid w:val="005446B5"/>
    <w:rsid w:val="005521FE"/>
    <w:rsid w:val="005533B5"/>
    <w:rsid w:val="0055690F"/>
    <w:rsid w:val="005608CB"/>
    <w:rsid w:val="00567E50"/>
    <w:rsid w:val="0057143D"/>
    <w:rsid w:val="00572133"/>
    <w:rsid w:val="0057387A"/>
    <w:rsid w:val="00584E9E"/>
    <w:rsid w:val="005850DF"/>
    <w:rsid w:val="00592584"/>
    <w:rsid w:val="005964AC"/>
    <w:rsid w:val="00597EF7"/>
    <w:rsid w:val="005A2035"/>
    <w:rsid w:val="005A2862"/>
    <w:rsid w:val="005A670A"/>
    <w:rsid w:val="005B1D09"/>
    <w:rsid w:val="005B2318"/>
    <w:rsid w:val="005B5A7A"/>
    <w:rsid w:val="005B60AC"/>
    <w:rsid w:val="005C1000"/>
    <w:rsid w:val="005C4812"/>
    <w:rsid w:val="005C5BF0"/>
    <w:rsid w:val="005C6471"/>
    <w:rsid w:val="005D2C98"/>
    <w:rsid w:val="005D467D"/>
    <w:rsid w:val="005D4AEC"/>
    <w:rsid w:val="005D6DFD"/>
    <w:rsid w:val="005E18D8"/>
    <w:rsid w:val="005F15C2"/>
    <w:rsid w:val="005F1E8D"/>
    <w:rsid w:val="006029D6"/>
    <w:rsid w:val="006066C4"/>
    <w:rsid w:val="006117B2"/>
    <w:rsid w:val="00612BFD"/>
    <w:rsid w:val="00621A27"/>
    <w:rsid w:val="00631632"/>
    <w:rsid w:val="00634F4C"/>
    <w:rsid w:val="00635255"/>
    <w:rsid w:val="006359E1"/>
    <w:rsid w:val="00635C1B"/>
    <w:rsid w:val="0064002D"/>
    <w:rsid w:val="00642A9A"/>
    <w:rsid w:val="006514E4"/>
    <w:rsid w:val="00651582"/>
    <w:rsid w:val="00655BCA"/>
    <w:rsid w:val="006606E0"/>
    <w:rsid w:val="006670A4"/>
    <w:rsid w:val="00673723"/>
    <w:rsid w:val="00677034"/>
    <w:rsid w:val="00681FD3"/>
    <w:rsid w:val="006871E9"/>
    <w:rsid w:val="00693BA4"/>
    <w:rsid w:val="00693E00"/>
    <w:rsid w:val="00693F09"/>
    <w:rsid w:val="0069552B"/>
    <w:rsid w:val="006B5D89"/>
    <w:rsid w:val="006B5EC5"/>
    <w:rsid w:val="006B6C94"/>
    <w:rsid w:val="006C06BF"/>
    <w:rsid w:val="006C282B"/>
    <w:rsid w:val="006C5310"/>
    <w:rsid w:val="006C7DE9"/>
    <w:rsid w:val="006C7EB4"/>
    <w:rsid w:val="006D2345"/>
    <w:rsid w:val="006D3281"/>
    <w:rsid w:val="006E1136"/>
    <w:rsid w:val="006E4467"/>
    <w:rsid w:val="006F7520"/>
    <w:rsid w:val="006F7639"/>
    <w:rsid w:val="00702CB5"/>
    <w:rsid w:val="00703260"/>
    <w:rsid w:val="00706431"/>
    <w:rsid w:val="00710DAA"/>
    <w:rsid w:val="007117F1"/>
    <w:rsid w:val="007119BB"/>
    <w:rsid w:val="00717636"/>
    <w:rsid w:val="007177A7"/>
    <w:rsid w:val="0072196F"/>
    <w:rsid w:val="0072616C"/>
    <w:rsid w:val="007340BF"/>
    <w:rsid w:val="0073513A"/>
    <w:rsid w:val="007351A7"/>
    <w:rsid w:val="00735779"/>
    <w:rsid w:val="007371B3"/>
    <w:rsid w:val="007374F9"/>
    <w:rsid w:val="00746A43"/>
    <w:rsid w:val="00754AB9"/>
    <w:rsid w:val="00754CD9"/>
    <w:rsid w:val="007576ED"/>
    <w:rsid w:val="00766061"/>
    <w:rsid w:val="00767C3A"/>
    <w:rsid w:val="00772073"/>
    <w:rsid w:val="007749C8"/>
    <w:rsid w:val="00782490"/>
    <w:rsid w:val="007866FA"/>
    <w:rsid w:val="00790F14"/>
    <w:rsid w:val="007915F6"/>
    <w:rsid w:val="00795E3E"/>
    <w:rsid w:val="007A3F61"/>
    <w:rsid w:val="007A5668"/>
    <w:rsid w:val="007A6C28"/>
    <w:rsid w:val="007A7572"/>
    <w:rsid w:val="007B0EC1"/>
    <w:rsid w:val="007B100A"/>
    <w:rsid w:val="007B21A5"/>
    <w:rsid w:val="007B2AD6"/>
    <w:rsid w:val="007B3938"/>
    <w:rsid w:val="007C269A"/>
    <w:rsid w:val="007C6AEC"/>
    <w:rsid w:val="007C7543"/>
    <w:rsid w:val="007D4ED8"/>
    <w:rsid w:val="007D799D"/>
    <w:rsid w:val="007E4173"/>
    <w:rsid w:val="007E4D95"/>
    <w:rsid w:val="007F072C"/>
    <w:rsid w:val="007F7DBD"/>
    <w:rsid w:val="00802F0D"/>
    <w:rsid w:val="008049B1"/>
    <w:rsid w:val="0081136A"/>
    <w:rsid w:val="00811B37"/>
    <w:rsid w:val="008139CC"/>
    <w:rsid w:val="00814D30"/>
    <w:rsid w:val="00814E17"/>
    <w:rsid w:val="00817701"/>
    <w:rsid w:val="008240A0"/>
    <w:rsid w:val="0082514E"/>
    <w:rsid w:val="00831FE0"/>
    <w:rsid w:val="00837EDC"/>
    <w:rsid w:val="00840DAA"/>
    <w:rsid w:val="0084197B"/>
    <w:rsid w:val="0084740A"/>
    <w:rsid w:val="008560DB"/>
    <w:rsid w:val="00857878"/>
    <w:rsid w:val="00857E1B"/>
    <w:rsid w:val="00861259"/>
    <w:rsid w:val="00862C75"/>
    <w:rsid w:val="008634C2"/>
    <w:rsid w:val="00864962"/>
    <w:rsid w:val="00864EEA"/>
    <w:rsid w:val="00865E4F"/>
    <w:rsid w:val="00866663"/>
    <w:rsid w:val="00873BE7"/>
    <w:rsid w:val="0087706C"/>
    <w:rsid w:val="00886A15"/>
    <w:rsid w:val="00887538"/>
    <w:rsid w:val="0089670A"/>
    <w:rsid w:val="008A6964"/>
    <w:rsid w:val="008B37B5"/>
    <w:rsid w:val="008B3E8F"/>
    <w:rsid w:val="008B4904"/>
    <w:rsid w:val="008C0056"/>
    <w:rsid w:val="008C21E1"/>
    <w:rsid w:val="008D07B0"/>
    <w:rsid w:val="008D76F6"/>
    <w:rsid w:val="008E0E53"/>
    <w:rsid w:val="008E2250"/>
    <w:rsid w:val="008F29BB"/>
    <w:rsid w:val="008F2F17"/>
    <w:rsid w:val="008F2F5C"/>
    <w:rsid w:val="008F5797"/>
    <w:rsid w:val="00900190"/>
    <w:rsid w:val="0090146A"/>
    <w:rsid w:val="009034AB"/>
    <w:rsid w:val="009062AE"/>
    <w:rsid w:val="0090740B"/>
    <w:rsid w:val="00917E17"/>
    <w:rsid w:val="00923B0D"/>
    <w:rsid w:val="00924053"/>
    <w:rsid w:val="0092478E"/>
    <w:rsid w:val="00925A28"/>
    <w:rsid w:val="00937A11"/>
    <w:rsid w:val="009417F7"/>
    <w:rsid w:val="009419D0"/>
    <w:rsid w:val="009426F3"/>
    <w:rsid w:val="00945F92"/>
    <w:rsid w:val="00963C9F"/>
    <w:rsid w:val="00963F49"/>
    <w:rsid w:val="0096517C"/>
    <w:rsid w:val="00966619"/>
    <w:rsid w:val="00973117"/>
    <w:rsid w:val="0097495B"/>
    <w:rsid w:val="0098015F"/>
    <w:rsid w:val="009858C3"/>
    <w:rsid w:val="00990E17"/>
    <w:rsid w:val="00991526"/>
    <w:rsid w:val="00991DED"/>
    <w:rsid w:val="00992A3E"/>
    <w:rsid w:val="00997F6C"/>
    <w:rsid w:val="009A0A07"/>
    <w:rsid w:val="009A0E76"/>
    <w:rsid w:val="009A31E8"/>
    <w:rsid w:val="009A5BC4"/>
    <w:rsid w:val="009A6622"/>
    <w:rsid w:val="009B0BC5"/>
    <w:rsid w:val="009B34AC"/>
    <w:rsid w:val="009C2E5D"/>
    <w:rsid w:val="009C3CB0"/>
    <w:rsid w:val="009C4CA6"/>
    <w:rsid w:val="009C56D1"/>
    <w:rsid w:val="009D0693"/>
    <w:rsid w:val="009D18C2"/>
    <w:rsid w:val="009D3721"/>
    <w:rsid w:val="009D5A36"/>
    <w:rsid w:val="009E0ED4"/>
    <w:rsid w:val="009E34D5"/>
    <w:rsid w:val="009E4054"/>
    <w:rsid w:val="009E4085"/>
    <w:rsid w:val="009E718A"/>
    <w:rsid w:val="009F29FC"/>
    <w:rsid w:val="009F4D35"/>
    <w:rsid w:val="009F7A5A"/>
    <w:rsid w:val="00A007CB"/>
    <w:rsid w:val="00A00C2D"/>
    <w:rsid w:val="00A03C15"/>
    <w:rsid w:val="00A070B7"/>
    <w:rsid w:val="00A10EAB"/>
    <w:rsid w:val="00A13691"/>
    <w:rsid w:val="00A14752"/>
    <w:rsid w:val="00A23A7E"/>
    <w:rsid w:val="00A24C8F"/>
    <w:rsid w:val="00A24F4A"/>
    <w:rsid w:val="00A25448"/>
    <w:rsid w:val="00A261AF"/>
    <w:rsid w:val="00A27109"/>
    <w:rsid w:val="00A3043E"/>
    <w:rsid w:val="00A36734"/>
    <w:rsid w:val="00A369AC"/>
    <w:rsid w:val="00A37B0E"/>
    <w:rsid w:val="00A414BC"/>
    <w:rsid w:val="00A415CA"/>
    <w:rsid w:val="00A43021"/>
    <w:rsid w:val="00A4461A"/>
    <w:rsid w:val="00A459DE"/>
    <w:rsid w:val="00A50D02"/>
    <w:rsid w:val="00A5508E"/>
    <w:rsid w:val="00A62216"/>
    <w:rsid w:val="00A626FE"/>
    <w:rsid w:val="00A65913"/>
    <w:rsid w:val="00A67DBA"/>
    <w:rsid w:val="00A70A4D"/>
    <w:rsid w:val="00A7229C"/>
    <w:rsid w:val="00A74E0F"/>
    <w:rsid w:val="00A74E6E"/>
    <w:rsid w:val="00A8077F"/>
    <w:rsid w:val="00A80E09"/>
    <w:rsid w:val="00A851E3"/>
    <w:rsid w:val="00A9012A"/>
    <w:rsid w:val="00A93A77"/>
    <w:rsid w:val="00A93DF6"/>
    <w:rsid w:val="00A97C6D"/>
    <w:rsid w:val="00AA3BB9"/>
    <w:rsid w:val="00AA75C4"/>
    <w:rsid w:val="00AB24A9"/>
    <w:rsid w:val="00AB7917"/>
    <w:rsid w:val="00AC08A2"/>
    <w:rsid w:val="00AC08D2"/>
    <w:rsid w:val="00AC1BEE"/>
    <w:rsid w:val="00AC3E56"/>
    <w:rsid w:val="00AC4BDA"/>
    <w:rsid w:val="00AC624C"/>
    <w:rsid w:val="00AD0C81"/>
    <w:rsid w:val="00AD13EC"/>
    <w:rsid w:val="00AE1EED"/>
    <w:rsid w:val="00AE68CA"/>
    <w:rsid w:val="00AF0CF7"/>
    <w:rsid w:val="00AF2783"/>
    <w:rsid w:val="00AF57B3"/>
    <w:rsid w:val="00AF5996"/>
    <w:rsid w:val="00B022FE"/>
    <w:rsid w:val="00B04E3B"/>
    <w:rsid w:val="00B10FC9"/>
    <w:rsid w:val="00B11937"/>
    <w:rsid w:val="00B1241F"/>
    <w:rsid w:val="00B12498"/>
    <w:rsid w:val="00B21E09"/>
    <w:rsid w:val="00B26C3D"/>
    <w:rsid w:val="00B275AC"/>
    <w:rsid w:val="00B27734"/>
    <w:rsid w:val="00B30EAB"/>
    <w:rsid w:val="00B3194B"/>
    <w:rsid w:val="00B32201"/>
    <w:rsid w:val="00B33FE8"/>
    <w:rsid w:val="00B366DB"/>
    <w:rsid w:val="00B37667"/>
    <w:rsid w:val="00B44B46"/>
    <w:rsid w:val="00B44BFF"/>
    <w:rsid w:val="00B45BAF"/>
    <w:rsid w:val="00B5117D"/>
    <w:rsid w:val="00B532DB"/>
    <w:rsid w:val="00B53D09"/>
    <w:rsid w:val="00B545CC"/>
    <w:rsid w:val="00B54794"/>
    <w:rsid w:val="00B57435"/>
    <w:rsid w:val="00B72A6C"/>
    <w:rsid w:val="00B72B74"/>
    <w:rsid w:val="00B77EA5"/>
    <w:rsid w:val="00B926C4"/>
    <w:rsid w:val="00B94111"/>
    <w:rsid w:val="00B94F0A"/>
    <w:rsid w:val="00B95FED"/>
    <w:rsid w:val="00BA18F6"/>
    <w:rsid w:val="00BA4854"/>
    <w:rsid w:val="00BA5452"/>
    <w:rsid w:val="00BA7EB4"/>
    <w:rsid w:val="00BB2ACB"/>
    <w:rsid w:val="00BD5583"/>
    <w:rsid w:val="00BE0FFD"/>
    <w:rsid w:val="00BE10B5"/>
    <w:rsid w:val="00BE13B4"/>
    <w:rsid w:val="00BE2AB7"/>
    <w:rsid w:val="00BE4587"/>
    <w:rsid w:val="00BE5400"/>
    <w:rsid w:val="00BE68F3"/>
    <w:rsid w:val="00BF0E73"/>
    <w:rsid w:val="00BF1A4A"/>
    <w:rsid w:val="00BF24DC"/>
    <w:rsid w:val="00BF3528"/>
    <w:rsid w:val="00C001F5"/>
    <w:rsid w:val="00C01F25"/>
    <w:rsid w:val="00C02135"/>
    <w:rsid w:val="00C03955"/>
    <w:rsid w:val="00C15DC9"/>
    <w:rsid w:val="00C27FFB"/>
    <w:rsid w:val="00C333C1"/>
    <w:rsid w:val="00C40E20"/>
    <w:rsid w:val="00C40E55"/>
    <w:rsid w:val="00C455A5"/>
    <w:rsid w:val="00C46CFB"/>
    <w:rsid w:val="00C6447C"/>
    <w:rsid w:val="00C67504"/>
    <w:rsid w:val="00C67E0A"/>
    <w:rsid w:val="00C75A0D"/>
    <w:rsid w:val="00C76DD9"/>
    <w:rsid w:val="00C83737"/>
    <w:rsid w:val="00C84B60"/>
    <w:rsid w:val="00C8553A"/>
    <w:rsid w:val="00C918FF"/>
    <w:rsid w:val="00C91F4E"/>
    <w:rsid w:val="00C970B1"/>
    <w:rsid w:val="00CA26C7"/>
    <w:rsid w:val="00CB41F2"/>
    <w:rsid w:val="00CB4E10"/>
    <w:rsid w:val="00CD0493"/>
    <w:rsid w:val="00CD1F19"/>
    <w:rsid w:val="00CE03A4"/>
    <w:rsid w:val="00CE1816"/>
    <w:rsid w:val="00CE5B7F"/>
    <w:rsid w:val="00CE6EEC"/>
    <w:rsid w:val="00CE71A4"/>
    <w:rsid w:val="00CF277F"/>
    <w:rsid w:val="00CF30BD"/>
    <w:rsid w:val="00CF6A3F"/>
    <w:rsid w:val="00CF78B0"/>
    <w:rsid w:val="00D03812"/>
    <w:rsid w:val="00D045C6"/>
    <w:rsid w:val="00D048F7"/>
    <w:rsid w:val="00D05054"/>
    <w:rsid w:val="00D10911"/>
    <w:rsid w:val="00D125F6"/>
    <w:rsid w:val="00D12938"/>
    <w:rsid w:val="00D13932"/>
    <w:rsid w:val="00D17585"/>
    <w:rsid w:val="00D17C6F"/>
    <w:rsid w:val="00D21F38"/>
    <w:rsid w:val="00D238E3"/>
    <w:rsid w:val="00D24106"/>
    <w:rsid w:val="00D241DE"/>
    <w:rsid w:val="00D2513B"/>
    <w:rsid w:val="00D25D39"/>
    <w:rsid w:val="00D26A23"/>
    <w:rsid w:val="00D31218"/>
    <w:rsid w:val="00D31FDA"/>
    <w:rsid w:val="00D34435"/>
    <w:rsid w:val="00D4055A"/>
    <w:rsid w:val="00D42CEE"/>
    <w:rsid w:val="00D4302A"/>
    <w:rsid w:val="00D43665"/>
    <w:rsid w:val="00D436E8"/>
    <w:rsid w:val="00D500BB"/>
    <w:rsid w:val="00D53F25"/>
    <w:rsid w:val="00D56072"/>
    <w:rsid w:val="00D56B38"/>
    <w:rsid w:val="00D64A57"/>
    <w:rsid w:val="00D655D9"/>
    <w:rsid w:val="00D658D0"/>
    <w:rsid w:val="00D7045D"/>
    <w:rsid w:val="00D70F5A"/>
    <w:rsid w:val="00D70F8A"/>
    <w:rsid w:val="00D71EFE"/>
    <w:rsid w:val="00D73EA4"/>
    <w:rsid w:val="00D82891"/>
    <w:rsid w:val="00D8323E"/>
    <w:rsid w:val="00D8583A"/>
    <w:rsid w:val="00D92118"/>
    <w:rsid w:val="00D96A1E"/>
    <w:rsid w:val="00DA0456"/>
    <w:rsid w:val="00DA585C"/>
    <w:rsid w:val="00DA7D59"/>
    <w:rsid w:val="00DB0916"/>
    <w:rsid w:val="00DC3B62"/>
    <w:rsid w:val="00DC6534"/>
    <w:rsid w:val="00DC69D9"/>
    <w:rsid w:val="00DC6A05"/>
    <w:rsid w:val="00DC6BC0"/>
    <w:rsid w:val="00DD0CEA"/>
    <w:rsid w:val="00DD32CF"/>
    <w:rsid w:val="00DD4A34"/>
    <w:rsid w:val="00DD4B63"/>
    <w:rsid w:val="00DE251A"/>
    <w:rsid w:val="00DE4605"/>
    <w:rsid w:val="00DF37AA"/>
    <w:rsid w:val="00E00936"/>
    <w:rsid w:val="00E01A36"/>
    <w:rsid w:val="00E01D28"/>
    <w:rsid w:val="00E148F7"/>
    <w:rsid w:val="00E153E7"/>
    <w:rsid w:val="00E21A5F"/>
    <w:rsid w:val="00E255B8"/>
    <w:rsid w:val="00E263CD"/>
    <w:rsid w:val="00E32512"/>
    <w:rsid w:val="00E36F12"/>
    <w:rsid w:val="00E419B6"/>
    <w:rsid w:val="00E464AC"/>
    <w:rsid w:val="00E47E48"/>
    <w:rsid w:val="00E55B4B"/>
    <w:rsid w:val="00E56D57"/>
    <w:rsid w:val="00E56D6D"/>
    <w:rsid w:val="00E570C0"/>
    <w:rsid w:val="00E57ACE"/>
    <w:rsid w:val="00E61856"/>
    <w:rsid w:val="00E61ADA"/>
    <w:rsid w:val="00E7012A"/>
    <w:rsid w:val="00E7418D"/>
    <w:rsid w:val="00E80980"/>
    <w:rsid w:val="00E82EEB"/>
    <w:rsid w:val="00E8392F"/>
    <w:rsid w:val="00E85606"/>
    <w:rsid w:val="00E964A8"/>
    <w:rsid w:val="00E97F1F"/>
    <w:rsid w:val="00EA04CB"/>
    <w:rsid w:val="00EA2309"/>
    <w:rsid w:val="00EA3AF6"/>
    <w:rsid w:val="00EB4AFC"/>
    <w:rsid w:val="00EB6B00"/>
    <w:rsid w:val="00EB6B22"/>
    <w:rsid w:val="00EC0146"/>
    <w:rsid w:val="00EC0E20"/>
    <w:rsid w:val="00EC6945"/>
    <w:rsid w:val="00EC7A82"/>
    <w:rsid w:val="00ED1D58"/>
    <w:rsid w:val="00ED2051"/>
    <w:rsid w:val="00ED538C"/>
    <w:rsid w:val="00EE495F"/>
    <w:rsid w:val="00EE49FB"/>
    <w:rsid w:val="00EE51EC"/>
    <w:rsid w:val="00EE7C16"/>
    <w:rsid w:val="00F01D0D"/>
    <w:rsid w:val="00F01D6B"/>
    <w:rsid w:val="00F06BC4"/>
    <w:rsid w:val="00F10A19"/>
    <w:rsid w:val="00F11DE4"/>
    <w:rsid w:val="00F154E4"/>
    <w:rsid w:val="00F16142"/>
    <w:rsid w:val="00F170F7"/>
    <w:rsid w:val="00F1720F"/>
    <w:rsid w:val="00F201EA"/>
    <w:rsid w:val="00F213FC"/>
    <w:rsid w:val="00F2332D"/>
    <w:rsid w:val="00F23ACD"/>
    <w:rsid w:val="00F2586E"/>
    <w:rsid w:val="00F32D7A"/>
    <w:rsid w:val="00F34550"/>
    <w:rsid w:val="00F3610A"/>
    <w:rsid w:val="00F40DA7"/>
    <w:rsid w:val="00F422DE"/>
    <w:rsid w:val="00F43668"/>
    <w:rsid w:val="00F4374D"/>
    <w:rsid w:val="00F43CEF"/>
    <w:rsid w:val="00F52706"/>
    <w:rsid w:val="00F61B23"/>
    <w:rsid w:val="00F627D7"/>
    <w:rsid w:val="00F6337F"/>
    <w:rsid w:val="00F63A24"/>
    <w:rsid w:val="00F739F5"/>
    <w:rsid w:val="00F74EFC"/>
    <w:rsid w:val="00F80FA2"/>
    <w:rsid w:val="00F8257B"/>
    <w:rsid w:val="00F86F08"/>
    <w:rsid w:val="00F936E5"/>
    <w:rsid w:val="00F97459"/>
    <w:rsid w:val="00F97B7E"/>
    <w:rsid w:val="00FB56E7"/>
    <w:rsid w:val="00FB5B2B"/>
    <w:rsid w:val="00FC25C0"/>
    <w:rsid w:val="00FD1FBC"/>
    <w:rsid w:val="00FE1090"/>
    <w:rsid w:val="00FE221E"/>
    <w:rsid w:val="00FE3229"/>
    <w:rsid w:val="00FE49B6"/>
    <w:rsid w:val="00FE7CF4"/>
    <w:rsid w:val="00FF42FD"/>
    <w:rsid w:val="00FF53A9"/>
    <w:rsid w:val="02C796C3"/>
    <w:rsid w:val="08818A16"/>
    <w:rsid w:val="0B42C936"/>
    <w:rsid w:val="0E088158"/>
    <w:rsid w:val="1027F9C5"/>
    <w:rsid w:val="18CB64B2"/>
    <w:rsid w:val="1B894EEF"/>
    <w:rsid w:val="245D3163"/>
    <w:rsid w:val="2EABA02E"/>
    <w:rsid w:val="30EC9FF5"/>
    <w:rsid w:val="47C2C21A"/>
    <w:rsid w:val="48EAA23D"/>
    <w:rsid w:val="49BA7A74"/>
    <w:rsid w:val="49F5D804"/>
    <w:rsid w:val="4FC67E12"/>
    <w:rsid w:val="50ED1CCD"/>
    <w:rsid w:val="531D78DB"/>
    <w:rsid w:val="57B0C3ED"/>
    <w:rsid w:val="5AD802DF"/>
    <w:rsid w:val="6DBA38D7"/>
    <w:rsid w:val="6F53FA1C"/>
    <w:rsid w:val="72AD4109"/>
    <w:rsid w:val="7436FF9D"/>
    <w:rsid w:val="764473CD"/>
    <w:rsid w:val="7C98C5DF"/>
    <w:rsid w:val="7FAE2E3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9E3FD"/>
  <w15:chartTrackingRefBased/>
  <w15:docId w15:val="{3944C4FD-AB40-434A-AA81-347503E7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82B"/>
    <w:pPr>
      <w:spacing w:after="100" w:line="264" w:lineRule="auto"/>
    </w:pPr>
    <w:rPr>
      <w:rFonts w:ascii="Arial" w:hAnsi="Arial"/>
    </w:rPr>
  </w:style>
  <w:style w:type="paragraph" w:styleId="Heading1">
    <w:name w:val="heading 1"/>
    <w:basedOn w:val="Normal"/>
    <w:next w:val="Normal"/>
    <w:link w:val="Heading1Char"/>
    <w:uiPriority w:val="9"/>
    <w:qFormat/>
    <w:rsid w:val="009A0A07"/>
    <w:pPr>
      <w:keepNext/>
      <w:keepLines/>
      <w:spacing w:before="480" w:after="0" w:line="276" w:lineRule="auto"/>
      <w:outlineLvl w:val="0"/>
    </w:pPr>
    <w:rPr>
      <w:rFonts w:eastAsiaTheme="majorEastAsia" w:cstheme="majorBidi"/>
      <w:b/>
      <w:color w:val="4B0885" w:themeColor="text2"/>
      <w:sz w:val="56"/>
      <w:szCs w:val="32"/>
    </w:rPr>
  </w:style>
  <w:style w:type="paragraph" w:styleId="Heading2">
    <w:name w:val="heading 2"/>
    <w:basedOn w:val="Normal"/>
    <w:next w:val="Normal"/>
    <w:link w:val="Heading2Char"/>
    <w:uiPriority w:val="9"/>
    <w:unhideWhenUsed/>
    <w:qFormat/>
    <w:rsid w:val="00D12938"/>
    <w:pPr>
      <w:keepNext/>
      <w:keepLines/>
      <w:spacing w:before="240" w:after="0" w:line="276" w:lineRule="auto"/>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D12938"/>
    <w:pPr>
      <w:keepNext/>
      <w:keepLines/>
      <w:spacing w:before="240" w:after="0" w:line="276" w:lineRule="auto"/>
      <w:outlineLvl w:val="2"/>
    </w:pPr>
    <w:rPr>
      <w:rFonts w:eastAsiaTheme="majorEastAsia" w:cstheme="majorBidi"/>
      <w:b/>
      <w:color w:val="4B0885" w:themeColor="text2"/>
      <w:sz w:val="26"/>
      <w:szCs w:val="24"/>
    </w:rPr>
  </w:style>
  <w:style w:type="paragraph" w:styleId="Heading4">
    <w:name w:val="heading 4"/>
    <w:basedOn w:val="Normal"/>
    <w:next w:val="Normal"/>
    <w:link w:val="Heading4Char"/>
    <w:uiPriority w:val="9"/>
    <w:unhideWhenUsed/>
    <w:qFormat/>
    <w:rsid w:val="00D12938"/>
    <w:pPr>
      <w:spacing w:before="240" w:after="0" w:line="276" w:lineRule="auto"/>
      <w:outlineLvl w:val="3"/>
    </w:pPr>
    <w:rPr>
      <w:rFonts w:cs="Arial"/>
      <w:b/>
      <w:bCs/>
      <w:color w:val="012749" w:themeColor="accent3"/>
    </w:rPr>
  </w:style>
  <w:style w:type="paragraph" w:styleId="Heading5">
    <w:name w:val="heading 5"/>
    <w:basedOn w:val="Normal"/>
    <w:next w:val="Normal"/>
    <w:link w:val="Heading5Char"/>
    <w:uiPriority w:val="9"/>
    <w:unhideWhenUsed/>
    <w:qFormat/>
    <w:rsid w:val="00D12938"/>
    <w:pPr>
      <w:spacing w:before="240" w:after="0" w:line="276" w:lineRule="auto"/>
      <w:outlineLvl w:val="4"/>
    </w:pPr>
    <w:rPr>
      <w:rFonts w:cs="Arial"/>
      <w:color w:val="4B0885" w:themeColor="text2"/>
      <w:sz w:val="19"/>
      <w:szCs w:val="19"/>
    </w:rPr>
  </w:style>
  <w:style w:type="paragraph" w:styleId="Heading6">
    <w:name w:val="heading 6"/>
    <w:basedOn w:val="Normal"/>
    <w:next w:val="Normal"/>
    <w:link w:val="Heading6Char"/>
    <w:uiPriority w:val="9"/>
    <w:unhideWhenUsed/>
    <w:qFormat/>
    <w:rsid w:val="00D12938"/>
    <w:pPr>
      <w:keepNext/>
      <w:keepLines/>
      <w:spacing w:before="240" w:after="0" w:line="276" w:lineRule="auto"/>
      <w:outlineLvl w:val="5"/>
    </w:pPr>
    <w:rPr>
      <w:rFonts w:eastAsiaTheme="majorEastAsia" w:cstheme="majorBidi"/>
      <w:color w:val="341461" w:themeColor="accent1" w:themeShade="7F"/>
    </w:rPr>
  </w:style>
  <w:style w:type="paragraph" w:styleId="Heading7">
    <w:name w:val="heading 7"/>
    <w:basedOn w:val="Normal"/>
    <w:next w:val="Normal"/>
    <w:link w:val="Heading7Char"/>
    <w:uiPriority w:val="9"/>
    <w:unhideWhenUsed/>
    <w:rsid w:val="00642A9A"/>
    <w:pPr>
      <w:keepNext/>
      <w:keepLines/>
      <w:spacing w:before="240" w:after="0"/>
      <w:outlineLvl w:val="6"/>
    </w:pPr>
    <w:rPr>
      <w:rFonts w:asciiTheme="majorHAnsi" w:eastAsiaTheme="majorEastAsia" w:hAnsiTheme="majorHAnsi" w:cstheme="majorBidi"/>
      <w:i/>
      <w:iCs/>
      <w:color w:val="341461" w:themeColor="accent1" w:themeShade="7F"/>
    </w:rPr>
  </w:style>
  <w:style w:type="paragraph" w:styleId="Heading8">
    <w:name w:val="heading 8"/>
    <w:basedOn w:val="Normal"/>
    <w:next w:val="Normal"/>
    <w:link w:val="Heading8Char"/>
    <w:uiPriority w:val="9"/>
    <w:semiHidden/>
    <w:unhideWhenUsed/>
    <w:rsid w:val="00642A9A"/>
    <w:pPr>
      <w:keepNext/>
      <w:keepLines/>
      <w:spacing w:before="2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2A9A"/>
    <w:pPr>
      <w:keepNext/>
      <w:keepLines/>
      <w:spacing w:before="2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UnresolvedMention">
    <w:name w:val="Unresolved Mention"/>
    <w:basedOn w:val="DefaultParagraphFont"/>
    <w:uiPriority w:val="99"/>
    <w:semiHidden/>
    <w:unhideWhenUsed/>
    <w:rsid w:val="00E82EEB"/>
    <w:rPr>
      <w:color w:val="605E5C"/>
      <w:shd w:val="clear" w:color="auto" w:fill="E1DFDD"/>
    </w:rPr>
  </w:style>
  <w:style w:type="paragraph" w:styleId="Footer">
    <w:name w:val="footer"/>
    <w:basedOn w:val="Normal"/>
    <w:link w:val="FooterChar"/>
    <w:uiPriority w:val="99"/>
    <w:unhideWhenUsed/>
    <w:rsid w:val="00991526"/>
    <w:pPr>
      <w:tabs>
        <w:tab w:val="right" w:pos="9026"/>
      </w:tabs>
      <w:spacing w:before="20" w:after="0" w:line="240" w:lineRule="auto"/>
    </w:pPr>
    <w:rPr>
      <w:sz w:val="17"/>
      <w:szCs w:val="17"/>
    </w:rPr>
  </w:style>
  <w:style w:type="character" w:customStyle="1" w:styleId="FooterChar">
    <w:name w:val="Footer Char"/>
    <w:basedOn w:val="DefaultParagraphFont"/>
    <w:link w:val="Footer"/>
    <w:uiPriority w:val="99"/>
    <w:rsid w:val="00991526"/>
    <w:rPr>
      <w:color w:val="000000" w:themeColor="text1"/>
      <w:sz w:val="17"/>
      <w:szCs w:val="17"/>
    </w:rPr>
  </w:style>
  <w:style w:type="paragraph" w:styleId="Title">
    <w:name w:val="Title"/>
    <w:basedOn w:val="Normal"/>
    <w:next w:val="Normal"/>
    <w:link w:val="TitleChar"/>
    <w:uiPriority w:val="1"/>
    <w:rsid w:val="00233A75"/>
    <w:pPr>
      <w:spacing w:before="2600" w:after="240" w:line="252" w:lineRule="auto"/>
    </w:pPr>
    <w:rPr>
      <w:rFonts w:asciiTheme="majorHAnsi" w:eastAsiaTheme="majorEastAsia" w:hAnsiTheme="majorHAnsi" w:cstheme="majorBidi"/>
      <w:b/>
      <w:color w:val="FFFFFF" w:themeColor="background1"/>
      <w:spacing w:val="-2"/>
      <w:kern w:val="28"/>
      <w:sz w:val="80"/>
      <w:szCs w:val="80"/>
    </w:rPr>
  </w:style>
  <w:style w:type="character" w:customStyle="1" w:styleId="TitleChar">
    <w:name w:val="Title Char"/>
    <w:basedOn w:val="DefaultParagraphFont"/>
    <w:link w:val="Title"/>
    <w:uiPriority w:val="1"/>
    <w:rsid w:val="00233A75"/>
    <w:rPr>
      <w:rFonts w:asciiTheme="majorHAnsi" w:eastAsiaTheme="majorEastAsia" w:hAnsiTheme="majorHAnsi" w:cstheme="majorBidi"/>
      <w:b/>
      <w:color w:val="FFFFFF" w:themeColor="background1"/>
      <w:spacing w:val="-2"/>
      <w:kern w:val="28"/>
      <w:sz w:val="80"/>
      <w:szCs w:val="80"/>
    </w:rPr>
  </w:style>
  <w:style w:type="character" w:customStyle="1" w:styleId="Heading1Char">
    <w:name w:val="Heading 1 Char"/>
    <w:basedOn w:val="DefaultParagraphFont"/>
    <w:link w:val="Heading1"/>
    <w:uiPriority w:val="9"/>
    <w:rsid w:val="009A0A07"/>
    <w:rPr>
      <w:rFonts w:ascii="Arial" w:eastAsiaTheme="majorEastAsia" w:hAnsi="Arial" w:cstheme="majorBidi"/>
      <w:b/>
      <w:color w:val="4B0885" w:themeColor="text2"/>
      <w:sz w:val="56"/>
      <w:szCs w:val="32"/>
    </w:rPr>
  </w:style>
  <w:style w:type="paragraph" w:styleId="TOCHeading">
    <w:name w:val="TOC Heading"/>
    <w:basedOn w:val="Heading1"/>
    <w:next w:val="Normal"/>
    <w:uiPriority w:val="39"/>
    <w:unhideWhenUsed/>
    <w:qFormat/>
    <w:rsid w:val="007177A7"/>
    <w:pPr>
      <w:outlineLvl w:val="9"/>
    </w:pPr>
    <w:rPr>
      <w:lang w:val="en-US"/>
    </w:rPr>
  </w:style>
  <w:style w:type="paragraph" w:styleId="ListParagraph">
    <w:name w:val="List Paragraph"/>
    <w:basedOn w:val="Normal"/>
    <w:uiPriority w:val="34"/>
    <w:qFormat/>
    <w:rsid w:val="00E148F7"/>
    <w:pPr>
      <w:ind w:left="720"/>
      <w:contextualSpacing/>
    </w:pPr>
  </w:style>
  <w:style w:type="table" w:styleId="TableGrid">
    <w:name w:val="Table Grid"/>
    <w:basedOn w:val="TableNormal"/>
    <w:uiPriority w:val="39"/>
    <w:rsid w:val="00F4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7DBD"/>
    <w:rPr>
      <w:sz w:val="16"/>
      <w:szCs w:val="16"/>
    </w:rPr>
  </w:style>
  <w:style w:type="paragraph" w:styleId="CommentText">
    <w:name w:val="annotation text"/>
    <w:basedOn w:val="Normal"/>
    <w:link w:val="CommentTextChar"/>
    <w:uiPriority w:val="99"/>
    <w:unhideWhenUsed/>
    <w:rsid w:val="007F7DBD"/>
    <w:pPr>
      <w:spacing w:line="240" w:lineRule="auto"/>
    </w:pPr>
    <w:rPr>
      <w:sz w:val="20"/>
      <w:szCs w:val="20"/>
    </w:rPr>
  </w:style>
  <w:style w:type="character" w:customStyle="1" w:styleId="CommentTextChar">
    <w:name w:val="Comment Text Char"/>
    <w:basedOn w:val="DefaultParagraphFont"/>
    <w:link w:val="CommentText"/>
    <w:uiPriority w:val="99"/>
    <w:rsid w:val="007F7DBD"/>
    <w:rPr>
      <w:sz w:val="20"/>
      <w:szCs w:val="20"/>
    </w:rPr>
  </w:style>
  <w:style w:type="paragraph" w:styleId="CommentSubject">
    <w:name w:val="annotation subject"/>
    <w:basedOn w:val="CommentText"/>
    <w:next w:val="CommentText"/>
    <w:link w:val="CommentSubjectChar"/>
    <w:uiPriority w:val="99"/>
    <w:semiHidden/>
    <w:unhideWhenUsed/>
    <w:rsid w:val="007F7DBD"/>
    <w:rPr>
      <w:b/>
      <w:bCs/>
    </w:rPr>
  </w:style>
  <w:style w:type="character" w:customStyle="1" w:styleId="CommentSubjectChar">
    <w:name w:val="Comment Subject Char"/>
    <w:basedOn w:val="CommentTextChar"/>
    <w:link w:val="CommentSubject"/>
    <w:uiPriority w:val="99"/>
    <w:semiHidden/>
    <w:rsid w:val="007F7DBD"/>
    <w:rPr>
      <w:b/>
      <w:bCs/>
      <w:sz w:val="20"/>
      <w:szCs w:val="20"/>
    </w:rPr>
  </w:style>
  <w:style w:type="paragraph" w:styleId="NoSpacing">
    <w:name w:val="No Spacing"/>
    <w:uiPriority w:val="1"/>
    <w:qFormat/>
    <w:rsid w:val="006C282B"/>
    <w:pPr>
      <w:spacing w:after="0" w:line="240" w:lineRule="auto"/>
    </w:pPr>
    <w:rPr>
      <w:rFonts w:ascii="Arial" w:hAnsi="Arial"/>
    </w:rPr>
  </w:style>
  <w:style w:type="table" w:styleId="PlainTable4">
    <w:name w:val="Plain Table 4"/>
    <w:basedOn w:val="TableNormal"/>
    <w:uiPriority w:val="44"/>
    <w:rsid w:val="006066C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qFormat/>
    <w:rsid w:val="006C282B"/>
    <w:pPr>
      <w:numPr>
        <w:numId w:val="1"/>
      </w:numPr>
      <w:spacing w:after="120"/>
      <w:ind w:left="284" w:hanging="284"/>
    </w:pPr>
    <w:rPr>
      <w:rFonts w:eastAsia="SimSun" w:cs="Times New Roman"/>
      <w:spacing w:val="-1"/>
      <w:szCs w:val="20"/>
      <w:lang w:val="en-GB" w:eastAsia="en-GB"/>
    </w:rPr>
  </w:style>
  <w:style w:type="character" w:customStyle="1" w:styleId="Heading2Char">
    <w:name w:val="Heading 2 Char"/>
    <w:basedOn w:val="DefaultParagraphFont"/>
    <w:link w:val="Heading2"/>
    <w:uiPriority w:val="9"/>
    <w:rsid w:val="00D12938"/>
    <w:rPr>
      <w:rFonts w:ascii="Arial" w:eastAsiaTheme="majorEastAsia" w:hAnsi="Arial" w:cstheme="majorBidi"/>
      <w:b/>
      <w:sz w:val="32"/>
      <w:szCs w:val="26"/>
    </w:rPr>
  </w:style>
  <w:style w:type="paragraph" w:styleId="TOC1">
    <w:name w:val="toc 1"/>
    <w:basedOn w:val="Normal"/>
    <w:next w:val="Normal"/>
    <w:uiPriority w:val="39"/>
    <w:unhideWhenUsed/>
    <w:rsid w:val="00A3043E"/>
    <w:rPr>
      <w:b/>
      <w:color w:val="4B0885" w:themeColor="text2"/>
    </w:rPr>
  </w:style>
  <w:style w:type="character" w:customStyle="1" w:styleId="Heading3Char">
    <w:name w:val="Heading 3 Char"/>
    <w:basedOn w:val="DefaultParagraphFont"/>
    <w:link w:val="Heading3"/>
    <w:uiPriority w:val="9"/>
    <w:rsid w:val="00D12938"/>
    <w:rPr>
      <w:rFonts w:ascii="Arial" w:eastAsiaTheme="majorEastAsia" w:hAnsi="Arial" w:cstheme="majorBidi"/>
      <w:b/>
      <w:color w:val="4B0885" w:themeColor="text2"/>
      <w:sz w:val="26"/>
      <w:szCs w:val="24"/>
    </w:rPr>
  </w:style>
  <w:style w:type="paragraph" w:styleId="TOC2">
    <w:name w:val="toc 2"/>
    <w:basedOn w:val="Normal"/>
    <w:next w:val="Normal"/>
    <w:uiPriority w:val="39"/>
    <w:unhideWhenUsed/>
    <w:rsid w:val="00233A75"/>
    <w:pPr>
      <w:ind w:left="227"/>
    </w:pPr>
  </w:style>
  <w:style w:type="paragraph" w:styleId="TOC4">
    <w:name w:val="toc 4"/>
    <w:basedOn w:val="Normal"/>
    <w:next w:val="Normal"/>
    <w:autoRedefine/>
    <w:uiPriority w:val="39"/>
    <w:unhideWhenUsed/>
    <w:rsid w:val="007B2AD6"/>
    <w:pPr>
      <w:tabs>
        <w:tab w:val="right" w:leader="dot" w:pos="9016"/>
      </w:tabs>
      <w:ind w:left="220"/>
    </w:pPr>
  </w:style>
  <w:style w:type="paragraph" w:styleId="TOC3">
    <w:name w:val="toc 3"/>
    <w:basedOn w:val="Normal"/>
    <w:next w:val="Normal"/>
    <w:uiPriority w:val="39"/>
    <w:unhideWhenUsed/>
    <w:rsid w:val="00233A75"/>
    <w:pPr>
      <w:tabs>
        <w:tab w:val="right" w:leader="dot" w:pos="9016"/>
      </w:tabs>
      <w:ind w:left="454"/>
    </w:pPr>
  </w:style>
  <w:style w:type="paragraph" w:styleId="TOC5">
    <w:name w:val="toc 5"/>
    <w:basedOn w:val="Normal"/>
    <w:next w:val="Normal"/>
    <w:autoRedefine/>
    <w:uiPriority w:val="39"/>
    <w:unhideWhenUsed/>
    <w:rsid w:val="007B2AD6"/>
    <w:pPr>
      <w:tabs>
        <w:tab w:val="right" w:leader="dot" w:pos="9016"/>
      </w:tabs>
      <w:ind w:left="220"/>
    </w:pPr>
  </w:style>
  <w:style w:type="character" w:styleId="Hyperlink">
    <w:name w:val="Hyperlink"/>
    <w:basedOn w:val="DefaultParagraphFont"/>
    <w:uiPriority w:val="99"/>
    <w:unhideWhenUsed/>
    <w:rsid w:val="00A93DF6"/>
    <w:rPr>
      <w:color w:val="013D74" w:themeColor="hyperlink"/>
      <w:u w:val="single"/>
    </w:rPr>
  </w:style>
  <w:style w:type="paragraph" w:styleId="ListBullet2">
    <w:name w:val="List Bullet 2"/>
    <w:basedOn w:val="Normal"/>
    <w:qFormat/>
    <w:rsid w:val="006C282B"/>
    <w:pPr>
      <w:numPr>
        <w:ilvl w:val="1"/>
        <w:numId w:val="1"/>
      </w:numPr>
      <w:spacing w:after="110"/>
      <w:ind w:left="568" w:hanging="284"/>
    </w:pPr>
    <w:rPr>
      <w:rFonts w:eastAsia="SimSun" w:cs="Times New Roman"/>
      <w:spacing w:val="-1"/>
      <w:szCs w:val="20"/>
      <w:lang w:val="en-GB" w:eastAsia="en-GB"/>
    </w:rPr>
  </w:style>
  <w:style w:type="paragraph" w:styleId="ListBullet3">
    <w:name w:val="List Bullet 3"/>
    <w:basedOn w:val="Normal"/>
    <w:rsid w:val="00BE68F3"/>
    <w:pPr>
      <w:numPr>
        <w:ilvl w:val="2"/>
        <w:numId w:val="1"/>
      </w:numPr>
      <w:spacing w:line="240" w:lineRule="atLeast"/>
    </w:pPr>
    <w:rPr>
      <w:rFonts w:eastAsia="SimSun" w:cs="Times New Roman"/>
      <w:spacing w:val="-1"/>
      <w:szCs w:val="20"/>
      <w:lang w:val="en-GB" w:eastAsia="en-GB"/>
    </w:rPr>
  </w:style>
  <w:style w:type="paragraph" w:styleId="ListBullet4">
    <w:name w:val="List Bullet 4"/>
    <w:basedOn w:val="ListBullet3"/>
    <w:semiHidden/>
    <w:rsid w:val="00597EF7"/>
    <w:pPr>
      <w:numPr>
        <w:ilvl w:val="3"/>
      </w:numPr>
    </w:pPr>
  </w:style>
  <w:style w:type="character" w:customStyle="1" w:styleId="Heading4Char">
    <w:name w:val="Heading 4 Char"/>
    <w:basedOn w:val="DefaultParagraphFont"/>
    <w:link w:val="Heading4"/>
    <w:uiPriority w:val="9"/>
    <w:rsid w:val="00D12938"/>
    <w:rPr>
      <w:rFonts w:ascii="Arial" w:hAnsi="Arial" w:cs="Arial"/>
      <w:b/>
      <w:bCs/>
      <w:color w:val="012749" w:themeColor="accent3"/>
    </w:rPr>
  </w:style>
  <w:style w:type="character" w:customStyle="1" w:styleId="Heading5Char">
    <w:name w:val="Heading 5 Char"/>
    <w:basedOn w:val="DefaultParagraphFont"/>
    <w:link w:val="Heading5"/>
    <w:uiPriority w:val="9"/>
    <w:rsid w:val="00D12938"/>
    <w:rPr>
      <w:rFonts w:ascii="Arial" w:hAnsi="Arial" w:cs="Arial"/>
      <w:color w:val="4B0885" w:themeColor="text2"/>
      <w:sz w:val="19"/>
      <w:szCs w:val="19"/>
    </w:rPr>
  </w:style>
  <w:style w:type="character" w:customStyle="1" w:styleId="Heading6Char">
    <w:name w:val="Heading 6 Char"/>
    <w:basedOn w:val="DefaultParagraphFont"/>
    <w:link w:val="Heading6"/>
    <w:uiPriority w:val="9"/>
    <w:rsid w:val="00D12938"/>
    <w:rPr>
      <w:rFonts w:ascii="Arial" w:eastAsiaTheme="majorEastAsia" w:hAnsi="Arial" w:cstheme="majorBidi"/>
      <w:color w:val="341461" w:themeColor="accent1" w:themeShade="7F"/>
    </w:rPr>
  </w:style>
  <w:style w:type="character" w:customStyle="1" w:styleId="Heading7Char">
    <w:name w:val="Heading 7 Char"/>
    <w:basedOn w:val="DefaultParagraphFont"/>
    <w:link w:val="Heading7"/>
    <w:uiPriority w:val="9"/>
    <w:rsid w:val="00642A9A"/>
    <w:rPr>
      <w:rFonts w:asciiTheme="majorHAnsi" w:eastAsiaTheme="majorEastAsia" w:hAnsiTheme="majorHAnsi" w:cstheme="majorBidi"/>
      <w:i/>
      <w:iCs/>
      <w:color w:val="341461" w:themeColor="accent1" w:themeShade="7F"/>
    </w:rPr>
  </w:style>
  <w:style w:type="paragraph" w:styleId="Header">
    <w:name w:val="header"/>
    <w:basedOn w:val="Normal"/>
    <w:link w:val="HeaderChar"/>
    <w:uiPriority w:val="99"/>
    <w:unhideWhenUsed/>
    <w:rsid w:val="00C40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0E20"/>
    <w:rPr>
      <w:rFonts w:ascii="Arial" w:hAnsi="Arial"/>
      <w:color w:val="000000" w:themeColor="text1"/>
    </w:rPr>
  </w:style>
  <w:style w:type="paragraph" w:styleId="Caption">
    <w:name w:val="caption"/>
    <w:basedOn w:val="Normal"/>
    <w:next w:val="Normal"/>
    <w:uiPriority w:val="35"/>
    <w:unhideWhenUsed/>
    <w:qFormat/>
    <w:rsid w:val="00642A9A"/>
    <w:pPr>
      <w:keepNext/>
      <w:spacing w:before="320" w:after="200" w:line="240" w:lineRule="auto"/>
    </w:pPr>
    <w:rPr>
      <w:b/>
      <w:bCs/>
      <w:sz w:val="18"/>
      <w:szCs w:val="18"/>
    </w:rPr>
  </w:style>
  <w:style w:type="paragraph" w:styleId="Subtitle">
    <w:name w:val="Subtitle"/>
    <w:basedOn w:val="Normal"/>
    <w:next w:val="Normal"/>
    <w:link w:val="SubtitleChar"/>
    <w:uiPriority w:val="1"/>
    <w:rsid w:val="00233A75"/>
    <w:pPr>
      <w:numPr>
        <w:ilvl w:val="1"/>
      </w:numPr>
      <w:spacing w:before="480" w:after="160"/>
    </w:pPr>
    <w:rPr>
      <w:rFonts w:asciiTheme="majorHAnsi" w:eastAsiaTheme="minorEastAsia" w:hAnsiTheme="majorHAnsi"/>
      <w:color w:val="FFFFFF" w:themeColor="background1"/>
      <w:sz w:val="48"/>
      <w:szCs w:val="48"/>
    </w:rPr>
  </w:style>
  <w:style w:type="character" w:customStyle="1" w:styleId="SubtitleChar">
    <w:name w:val="Subtitle Char"/>
    <w:basedOn w:val="DefaultParagraphFont"/>
    <w:link w:val="Subtitle"/>
    <w:uiPriority w:val="1"/>
    <w:rsid w:val="00233A75"/>
    <w:rPr>
      <w:rFonts w:asciiTheme="majorHAnsi" w:eastAsiaTheme="minorEastAsia" w:hAnsiTheme="majorHAnsi"/>
      <w:color w:val="FFFFFF" w:themeColor="background1"/>
      <w:sz w:val="48"/>
      <w:szCs w:val="48"/>
    </w:rPr>
  </w:style>
  <w:style w:type="paragraph" w:customStyle="1" w:styleId="Spacer">
    <w:name w:val="Spacer"/>
    <w:basedOn w:val="NoSpacing"/>
    <w:qFormat/>
    <w:rsid w:val="00506CD7"/>
    <w:pPr>
      <w:tabs>
        <w:tab w:val="left" w:pos="2906"/>
      </w:tabs>
    </w:pPr>
    <w:rPr>
      <w:rFonts w:ascii="Times New Roman" w:hAnsi="Times New Roman" w:cs="Times New Roman"/>
      <w:bCs/>
      <w:noProof/>
      <w:color w:val="E55493" w:themeColor="accent6" w:themeTint="99"/>
      <w:spacing w:val="-5"/>
      <w:sz w:val="6"/>
      <w:szCs w:val="23"/>
    </w:rPr>
  </w:style>
  <w:style w:type="character" w:styleId="PlaceholderText">
    <w:name w:val="Placeholder Text"/>
    <w:basedOn w:val="DefaultParagraphFont"/>
    <w:uiPriority w:val="99"/>
    <w:semiHidden/>
    <w:rsid w:val="00C6447C"/>
    <w:rPr>
      <w:color w:val="808080"/>
    </w:rPr>
  </w:style>
  <w:style w:type="paragraph" w:customStyle="1" w:styleId="Source">
    <w:name w:val="Source"/>
    <w:basedOn w:val="Normal"/>
    <w:next w:val="Normal"/>
    <w:qFormat/>
    <w:rsid w:val="00AF2783"/>
    <w:pPr>
      <w:spacing w:before="120" w:after="120"/>
    </w:pPr>
    <w:rPr>
      <w:sz w:val="18"/>
      <w:szCs w:val="18"/>
    </w:rPr>
  </w:style>
  <w:style w:type="paragraph" w:styleId="MacroText">
    <w:name w:val="macro"/>
    <w:link w:val="MacroTextChar"/>
    <w:uiPriority w:val="99"/>
    <w:unhideWhenUsed/>
    <w:rsid w:val="00AF2783"/>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sz w:val="20"/>
      <w:szCs w:val="20"/>
    </w:rPr>
  </w:style>
  <w:style w:type="character" w:customStyle="1" w:styleId="MacroTextChar">
    <w:name w:val="Macro Text Char"/>
    <w:basedOn w:val="DefaultParagraphFont"/>
    <w:link w:val="MacroText"/>
    <w:uiPriority w:val="99"/>
    <w:rsid w:val="00AF2783"/>
    <w:rPr>
      <w:rFonts w:ascii="Consolas" w:hAnsi="Consolas"/>
      <w:sz w:val="20"/>
      <w:szCs w:val="20"/>
    </w:rPr>
  </w:style>
  <w:style w:type="table" w:customStyle="1" w:styleId="JSATable1">
    <w:name w:val="JSA Table 1"/>
    <w:basedOn w:val="TableNormal"/>
    <w:uiPriority w:val="99"/>
    <w:rsid w:val="00D73EA4"/>
    <w:pPr>
      <w:spacing w:after="0" w:line="240" w:lineRule="auto"/>
    </w:pPr>
    <w:tblPr>
      <w:tblStyleRowBandSize w:val="1"/>
      <w:tblBorders>
        <w:bottom w:val="single" w:sz="4" w:space="0" w:color="4B0885"/>
      </w:tblBorders>
    </w:tblPr>
    <w:tblStylePr w:type="firstRow">
      <w:tblPr/>
      <w:tcPr>
        <w:shd w:val="clear" w:color="auto" w:fill="2F005F"/>
      </w:tcPr>
    </w:tblStylePr>
    <w:tblStylePr w:type="band2Horz">
      <w:tblPr/>
      <w:tcPr>
        <w:shd w:val="clear" w:color="auto" w:fill="E6E6E6"/>
      </w:tcPr>
    </w:tblStylePr>
  </w:style>
  <w:style w:type="table" w:customStyle="1" w:styleId="JSATable2">
    <w:name w:val="JSA Table 2"/>
    <w:basedOn w:val="TableNormal"/>
    <w:uiPriority w:val="99"/>
    <w:rsid w:val="00A74E0F"/>
    <w:pPr>
      <w:spacing w:after="0" w:line="240" w:lineRule="auto"/>
    </w:pPr>
    <w:tblPr>
      <w:tblStyleRowBandSize w:val="1"/>
      <w:tblBorders>
        <w:bottom w:val="single" w:sz="4" w:space="0" w:color="A584C2"/>
      </w:tblBorders>
    </w:tblPr>
    <w:tblStylePr w:type="firstRow">
      <w:rPr>
        <w:rFonts w:asciiTheme="majorHAnsi" w:hAnsiTheme="majorHAnsi"/>
        <w:color w:val="FFFFFF" w:themeColor="background1"/>
        <w:sz w:val="22"/>
      </w:rPr>
      <w:tblPr/>
      <w:tcPr>
        <w:shd w:val="clear" w:color="auto" w:fill="012749" w:themeFill="accent3"/>
      </w:tcPr>
    </w:tblStylePr>
    <w:tblStylePr w:type="band2Horz">
      <w:tblPr/>
      <w:tcPr>
        <w:shd w:val="clear" w:color="auto" w:fill="E6E6E6"/>
      </w:tcPr>
    </w:tblStylePr>
  </w:style>
  <w:style w:type="paragraph" w:styleId="Index7">
    <w:name w:val="index 7"/>
    <w:basedOn w:val="Normal"/>
    <w:next w:val="Normal"/>
    <w:autoRedefine/>
    <w:uiPriority w:val="99"/>
    <w:semiHidden/>
    <w:unhideWhenUsed/>
    <w:rsid w:val="00244550"/>
    <w:pPr>
      <w:spacing w:before="240" w:after="0" w:line="240" w:lineRule="auto"/>
      <w:ind w:left="1542" w:hanging="221"/>
    </w:pPr>
  </w:style>
  <w:style w:type="character" w:customStyle="1" w:styleId="Heading8Char">
    <w:name w:val="Heading 8 Char"/>
    <w:basedOn w:val="DefaultParagraphFont"/>
    <w:link w:val="Heading8"/>
    <w:uiPriority w:val="9"/>
    <w:semiHidden/>
    <w:rsid w:val="00642A9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42A9A"/>
    <w:rPr>
      <w:rFonts w:asciiTheme="majorHAnsi" w:eastAsiaTheme="majorEastAsia" w:hAnsiTheme="majorHAnsi" w:cstheme="majorBidi"/>
      <w:i/>
      <w:iCs/>
      <w:color w:val="272727" w:themeColor="text1" w:themeTint="D8"/>
      <w:sz w:val="21"/>
      <w:szCs w:val="21"/>
    </w:rPr>
  </w:style>
  <w:style w:type="character" w:customStyle="1" w:styleId="StrongandEmphasis">
    <w:name w:val="Strong and Emphasis"/>
    <w:basedOn w:val="DefaultParagraphFont"/>
    <w:uiPriority w:val="1"/>
    <w:qFormat/>
    <w:rsid w:val="00D12938"/>
    <w:rPr>
      <w:rFonts w:ascii="Arial" w:hAnsi="Arial"/>
      <w:b/>
      <w:i/>
      <w:sz w:val="22"/>
    </w:rPr>
  </w:style>
  <w:style w:type="character" w:styleId="Emphasis">
    <w:name w:val="Emphasis"/>
    <w:basedOn w:val="DefaultParagraphFont"/>
    <w:qFormat/>
    <w:rsid w:val="002927DB"/>
    <w:rPr>
      <w:rFonts w:ascii="Arial" w:hAnsi="Arial"/>
      <w:i/>
      <w:iCs/>
      <w:sz w:val="22"/>
    </w:rPr>
  </w:style>
  <w:style w:type="character" w:styleId="Strong">
    <w:name w:val="Strong"/>
    <w:basedOn w:val="DefaultParagraphFont"/>
    <w:uiPriority w:val="22"/>
    <w:qFormat/>
    <w:rsid w:val="00DB0916"/>
    <w:rPr>
      <w:rFonts w:ascii="Arial" w:hAnsi="Arial"/>
      <w:b/>
      <w:bCs/>
      <w:sz w:val="22"/>
    </w:rPr>
  </w:style>
  <w:style w:type="paragraph" w:styleId="Quote">
    <w:name w:val="Quote"/>
    <w:basedOn w:val="Normal"/>
    <w:next w:val="Normal"/>
    <w:link w:val="QuoteChar"/>
    <w:uiPriority w:val="29"/>
    <w:qFormat/>
    <w:rsid w:val="00DB091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B0916"/>
    <w:rPr>
      <w:rFonts w:ascii="Arial" w:hAnsi="Arial"/>
      <w:i/>
      <w:iCs/>
      <w:color w:val="404040" w:themeColor="text1" w:themeTint="BF"/>
    </w:rPr>
  </w:style>
  <w:style w:type="paragraph" w:customStyle="1" w:styleId="Sub">
    <w:name w:val="Sub"/>
    <w:basedOn w:val="Heading2"/>
    <w:link w:val="SubChar"/>
    <w:qFormat/>
    <w:rsid w:val="00AA3BB9"/>
    <w:pPr>
      <w:spacing w:before="360" w:after="240"/>
    </w:pPr>
    <w:rPr>
      <w:sz w:val="40"/>
    </w:rPr>
  </w:style>
  <w:style w:type="character" w:customStyle="1" w:styleId="SubChar">
    <w:name w:val="Sub Char"/>
    <w:basedOn w:val="Heading2Char"/>
    <w:link w:val="Sub"/>
    <w:rsid w:val="00AA3BB9"/>
    <w:rPr>
      <w:rFonts w:ascii="Arial" w:eastAsiaTheme="majorEastAsia" w:hAnsi="Arial" w:cstheme="majorBidi"/>
      <w:b/>
      <w:sz w:val="40"/>
      <w:szCs w:val="26"/>
    </w:rPr>
  </w:style>
  <w:style w:type="table" w:styleId="PlainTable3">
    <w:name w:val="Plain Table 3"/>
    <w:basedOn w:val="TableNormal"/>
    <w:uiPriority w:val="43"/>
    <w:rsid w:val="006F76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114BC9"/>
    <w:pPr>
      <w:spacing w:after="0" w:line="240" w:lineRule="auto"/>
    </w:pPr>
    <w:tblPr>
      <w:tblStyleRowBandSize w:val="1"/>
      <w:tblStyleColBandSize w:val="1"/>
      <w:tblBorders>
        <w:top w:val="single" w:sz="4" w:space="0" w:color="C2A4EC" w:themeColor="accent1" w:themeTint="66"/>
        <w:left w:val="single" w:sz="4" w:space="0" w:color="C2A4EC" w:themeColor="accent1" w:themeTint="66"/>
        <w:bottom w:val="single" w:sz="4" w:space="0" w:color="C2A4EC" w:themeColor="accent1" w:themeTint="66"/>
        <w:right w:val="single" w:sz="4" w:space="0" w:color="C2A4EC" w:themeColor="accent1" w:themeTint="66"/>
        <w:insideH w:val="single" w:sz="4" w:space="0" w:color="C2A4EC" w:themeColor="accent1" w:themeTint="66"/>
        <w:insideV w:val="single" w:sz="4" w:space="0" w:color="C2A4EC" w:themeColor="accent1" w:themeTint="66"/>
      </w:tblBorders>
    </w:tblPr>
    <w:tblStylePr w:type="firstRow">
      <w:rPr>
        <w:b/>
        <w:bCs/>
      </w:rPr>
      <w:tblPr/>
      <w:tcPr>
        <w:tcBorders>
          <w:bottom w:val="single" w:sz="12" w:space="0" w:color="A377E2" w:themeColor="accent1" w:themeTint="99"/>
        </w:tcBorders>
      </w:tcPr>
    </w:tblStylePr>
    <w:tblStylePr w:type="lastRow">
      <w:rPr>
        <w:b/>
        <w:bCs/>
      </w:rPr>
      <w:tblPr/>
      <w:tcPr>
        <w:tcBorders>
          <w:top w:val="double" w:sz="2" w:space="0" w:color="A377E2"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3C333B"/>
    <w:rPr>
      <w:color w:val="4B0885" w:themeColor="followedHyperlink"/>
      <w:u w:val="single"/>
    </w:rPr>
  </w:style>
  <w:style w:type="table" w:styleId="PlainTable1">
    <w:name w:val="Plain Table 1"/>
    <w:basedOn w:val="TableNormal"/>
    <w:uiPriority w:val="41"/>
    <w:rsid w:val="009D06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C6A66"/>
    <w:pPr>
      <w:spacing w:before="100" w:beforeAutospacing="1" w:afterAutospacing="1" w:line="240" w:lineRule="auto"/>
    </w:pPr>
    <w:rPr>
      <w:rFonts w:ascii="Times New Roman" w:eastAsia="Times New Roman" w:hAnsi="Times New Roman" w:cs="Times New Roman"/>
      <w:sz w:val="24"/>
      <w:szCs w:val="24"/>
      <w:lang w:eastAsia="en-AU"/>
    </w:rPr>
  </w:style>
  <w:style w:type="paragraph" w:styleId="Revision">
    <w:name w:val="Revision"/>
    <w:hidden/>
    <w:uiPriority w:val="99"/>
    <w:semiHidden/>
    <w:rsid w:val="000F7E89"/>
    <w:pPr>
      <w:spacing w:after="0" w:line="240" w:lineRule="auto"/>
    </w:pPr>
    <w:rPr>
      <w:rFonts w:ascii="Arial" w:hAnsi="Arial"/>
    </w:rPr>
  </w:style>
  <w:style w:type="character" w:customStyle="1" w:styleId="StrongEmphasis">
    <w:name w:val="Strong Emphasis"/>
    <w:qFormat/>
    <w:rsid w:val="00BF24DC"/>
    <w:rPr>
      <w:b/>
      <w:bCs/>
    </w:rPr>
  </w:style>
  <w:style w:type="character" w:customStyle="1" w:styleId="SourceText">
    <w:name w:val="Source Text"/>
    <w:qFormat/>
    <w:rsid w:val="00BF24DC"/>
    <w:rPr>
      <w:rFonts w:ascii="Liberation Mono" w:eastAsia="Noto Sans Mono CJK SC" w:hAnsi="Liberation Mono" w:cs="Liberation Mono"/>
    </w:rPr>
  </w:style>
  <w:style w:type="paragraph" w:styleId="BodyText">
    <w:name w:val="Body Text"/>
    <w:basedOn w:val="Normal"/>
    <w:link w:val="BodyTextChar"/>
    <w:rsid w:val="00BF24DC"/>
    <w:pPr>
      <w:suppressAutoHyphens/>
      <w:spacing w:after="140" w:line="276" w:lineRule="auto"/>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BF24DC"/>
    <w:rPr>
      <w:rFonts w:ascii="Liberation Serif" w:eastAsia="Noto Serif CJK SC" w:hAnsi="Liberation Serif" w:cs="Lohit Devanagari"/>
      <w:kern w:val="2"/>
      <w:sz w:val="24"/>
      <w:szCs w:val="24"/>
      <w:lang w:eastAsia="zh-CN" w:bidi="hi-IN"/>
    </w:rPr>
  </w:style>
  <w:style w:type="paragraph" w:customStyle="1" w:styleId="PreformattedText">
    <w:name w:val="Preformatted Text"/>
    <w:basedOn w:val="Normal"/>
    <w:qFormat/>
    <w:rsid w:val="00BF24DC"/>
    <w:pPr>
      <w:suppressAutoHyphens/>
      <w:spacing w:after="0" w:line="240" w:lineRule="auto"/>
    </w:pPr>
    <w:rPr>
      <w:rFonts w:ascii="Liberation Mono" w:eastAsia="Noto Sans Mono CJK SC" w:hAnsi="Liberation Mono" w:cs="Liberation Mono"/>
      <w:kern w:val="2"/>
      <w:sz w:val="20"/>
      <w:szCs w:val="20"/>
      <w:lang w:eastAsia="zh-CN" w:bidi="hi-IN"/>
    </w:rPr>
  </w:style>
  <w:style w:type="paragraph" w:customStyle="1" w:styleId="TableContents">
    <w:name w:val="Table Contents"/>
    <w:basedOn w:val="Normal"/>
    <w:qFormat/>
    <w:rsid w:val="00BF24DC"/>
    <w:pPr>
      <w:widowControl w:val="0"/>
      <w:suppressLineNumbers/>
      <w:suppressAutoHyphens/>
      <w:spacing w:after="0" w:line="240" w:lineRule="auto"/>
    </w:pPr>
    <w:rPr>
      <w:rFonts w:ascii="Liberation Serif" w:eastAsia="Noto Serif CJK SC" w:hAnsi="Liberation Serif" w:cs="Lohit Devanagari"/>
      <w:kern w:val="2"/>
      <w:sz w:val="24"/>
      <w:szCs w:val="24"/>
      <w:lang w:eastAsia="zh-CN" w:bidi="hi-IN"/>
    </w:rPr>
  </w:style>
  <w:style w:type="paragraph" w:customStyle="1" w:styleId="TableHeading">
    <w:name w:val="Table Heading"/>
    <w:basedOn w:val="TableContents"/>
    <w:qFormat/>
    <w:rsid w:val="00BF24DC"/>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2338">
      <w:bodyDiv w:val="1"/>
      <w:marLeft w:val="0"/>
      <w:marRight w:val="0"/>
      <w:marTop w:val="0"/>
      <w:marBottom w:val="0"/>
      <w:divBdr>
        <w:top w:val="none" w:sz="0" w:space="0" w:color="auto"/>
        <w:left w:val="none" w:sz="0" w:space="0" w:color="auto"/>
        <w:bottom w:val="none" w:sz="0" w:space="0" w:color="auto"/>
        <w:right w:val="none" w:sz="0" w:space="0" w:color="auto"/>
      </w:divBdr>
    </w:div>
    <w:div w:id="163327440">
      <w:bodyDiv w:val="1"/>
      <w:marLeft w:val="0"/>
      <w:marRight w:val="0"/>
      <w:marTop w:val="0"/>
      <w:marBottom w:val="0"/>
      <w:divBdr>
        <w:top w:val="none" w:sz="0" w:space="0" w:color="auto"/>
        <w:left w:val="none" w:sz="0" w:space="0" w:color="auto"/>
        <w:bottom w:val="none" w:sz="0" w:space="0" w:color="auto"/>
        <w:right w:val="none" w:sz="0" w:space="0" w:color="auto"/>
      </w:divBdr>
    </w:div>
    <w:div w:id="430667725">
      <w:bodyDiv w:val="1"/>
      <w:marLeft w:val="0"/>
      <w:marRight w:val="0"/>
      <w:marTop w:val="0"/>
      <w:marBottom w:val="0"/>
      <w:divBdr>
        <w:top w:val="none" w:sz="0" w:space="0" w:color="auto"/>
        <w:left w:val="none" w:sz="0" w:space="0" w:color="auto"/>
        <w:bottom w:val="none" w:sz="0" w:space="0" w:color="auto"/>
        <w:right w:val="none" w:sz="0" w:space="0" w:color="auto"/>
      </w:divBdr>
    </w:div>
    <w:div w:id="940991614">
      <w:bodyDiv w:val="1"/>
      <w:marLeft w:val="0"/>
      <w:marRight w:val="0"/>
      <w:marTop w:val="0"/>
      <w:marBottom w:val="0"/>
      <w:divBdr>
        <w:top w:val="none" w:sz="0" w:space="0" w:color="auto"/>
        <w:left w:val="none" w:sz="0" w:space="0" w:color="auto"/>
        <w:bottom w:val="none" w:sz="0" w:space="0" w:color="auto"/>
        <w:right w:val="none" w:sz="0" w:space="0" w:color="auto"/>
      </w:divBdr>
    </w:div>
    <w:div w:id="980037202">
      <w:bodyDiv w:val="1"/>
      <w:marLeft w:val="0"/>
      <w:marRight w:val="0"/>
      <w:marTop w:val="0"/>
      <w:marBottom w:val="0"/>
      <w:divBdr>
        <w:top w:val="none" w:sz="0" w:space="0" w:color="auto"/>
        <w:left w:val="none" w:sz="0" w:space="0" w:color="auto"/>
        <w:bottom w:val="none" w:sz="0" w:space="0" w:color="auto"/>
        <w:right w:val="none" w:sz="0" w:space="0" w:color="auto"/>
      </w:divBdr>
    </w:div>
    <w:div w:id="1141313000">
      <w:bodyDiv w:val="1"/>
      <w:marLeft w:val="0"/>
      <w:marRight w:val="0"/>
      <w:marTop w:val="0"/>
      <w:marBottom w:val="0"/>
      <w:divBdr>
        <w:top w:val="none" w:sz="0" w:space="0" w:color="auto"/>
        <w:left w:val="none" w:sz="0" w:space="0" w:color="auto"/>
        <w:bottom w:val="none" w:sz="0" w:space="0" w:color="auto"/>
        <w:right w:val="none" w:sz="0" w:space="0" w:color="auto"/>
      </w:divBdr>
    </w:div>
    <w:div w:id="1169367505">
      <w:bodyDiv w:val="1"/>
      <w:marLeft w:val="0"/>
      <w:marRight w:val="0"/>
      <w:marTop w:val="0"/>
      <w:marBottom w:val="0"/>
      <w:divBdr>
        <w:top w:val="none" w:sz="0" w:space="0" w:color="auto"/>
        <w:left w:val="none" w:sz="0" w:space="0" w:color="auto"/>
        <w:bottom w:val="none" w:sz="0" w:space="0" w:color="auto"/>
        <w:right w:val="none" w:sz="0" w:space="0" w:color="auto"/>
      </w:divBdr>
    </w:div>
    <w:div w:id="1279412563">
      <w:bodyDiv w:val="1"/>
      <w:marLeft w:val="0"/>
      <w:marRight w:val="0"/>
      <w:marTop w:val="0"/>
      <w:marBottom w:val="0"/>
      <w:divBdr>
        <w:top w:val="none" w:sz="0" w:space="0" w:color="auto"/>
        <w:left w:val="none" w:sz="0" w:space="0" w:color="auto"/>
        <w:bottom w:val="none" w:sz="0" w:space="0" w:color="auto"/>
        <w:right w:val="none" w:sz="0" w:space="0" w:color="auto"/>
      </w:divBdr>
    </w:div>
    <w:div w:id="1463158771">
      <w:bodyDiv w:val="1"/>
      <w:marLeft w:val="0"/>
      <w:marRight w:val="0"/>
      <w:marTop w:val="0"/>
      <w:marBottom w:val="0"/>
      <w:divBdr>
        <w:top w:val="none" w:sz="0" w:space="0" w:color="auto"/>
        <w:left w:val="none" w:sz="0" w:space="0" w:color="auto"/>
        <w:bottom w:val="none" w:sz="0" w:space="0" w:color="auto"/>
        <w:right w:val="none" w:sz="0" w:space="0" w:color="auto"/>
      </w:divBdr>
    </w:div>
    <w:div w:id="1471559117">
      <w:bodyDiv w:val="1"/>
      <w:marLeft w:val="0"/>
      <w:marRight w:val="0"/>
      <w:marTop w:val="0"/>
      <w:marBottom w:val="0"/>
      <w:divBdr>
        <w:top w:val="none" w:sz="0" w:space="0" w:color="auto"/>
        <w:left w:val="none" w:sz="0" w:space="0" w:color="auto"/>
        <w:bottom w:val="none" w:sz="0" w:space="0" w:color="auto"/>
        <w:right w:val="none" w:sz="0" w:space="0" w:color="auto"/>
      </w:divBdr>
    </w:div>
    <w:div w:id="1743218818">
      <w:bodyDiv w:val="1"/>
      <w:marLeft w:val="0"/>
      <w:marRight w:val="0"/>
      <w:marTop w:val="0"/>
      <w:marBottom w:val="0"/>
      <w:divBdr>
        <w:top w:val="none" w:sz="0" w:space="0" w:color="auto"/>
        <w:left w:val="none" w:sz="0" w:space="0" w:color="auto"/>
        <w:bottom w:val="none" w:sz="0" w:space="0" w:color="auto"/>
        <w:right w:val="none" w:sz="0" w:space="0" w:color="auto"/>
      </w:divBdr>
    </w:div>
    <w:div w:id="1743289650">
      <w:bodyDiv w:val="1"/>
      <w:marLeft w:val="0"/>
      <w:marRight w:val="0"/>
      <w:marTop w:val="0"/>
      <w:marBottom w:val="0"/>
      <w:divBdr>
        <w:top w:val="none" w:sz="0" w:space="0" w:color="auto"/>
        <w:left w:val="none" w:sz="0" w:space="0" w:color="auto"/>
        <w:bottom w:val="none" w:sz="0" w:space="0" w:color="auto"/>
        <w:right w:val="none" w:sz="0" w:space="0" w:color="auto"/>
      </w:divBdr>
    </w:div>
    <w:div w:id="2047488005">
      <w:bodyDiv w:val="1"/>
      <w:marLeft w:val="0"/>
      <w:marRight w:val="0"/>
      <w:marTop w:val="0"/>
      <w:marBottom w:val="0"/>
      <w:divBdr>
        <w:top w:val="none" w:sz="0" w:space="0" w:color="auto"/>
        <w:left w:val="none" w:sz="0" w:space="0" w:color="auto"/>
        <w:bottom w:val="none" w:sz="0" w:space="0" w:color="auto"/>
        <w:right w:val="none" w:sz="0" w:space="0" w:color="auto"/>
      </w:divBdr>
    </w:div>
    <w:div w:id="2103061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sv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DB317D2DA340B1AF9BACDEE3AB05B6"/>
        <w:category>
          <w:name w:val="General"/>
          <w:gallery w:val="placeholder"/>
        </w:category>
        <w:types>
          <w:type w:val="bbPlcHdr"/>
        </w:types>
        <w:behaviors>
          <w:behavior w:val="content"/>
        </w:behaviors>
        <w:guid w:val="{46A77693-D3E8-468C-B253-5FB8596E7280}"/>
      </w:docPartPr>
      <w:docPartBody>
        <w:p w:rsidR="00C337DD" w:rsidRDefault="00C337DD">
          <w:r w:rsidRPr="00322167">
            <w:rPr>
              <w:rStyle w:val="PlaceholderText"/>
            </w:rPr>
            <w:t>[Title]</w:t>
          </w:r>
        </w:p>
      </w:docPartBody>
    </w:docPart>
    <w:docPart>
      <w:docPartPr>
        <w:name w:val="2D2D024BDF304EF58EB26857CD7A9952"/>
        <w:category>
          <w:name w:val="General"/>
          <w:gallery w:val="placeholder"/>
        </w:category>
        <w:types>
          <w:type w:val="bbPlcHdr"/>
        </w:types>
        <w:behaviors>
          <w:behavior w:val="content"/>
        </w:behaviors>
        <w:guid w:val="{0ACB7B68-71CD-44C4-B04C-91E1C95D966F}"/>
      </w:docPartPr>
      <w:docPartBody>
        <w:p w:rsidR="00EC6E4F" w:rsidRDefault="00AA5C14" w:rsidP="00AA5C14">
          <w:pPr>
            <w:pStyle w:val="2D2D024BDF304EF58EB26857CD7A9952"/>
          </w:pPr>
          <w:r w:rsidRPr="0032216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B81"/>
    <w:rsid w:val="00070D8C"/>
    <w:rsid w:val="000A06C3"/>
    <w:rsid w:val="000E153A"/>
    <w:rsid w:val="0012162E"/>
    <w:rsid w:val="00166B52"/>
    <w:rsid w:val="001D03DD"/>
    <w:rsid w:val="00244BF6"/>
    <w:rsid w:val="002A7F11"/>
    <w:rsid w:val="00327D8C"/>
    <w:rsid w:val="00333799"/>
    <w:rsid w:val="003668FC"/>
    <w:rsid w:val="00435A0B"/>
    <w:rsid w:val="004435EA"/>
    <w:rsid w:val="00461E16"/>
    <w:rsid w:val="00475DED"/>
    <w:rsid w:val="00497932"/>
    <w:rsid w:val="00507084"/>
    <w:rsid w:val="00530E2B"/>
    <w:rsid w:val="00551830"/>
    <w:rsid w:val="005660C1"/>
    <w:rsid w:val="005A0B81"/>
    <w:rsid w:val="005B5F11"/>
    <w:rsid w:val="005D2C98"/>
    <w:rsid w:val="005F7F04"/>
    <w:rsid w:val="0060605B"/>
    <w:rsid w:val="00634F4C"/>
    <w:rsid w:val="00652F08"/>
    <w:rsid w:val="00657D92"/>
    <w:rsid w:val="0066452D"/>
    <w:rsid w:val="007625F0"/>
    <w:rsid w:val="007E4D95"/>
    <w:rsid w:val="008049B1"/>
    <w:rsid w:val="00804C10"/>
    <w:rsid w:val="00834CFC"/>
    <w:rsid w:val="00862C75"/>
    <w:rsid w:val="0088497B"/>
    <w:rsid w:val="00965981"/>
    <w:rsid w:val="00A24F4A"/>
    <w:rsid w:val="00A25448"/>
    <w:rsid w:val="00A27109"/>
    <w:rsid w:val="00A34D6F"/>
    <w:rsid w:val="00A418A0"/>
    <w:rsid w:val="00AA5C14"/>
    <w:rsid w:val="00AF5996"/>
    <w:rsid w:val="00BE10B5"/>
    <w:rsid w:val="00C01F25"/>
    <w:rsid w:val="00C337DD"/>
    <w:rsid w:val="00C46CFB"/>
    <w:rsid w:val="00CE5B7F"/>
    <w:rsid w:val="00D45FE7"/>
    <w:rsid w:val="00DA104D"/>
    <w:rsid w:val="00DA7D59"/>
    <w:rsid w:val="00E16680"/>
    <w:rsid w:val="00E962D2"/>
    <w:rsid w:val="00EA637B"/>
    <w:rsid w:val="00EC6E4F"/>
    <w:rsid w:val="00EC7A82"/>
    <w:rsid w:val="00EE6C65"/>
    <w:rsid w:val="00EF6149"/>
    <w:rsid w:val="00F80FA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60C1"/>
    <w:rPr>
      <w:color w:val="808080"/>
    </w:rPr>
  </w:style>
  <w:style w:type="paragraph" w:customStyle="1" w:styleId="2D2D024BDF304EF58EB26857CD7A9952">
    <w:name w:val="2D2D024BDF304EF58EB26857CD7A9952"/>
    <w:rsid w:val="00AA5C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ew JSA purple fix">
      <a:dk1>
        <a:sysClr val="windowText" lastClr="000000"/>
      </a:dk1>
      <a:lt1>
        <a:sysClr val="window" lastClr="FFFFFF"/>
      </a:lt1>
      <a:dk2>
        <a:srgbClr val="4B0885"/>
      </a:dk2>
      <a:lt2>
        <a:srgbClr val="D2DE5A"/>
      </a:lt2>
      <a:accent1>
        <a:srgbClr val="6929C4"/>
      </a:accent1>
      <a:accent2>
        <a:srgbClr val="009D9A"/>
      </a:accent2>
      <a:accent3>
        <a:srgbClr val="012749"/>
      </a:accent3>
      <a:accent4>
        <a:srgbClr val="EE538B"/>
      </a:accent4>
      <a:accent5>
        <a:srgbClr val="1192E8"/>
      </a:accent5>
      <a:accent6>
        <a:srgbClr val="9F1853"/>
      </a:accent6>
      <a:hlink>
        <a:srgbClr val="013D74"/>
      </a:hlink>
      <a:folHlink>
        <a:srgbClr val="4B0885"/>
      </a:folHlink>
    </a:clrScheme>
    <a:fontScheme name="JSA New">
      <a:majorFont>
        <a:latin typeface="Arial Nova"/>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7969768-62ab-487f-bc7f-8e9e347fcb75" xsi:nil="true"/>
    <lcf76f155ced4ddcb4097134ff3c332f xmlns="e6bf2c1d-728b-424e-a97d-9d92898636bc">
      <Terms xmlns="http://schemas.microsoft.com/office/infopath/2007/PartnerControls"/>
    </lcf76f155ced4ddcb4097134ff3c332f>
    <Datereceived xmlns="e6bf2c1d-728b-424e-a97d-9d92898636bc" xsi:nil="true"/>
    <Datecreated xmlns="e6bf2c1d-728b-424e-a97d-9d92898636b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956F3758DD80545AA4315279A62C891" ma:contentTypeVersion="22" ma:contentTypeDescription="Create a new document." ma:contentTypeScope="" ma:versionID="f10ce72e57e368e4c9863d2cf11f8cde">
  <xsd:schema xmlns:xsd="http://www.w3.org/2001/XMLSchema" xmlns:xs="http://www.w3.org/2001/XMLSchema" xmlns:p="http://schemas.microsoft.com/office/2006/metadata/properties" xmlns:ns2="27969768-62ab-487f-bc7f-8e9e347fcb75" xmlns:ns3="e6bf2c1d-728b-424e-a97d-9d92898636bc" targetNamespace="http://schemas.microsoft.com/office/2006/metadata/properties" ma:root="true" ma:fieldsID="5585ccd50ae92fdcf3f3c82dd75e16ed" ns2:_="" ns3:_="">
    <xsd:import namespace="27969768-62ab-487f-bc7f-8e9e347fcb75"/>
    <xsd:import namespace="e6bf2c1d-728b-424e-a97d-9d92898636b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Datereceived" minOccurs="0"/>
                <xsd:element ref="ns3:Datecreated"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69768-62ab-487f-bc7f-8e9e347fcb7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992c5d9-485d-48d0-933c-17dba4fde91a}" ma:internalName="TaxCatchAll" ma:showField="CatchAllData" ma:web="27969768-62ab-487f-bc7f-8e9e347fcb7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bf2c1d-728b-424e-a97d-9d92898636b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atereceived" ma:index="26" nillable="true" ma:displayName="Date received" ma:description="Date received from Nous." ma:format="DateOnly" ma:internalName="Datereceived">
      <xsd:simpleType>
        <xsd:restriction base="dms:DateTime"/>
      </xsd:simpleType>
    </xsd:element>
    <xsd:element name="Datecreated" ma:index="27" nillable="true" ma:displayName="Date created" ma:description="Date the document was first created. If unsure of exact day, use the 1st of that month." ma:format="DateOnly" ma:internalName="Datecreated">
      <xsd:simpleType>
        <xsd:restriction base="dms:DateTim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767044-9AD2-45C6-9990-EA8601577B6B}">
  <ds:schemaRefs>
    <ds:schemaRef ds:uri="http://schemas.microsoft.com/sharepoint/v3/contenttype/forms"/>
  </ds:schemaRefs>
</ds:datastoreItem>
</file>

<file path=customXml/itemProps2.xml><?xml version="1.0" encoding="utf-8"?>
<ds:datastoreItem xmlns:ds="http://schemas.openxmlformats.org/officeDocument/2006/customXml" ds:itemID="{44083749-92F8-4312-917A-7ED321D5BB6C}">
  <ds:schemaRefs>
    <ds:schemaRef ds:uri="http://schemas.microsoft.com/office/2006/metadata/properties"/>
    <ds:schemaRef ds:uri="http://schemas.microsoft.com/office/infopath/2007/PartnerControls"/>
    <ds:schemaRef ds:uri="27969768-62ab-487f-bc7f-8e9e347fcb75"/>
    <ds:schemaRef ds:uri="e6bf2c1d-728b-424e-a97d-9d92898636bc"/>
  </ds:schemaRefs>
</ds:datastoreItem>
</file>

<file path=customXml/itemProps3.xml><?xml version="1.0" encoding="utf-8"?>
<ds:datastoreItem xmlns:ds="http://schemas.openxmlformats.org/officeDocument/2006/customXml" ds:itemID="{03CD174A-DF8D-45B2-A472-5D93840213C4}">
  <ds:schemaRefs>
    <ds:schemaRef ds:uri="http://schemas.openxmlformats.org/officeDocument/2006/bibliography"/>
  </ds:schemaRefs>
</ds:datastoreItem>
</file>

<file path=customXml/itemProps4.xml><?xml version="1.0" encoding="utf-8"?>
<ds:datastoreItem xmlns:ds="http://schemas.openxmlformats.org/officeDocument/2006/customXml" ds:itemID="{6F56D6CC-6902-480C-95A3-C0E0D0EAAB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969768-62ab-487f-bc7f-8e9e347fcb75"/>
    <ds:schemaRef ds:uri="e6bf2c1d-728b-424e-a97d-9d92898636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6667</TotalTime>
  <Pages>10</Pages>
  <Words>2576</Words>
  <Characters>16746</Characters>
  <Application>Microsoft Office Word</Application>
  <DocSecurity>0</DocSecurity>
  <Lines>418</Lines>
  <Paragraphs>301</Paragraphs>
  <ScaleCrop>false</ScaleCrop>
  <HeadingPairs>
    <vt:vector size="2" baseType="variant">
      <vt:variant>
        <vt:lpstr>Title</vt:lpstr>
      </vt:variant>
      <vt:variant>
        <vt:i4>1</vt:i4>
      </vt:variant>
    </vt:vector>
  </HeadingPairs>
  <TitlesOfParts>
    <vt:vector size="1" baseType="lpstr">
      <vt:lpstr>VET to Uni rapid test</vt:lpstr>
    </vt:vector>
  </TitlesOfParts>
  <Company>JSA</Company>
  <LinksUpToDate>false</LinksUpToDate>
  <CharactersWithSpaces>19021</CharactersWithSpaces>
  <SharedDoc>false</SharedDoc>
  <HLinks>
    <vt:vector size="12" baseType="variant">
      <vt:variant>
        <vt:i4>2162787</vt:i4>
      </vt:variant>
      <vt:variant>
        <vt:i4>3</vt:i4>
      </vt:variant>
      <vt:variant>
        <vt:i4>0</vt:i4>
      </vt:variant>
      <vt:variant>
        <vt:i4>5</vt:i4>
      </vt:variant>
      <vt:variant>
        <vt:lpwstr>https://www.canberra.edu.au/course/933AA/4/2026</vt:lpwstr>
      </vt:variant>
      <vt:variant>
        <vt:lpwstr/>
      </vt:variant>
      <vt:variant>
        <vt:i4>1572892</vt:i4>
      </vt:variant>
      <vt:variant>
        <vt:i4>0</vt:i4>
      </vt:variant>
      <vt:variant>
        <vt:i4>0</vt:i4>
      </vt:variant>
      <vt:variant>
        <vt:i4>5</vt:i4>
      </vt:variant>
      <vt:variant>
        <vt:lpwstr>https://training.gov.au/training/details/BSB50120/qualdetails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 to Uni rapid test</dc:title>
  <dc:subject>Report</dc:subject>
  <dc:creator>JSA</dc:creator>
  <cp:keywords>JSA report template</cp:keywords>
  <dc:description>Use this template to create a JSA report</dc:description>
  <cp:lastModifiedBy>MOHEBI,Ehsan</cp:lastModifiedBy>
  <cp:revision>54</cp:revision>
  <cp:lastPrinted>2025-05-03T03:26:00Z</cp:lastPrinted>
  <dcterms:created xsi:type="dcterms:W3CDTF">2025-10-13T01:46:00Z</dcterms:created>
  <dcterms:modified xsi:type="dcterms:W3CDTF">2026-02-20T01:41:00Z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2022-09-15T23:55:34Z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f75a6c9c-2dc5-4226-aa17-a78cb4793ba6</vt:lpwstr>
  </property>
  <property fmtid="{D5CDD505-2E9C-101B-9397-08002B2CF9AE}" pid="8" name="MSIP_Label_79d889eb-932f-4752-8739-64d25806ef64_ContentBits">
    <vt:lpwstr>0</vt:lpwstr>
  </property>
  <property fmtid="{D5CDD505-2E9C-101B-9397-08002B2CF9AE}" pid="9" name="MediaServiceImageTags">
    <vt:lpwstr/>
  </property>
  <property fmtid="{D5CDD505-2E9C-101B-9397-08002B2CF9AE}" pid="10" name="ContentTypeId">
    <vt:lpwstr>0x0101006956F3758DD80545AA4315279A62C891</vt:lpwstr>
  </property>
  <property fmtid="{D5CDD505-2E9C-101B-9397-08002B2CF9AE}" pid="11" name="docLang">
    <vt:lpwstr>en</vt:lpwstr>
  </property>
</Properties>
</file>