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3274E" w14:textId="658019B4" w:rsidR="00EE49FB" w:rsidRDefault="00093F7D" w:rsidP="006C282B">
      <w:pPr>
        <w:sectPr w:rsidR="00EE49FB" w:rsidSect="00083B07">
          <w:headerReference w:type="even" r:id="rId11"/>
          <w:headerReference w:type="default" r:id="rId12"/>
          <w:footerReference w:type="even" r:id="rId13"/>
          <w:footerReference w:type="default" r:id="rId14"/>
          <w:headerReference w:type="first" r:id="rId15"/>
          <w:footerReference w:type="first" r:id="rId16"/>
          <w:type w:val="continuous"/>
          <w:pgSz w:w="11906" w:h="16838"/>
          <w:pgMar w:top="2124" w:right="1440" w:bottom="1134" w:left="1440" w:header="0" w:footer="539" w:gutter="0"/>
          <w:pgNumType w:start="1"/>
          <w:cols w:space="708"/>
          <w:titlePg/>
          <w:docGrid w:linePitch="360"/>
        </w:sectPr>
      </w:pPr>
      <w:bookmarkStart w:id="0" w:name="_Toc118443202"/>
      <w:bookmarkStart w:id="1" w:name="_Toc119418020"/>
      <w:r>
        <w:rPr>
          <w:noProof/>
        </w:rPr>
        <w:drawing>
          <wp:anchor distT="0" distB="0" distL="114300" distR="114300" simplePos="0" relativeHeight="251658240" behindDoc="0" locked="0" layoutInCell="1" allowOverlap="1" wp14:anchorId="0CBAD37C" wp14:editId="250BFBFD">
            <wp:simplePos x="0" y="0"/>
            <wp:positionH relativeFrom="page">
              <wp:align>right</wp:align>
            </wp:positionH>
            <wp:positionV relativeFrom="paragraph">
              <wp:posOffset>-1348740</wp:posOffset>
            </wp:positionV>
            <wp:extent cx="7550596" cy="1624330"/>
            <wp:effectExtent l="0" t="0" r="0" b="0"/>
            <wp:wrapNone/>
            <wp:docPr id="709284876"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84876" name="Graphic 3">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7550596" cy="1624330"/>
                    </a:xfrm>
                    <a:prstGeom prst="rect">
                      <a:avLst/>
                    </a:prstGeom>
                  </pic:spPr>
                </pic:pic>
              </a:graphicData>
            </a:graphic>
            <wp14:sizeRelH relativeFrom="page">
              <wp14:pctWidth>0</wp14:pctWidth>
            </wp14:sizeRelH>
            <wp14:sizeRelV relativeFrom="page">
              <wp14:pctHeight>0</wp14:pctHeight>
            </wp14:sizeRelV>
          </wp:anchor>
        </w:drawing>
      </w:r>
    </w:p>
    <w:p>
      <w:pPr>
        <w:pStyle w:val="Heading1"/>
      </w:pPr>
      <w:r>
        <w:t xml:space="preserve">A Direct One-vs-All Skill-Matching Strategy for Automated Credit Transfer Recommendation</w:t>
      </w:r>
    </w:p>
    <w:p>
      <w:pPr>
        <w:pStyle w:val="BodyText"/>
      </w:pPr>
      <w:r>
        <w:rPr>
          <w:rStyle w:val="StrongEmphasis"/>
        </w:rPr>
        <w:t xml:space="preserve">Technical Report</w:t>
      </w:r>
    </w:p>
    <w:p>
      <w:pPr>
        <w:pStyle w:val="BodyText"/>
      </w:pPr>
      <w:r>
        <w:t xml:space="preserve">Date: June 2026</w:t>
      </w:r>
    </w:p>
    <w:p>
      <w:pPr>
        <w:pStyle w:val="Heading2"/>
      </w:pPr>
      <w:r>
        <w:t xml:space="preserve">Abstract</w:t>
      </w:r>
    </w:p>
    <w:p>
      <w:pPr>
        <w:pStyle w:val="BodyText"/>
      </w:pPr>
      <w:r>
        <w:t xml:space="preserve">This technical report specifies the direct one-vs-all matching strategy used in production by an automated credit transfer recommender that maps Vocational Education and Training (VET) units of competency onto the courses of a university qualification. The recommender transforms unstructured competency descriptions into structured skill representations through a four-stage pipeline (extraction, refinement, differentiation, and recommendation) and produces FULL, PARTIAL, or NONE recommendations for each university course. Building on transformer-based embedding models [13, 14] and large language models for capability extraction [11, 12], the system computes a per-pair score that linearly combines semantic similarity, skill-level compatibility encoded through the Skills Framework for the Information Age (SFIA) [20], and contextual compatibility. Under the direct one-vs-all strategy each university outcome is treated as an independent unit of decision and paired with its best partner drawn from the entire pool of VET skills. A sequence of deterministic guards, a hard winner cap, and a large language model equivalence judge progressively refine candidate matches before a multidimensional headline score is aggregated and classified. This report documents every coefficient, threshold, and decision rule that affects the headline score, together with the value currently set in the production configuration.</w:t>
      </w:r>
    </w:p>
    <w:p>
      <w:pPr>
        <w:pStyle w:val="Heading2"/>
      </w:pPr>
      <w:r>
        <w:t xml:space="preserve">1. Introduction</w:t>
      </w:r>
    </w:p>
    <w:p>
      <w:pPr>
        <w:pStyle w:val="BodyText"/>
      </w:pPr>
      <w:r>
        <w:t xml:space="preserve">The recognition of prior learning and credit transfer between vocational and higher education institutions represents a critical challenge in modern educational systems [1]. Traditional manual assessment methods are time-consuming, subjective, and often inconsistent across institutions [2]. This report presents the production matching strategy of an automated framework that leverages advances in natural language processing and machine learning to analyse and recommend credit transfers based on skill-level hybrid matching. Where an earlier companion report described the framework in general terms, the present document specifies the operational strategy, direct one-vs-all, from the first cosine similarity computation through to the final FULL, PARTIAL, or NONE classification.</w:t>
      </w:r>
    </w:p>
    <w:p>
      <w:pPr>
        <w:pStyle w:val="Heading3"/>
      </w:pPr>
      <w:r>
        <w:t xml:space="preserve">1.1 Background and Motivation</w:t>
      </w:r>
    </w:p>
    <w:p>
      <w:pPr>
        <w:pStyle w:val="BodyText"/>
      </w:pPr>
      <w:r>
        <w:t xml:space="preserve">The Australian Qualifications Framework (AQF) and comparable international frameworks aim to facilitate pathways between different levels of education [3]. The practical implementation of credit transfer nonetheless remains difficult for several reasons:</w:t>
      </w:r>
    </w:p>
    <w:p>
      <w:pPr>
        <w:pStyle w:val="BodyText"/>
      </w:pPr>
      <w:r>
        <w:t xml:space="preserve">• </w:t>
      </w:r>
      <w:r>
        <w:rPr>
          <w:rStyle w:val="StrongEmphasis"/>
        </w:rPr>
        <w:t xml:space="preserve">Semantic Gap</w:t>
      </w:r>
      <w:r>
        <w:t xml:space="preserve">: VET and university programs often describe similar competencies using different terminology and frameworks [4].</w:t>
      </w:r>
    </w:p>
    <w:p>
      <w:pPr>
        <w:pStyle w:val="BodyText"/>
      </w:pPr>
      <w:r>
        <w:t xml:space="preserve">• </w:t>
      </w:r>
      <w:r>
        <w:rPr>
          <w:rStyle w:val="StrongEmphasis"/>
        </w:rPr>
        <w:t xml:space="preserve">Granularity Mismatch</w:t>
      </w:r>
      <w:r>
        <w:t xml:space="preserve">: VET units typically focus on specific practical skills, whereas university courses emphasise broader theoretical concepts [5].</w:t>
      </w:r>
    </w:p>
    <w:p>
      <w:pPr>
        <w:pStyle w:val="BodyText"/>
      </w:pPr>
      <w:r>
        <w:t xml:space="preserve">• </w:t>
      </w:r>
      <w:r>
        <w:rPr>
          <w:rStyle w:val="StrongEmphasis"/>
        </w:rPr>
        <w:t xml:space="preserve">Context Variation</w:t>
      </w:r>
      <w:r>
        <w:t xml:space="preserve">: The balance between theoretical knowledge and practical application differs significantly between sectors [6].</w:t>
      </w:r>
    </w:p>
    <w:p>
      <w:pPr>
        <w:pStyle w:val="BodyText"/>
      </w:pPr>
      <w:r>
        <w:t xml:space="preserve">• </w:t>
      </w:r>
      <w:r>
        <w:rPr>
          <w:rStyle w:val="StrongEmphasis"/>
        </w:rPr>
        <w:t xml:space="preserve">Level Calibration</w:t>
      </w:r>
      <w:r>
        <w:t xml:space="preserve">: Mapping between educational taxonomies, such as AQF levels and Bloom’s taxonomy, requires a sophisticated understanding of cognitive complexity [7].</w:t>
      </w:r>
    </w:p>
    <w:p>
      <w:pPr>
        <w:pStyle w:val="Heading3"/>
      </w:pPr>
      <w:r>
        <w:t xml:space="preserve">1.2 Contributions</w:t>
      </w:r>
    </w:p>
    <w:p>
      <w:pPr>
        <w:pStyle w:val="BodyText"/>
      </w:pPr>
      <w:r>
        <w:t xml:space="preserve">This report makes the following contributions to the specification of automated credit transfer analysis:</w:t>
      </w:r>
    </w:p>
    <w:p>
      <w:pPr>
        <w:pStyle w:val="BodyText"/>
      </w:pPr>
      <w:r>
        <w:t xml:space="preserve">• </w:t>
      </w:r>
      <w:r>
        <w:t xml:space="preserve">A precise specification of the direct one-vs-all matching strategy in which each university outcome is independently paired with its best partner from the full pool of VET skills.</w:t>
      </w:r>
    </w:p>
    <w:p>
      <w:pPr>
        <w:pStyle w:val="BodyText"/>
      </w:pPr>
      <w:r>
        <w:t xml:space="preserve">• </w:t>
      </w:r>
      <w:r>
        <w:t xml:space="preserve">A layered refinement procedure that combines deterministic checks with large language model validation to produce auditable duplicate, out-of-scope, and misinterpretation flags.</w:t>
      </w:r>
    </w:p>
    <w:p>
      <w:pPr>
        <w:pStyle w:val="BodyText"/>
      </w:pPr>
      <w:r>
        <w:t xml:space="preserve">• </w:t>
      </w:r>
      <w:r>
        <w:t xml:space="preserve">A multidimensional headline scoring system that combines coverage, quality, level alignment, context compatibility, confidence, and volume of learning with configurable weights and defensive edge-case penalties.</w:t>
      </w:r>
    </w:p>
    <w:p>
      <w:pPr>
        <w:pStyle w:val="BodyText"/>
      </w:pPr>
      <w:r>
        <w:t xml:space="preserve">• </w:t>
      </w:r>
      <w:r>
        <w:t xml:space="preserve">A complete enumeration of every coefficient, threshold, and decision rule affecting the headline score, each reported with its current production value.</w:t>
      </w:r>
    </w:p>
    <w:p>
      <w:pPr>
        <w:pStyle w:val="Heading3"/>
      </w:pPr>
      <w:r>
        <w:t xml:space="preserve">1.3 Related Work</w:t>
      </w:r>
    </w:p>
    <w:p>
      <w:pPr>
        <w:pStyle w:val="BodyText"/>
      </w:pPr>
      <w:r>
        <w:t xml:space="preserve">Previous work on competency extraction has focused primarily on job advertisements and resumes [8, 9]. The European Skills, Competences, Qualifications and Occupations (ESCO) classification provides a multilingual taxonomy of skills but lacks the granularity required for educational credit transfer [10]. Recent advances in large language models have shown promise in extracting skills from unstructured text: Zhang et al. [11] demonstrated that generative models could identify technical skills with high accuracy, and Bhola et al. [12] used BERT-based models for skill extraction from job postings. These approaches do not, however, address the translation between educational contexts that credit transfer requires.</w:t>
      </w:r>
    </w:p>
    <w:p>
      <w:pPr>
        <w:pStyle w:val="BodyText"/>
      </w:pPr>
      <w:r>
        <w:t xml:space="preserve">Semantic similarity measures for skill matching have evolved from keyword matching to embedding-based approaches. Sentence-BERT [13] and its variants have become the standard for computing semantic similarity between short texts, and recent models such as Jina Embeddings [14] provide improved performance for domain-specific applications. The present system embeds skill names with a sentence-transformer of this family. The challenge of many-to-many skill matching has previously been approached through clustering algorithms including DBSCAN [15] and hierarchical clustering [16], whose effectiveness depends heavily on embedding quality. Automated recognition-of-prior-learning systems have been explored in several contexts: the European Credit Transfer and Accumulation System (ECTS) provides a framework but no automated matching [17], while the Credit Transfer Assessment Tool developed by TAFE NSW relies primarily on keyword matching [18]. Smith et al. [19] proposed ontology-based reasoning for credit transfer but required extensive manual ontology construction that does not scale to new qualifications.</w:t>
      </w:r>
    </w:p>
    <w:p>
      <w:pPr>
        <w:pStyle w:val="Heading2"/>
      </w:pPr>
      <w:r>
        <w:t xml:space="preserve">2. Pipeline Overview</w:t>
      </w:r>
    </w:p>
    <w:p>
      <w:pPr>
        <w:pStyle w:val="BodyText"/>
      </w:pPr>
      <w:r>
        <w:t xml:space="preserve">Each run executes four steps in sequence. Every step writes its outputs to disk so that a later step can resume from a prior run. The first three steps (extraction, refinement, and differentiation) produce skills with consistent levels and audit metadata; the fourth step performs the matching and scoring that yields recommendations.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0"/>
        <w:gridCol w:w="1400"/>
        <w:gridCol w:w="4626"/>
        <w:gridCol w:w="2500"/>
      </w:tblGrid>
      <w:tr>
        <w:tc>
          <w:tcPr>
            <w:tcW w:w="500" w:type="dxa"/>
            <w:shd w:val="clear" w:color="auto" w:fill="EDE3F5"/>
            <w:vAlign w:val="center"/>
          </w:tcPr>
          <w:p>
            <w:pPr>
              <w:pStyle w:val="TableHeading"/>
            </w:pPr>
            <w:r>
              <w:t xml:space="preserve">#</w:t>
            </w:r>
          </w:p>
        </w:tc>
        <w:tc>
          <w:tcPr>
            <w:tcW w:w="1400" w:type="dxa"/>
            <w:shd w:val="clear" w:color="auto" w:fill="EDE3F5"/>
            <w:vAlign w:val="center"/>
          </w:tcPr>
          <w:p>
            <w:pPr>
              <w:pStyle w:val="TableHeading"/>
            </w:pPr>
            <w:r>
              <w:t xml:space="preserve">Step</w:t>
            </w:r>
          </w:p>
        </w:tc>
        <w:tc>
          <w:tcPr>
            <w:tcW w:w="4626" w:type="dxa"/>
            <w:shd w:val="clear" w:color="auto" w:fill="EDE3F5"/>
            <w:vAlign w:val="center"/>
          </w:tcPr>
          <w:p>
            <w:pPr>
              <w:pStyle w:val="TableHeading"/>
            </w:pPr>
            <w:r>
              <w:t xml:space="preserve">Purpose</w:t>
            </w:r>
          </w:p>
        </w:tc>
        <w:tc>
          <w:tcPr>
            <w:tcW w:w="2500" w:type="dxa"/>
            <w:shd w:val="clear" w:color="auto" w:fill="EDE3F5"/>
            <w:vAlign w:val="center"/>
          </w:tcPr>
          <w:p>
            <w:pPr>
              <w:pStyle w:val="TableHeading"/>
            </w:pPr>
            <w:r>
              <w:t xml:space="preserve">Output</w:t>
            </w:r>
          </w:p>
        </w:tc>
      </w:tr>
      <w:tr>
        <w:tc>
          <w:tcPr>
            <w:tcW w:w="500" w:type="dxa"/>
          </w:tcPr>
          <w:p>
            <w:pPr>
              <w:pStyle w:val="TableContents"/>
            </w:pPr>
            <w:r>
              <w:t xml:space="preserve">1</w:t>
            </w:r>
          </w:p>
        </w:tc>
        <w:tc>
          <w:tcPr>
            <w:tcW w:w="1400" w:type="dxa"/>
          </w:tcPr>
          <w:p>
            <w:pPr>
              <w:pStyle w:val="TableContents"/>
            </w:pPr>
            <w:r>
              <w:t xml:space="preserve">Extract</w:t>
            </w:r>
          </w:p>
        </w:tc>
        <w:tc>
          <w:tcPr>
            <w:tcW w:w="4626" w:type="dxa"/>
          </w:tcPr>
          <w:p>
            <w:pPr>
              <w:pStyle w:val="TableContents"/>
            </w:pPr>
            <w:r>
              <w:t xml:space="preserve">Extract a list of discrete skills from each VET unit and each university course using a large language model.</w:t>
            </w:r>
          </w:p>
        </w:tc>
        <w:tc>
          <w:tcPr>
            <w:tcW w:w="2500" w:type="dxa"/>
          </w:tcPr>
          <w:p>
            <w:pPr>
              <w:pStyle w:val="TableContents"/>
            </w:pPr>
            <w:r>
              <w:t xml:space="preserve">vet_skills.json, uni_skills.json</w:t>
            </w:r>
          </w:p>
        </w:tc>
      </w:tr>
      <w:tr>
        <w:tc>
          <w:tcPr>
            <w:tcW w:w="500" w:type="dxa"/>
          </w:tcPr>
          <w:p>
            <w:pPr>
              <w:pStyle w:val="TableContents"/>
            </w:pPr>
            <w:r>
              <w:t xml:space="preserve">2</w:t>
            </w:r>
          </w:p>
        </w:tc>
        <w:tc>
          <w:tcPr>
            <w:tcW w:w="1400" w:type="dxa"/>
          </w:tcPr>
          <w:p>
            <w:pPr>
              <w:pStyle w:val="TableContents"/>
            </w:pPr>
            <w:r>
              <w:t xml:space="preserve">Refine</w:t>
            </w:r>
          </w:p>
        </w:tc>
        <w:tc>
          <w:tcPr>
            <w:tcW w:w="4626" w:type="dxa"/>
          </w:tcPr>
          <w:p>
            <w:pPr>
              <w:pStyle w:val="TableContents"/>
            </w:pPr>
            <w:r>
              <w:t xml:space="preserve">Polish skill names and descriptions, add boolean audit flags such as is_duplicate and is_out_of_scope, and fill gaps from performance criteria.</w:t>
            </w:r>
          </w:p>
        </w:tc>
        <w:tc>
          <w:tcPr>
            <w:tcW w:w="2500" w:type="dxa"/>
          </w:tcPr>
          <w:p>
            <w:pPr>
              <w:pStyle w:val="TableContents"/>
            </w:pPr>
            <w:r>
              <w:t xml:space="preserve">vet_skills_refined.json, uni_skills_refined.json</w:t>
            </w:r>
          </w:p>
        </w:tc>
      </w:tr>
      <w:tr>
        <w:tc>
          <w:tcPr>
            <w:tcW w:w="500" w:type="dxa"/>
          </w:tcPr>
          <w:p>
            <w:pPr>
              <w:pStyle w:val="TableContents"/>
            </w:pPr>
            <w:r>
              <w:t xml:space="preserve">3</w:t>
            </w:r>
          </w:p>
        </w:tc>
        <w:tc>
          <w:tcPr>
            <w:tcW w:w="1400" w:type="dxa"/>
          </w:tcPr>
          <w:p>
            <w:pPr>
              <w:pStyle w:val="TableContents"/>
            </w:pPr>
            <w:r>
              <w:t xml:space="preserve">Differentiate</w:t>
            </w:r>
          </w:p>
        </w:tc>
        <w:tc>
          <w:tcPr>
            <w:tcW w:w="4626" w:type="dxa"/>
          </w:tcPr>
          <w:p>
            <w:pPr>
              <w:pStyle w:val="TableContents"/>
            </w:pPr>
            <w:r>
              <w:t xml:space="preserve">Adjust SFIA skill levels so that the cohort is internally consistent.</w:t>
            </w:r>
          </w:p>
        </w:tc>
        <w:tc>
          <w:tcPr>
            <w:tcW w:w="2500" w:type="dxa"/>
          </w:tcPr>
          <w:p>
            <w:pPr>
              <w:pStyle w:val="TableContents"/>
            </w:pPr>
            <w:r>
              <w:t xml:space="preserve">In-place edits on extracted skills.</w:t>
            </w:r>
          </w:p>
        </w:tc>
      </w:tr>
      <w:tr>
        <w:tc>
          <w:tcPr>
            <w:tcW w:w="500" w:type="dxa"/>
          </w:tcPr>
          <w:p>
            <w:pPr>
              <w:pStyle w:val="TableContents"/>
            </w:pPr>
            <w:r>
              <w:t xml:space="preserve">4</w:t>
            </w:r>
          </w:p>
        </w:tc>
        <w:tc>
          <w:tcPr>
            <w:tcW w:w="1400" w:type="dxa"/>
          </w:tcPr>
          <w:p>
            <w:pPr>
              <w:pStyle w:val="TableContents"/>
            </w:pPr>
            <w:r>
              <w:t xml:space="preserve">Recommendation</w:t>
            </w:r>
          </w:p>
        </w:tc>
        <w:tc>
          <w:tcPr>
            <w:tcW w:w="4626" w:type="dxa"/>
          </w:tcPr>
          <w:p>
            <w:pPr>
              <w:pStyle w:val="TableContents"/>
            </w:pPr>
            <w:r>
              <w:t xml:space="preserve">Pairwise matching, guards, equivalence judging, headline scoring, and the recommendation decision.</w:t>
            </w:r>
          </w:p>
        </w:tc>
        <w:tc>
          <w:tcPr>
            <w:tcW w:w="2500" w:type="dxa"/>
          </w:tcPr>
          <w:p>
            <w:pPr>
              <w:pStyle w:val="TableContents"/>
            </w:pPr>
            <w:r>
              <w:t xml:space="preserve">recommendations.json, match_debug.csv, skill_mapping.xlsx</w:t>
            </w:r>
          </w:p>
        </w:tc>
      </w:tr>
    </w:tbl>
    <w:p>
      <w:pPr>
        <w:pStyle w:val="BodyText"/>
      </w:pPr>
    </w:p>
    <w:p>
      <w:pPr>
        <w:pStyle w:val="BodyText"/>
      </w:pPr>
      <w:r>
        <w:t xml:space="preserve">The framework supports more than one matching strategy. This report documents direct one-vs-all, the strategy currently in production. Under that strategy each university outcome is the unit of decision: every university skill is independently paired with its best partner taken from the pool of all VET skills across all units of the VET qualification.</w:t>
      </w:r>
    </w:p>
    <w:p>
      <w:pPr>
        <w:pStyle w:val="Heading2"/>
      </w:pPr>
      <w:r>
        <w:t xml:space="preserve">3. Skill Extraction</w:t>
      </w:r>
    </w:p>
    <w:p>
      <w:pPr>
        <w:pStyle w:val="BodyText"/>
      </w:pPr>
      <w:r>
        <w:t xml:space="preserve">Each VET unit and each university course is processed independently. The large language model receives the unit text (description, performance criteria, and learning outcomes) and is asked to emit a list of discrete skills. Following the chain-of-thought prompting methodology [21], the extractor is guided to identify underlying human capabilities rather than tools or tasks. Each extracted skill is represented as a tuple comprising a name, a one-line description, a short evidence excerpt drawn from the source text, a category, an SFIA level, a context, and an extraction confidence:</w:t>
      </w:r>
    </w:p>
    <w:p>
      <w:pPr>
        <w:pStyle w:val="PreformattedText"/>
        <w:jc w:val="center"/>
      </w:pPr>
      <w:r>
        <w:t xml:space="preserve">sᵢ = (name, description, evidence, category, level, context, confidence)</w:t>
      </w:r>
    </w:p>
    <w:p>
      <w:pPr>
        <w:pStyle w:val="BodyText"/>
      </w:pPr>
      <w:r>
        <w:t xml:space="preserve">The fields are defined as follows: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00"/>
        <w:gridCol w:w="1800"/>
        <w:gridCol w:w="5526"/>
      </w:tblGrid>
      <w:tr>
        <w:tc>
          <w:tcPr>
            <w:tcW w:w="1700" w:type="dxa"/>
            <w:shd w:val="clear" w:color="auto" w:fill="EDE3F5"/>
            <w:vAlign w:val="center"/>
          </w:tcPr>
          <w:p>
            <w:pPr>
              <w:pStyle w:val="TableHeading"/>
            </w:pPr>
            <w:r>
              <w:t xml:space="preserve">Field</w:t>
            </w:r>
          </w:p>
        </w:tc>
        <w:tc>
          <w:tcPr>
            <w:tcW w:w="1800" w:type="dxa"/>
            <w:shd w:val="clear" w:color="auto" w:fill="EDE3F5"/>
            <w:vAlign w:val="center"/>
          </w:tcPr>
          <w:p>
            <w:pPr>
              <w:pStyle w:val="TableHeading"/>
            </w:pPr>
            <w:r>
              <w:t xml:space="preserve">Type</w:t>
            </w:r>
          </w:p>
        </w:tc>
        <w:tc>
          <w:tcPr>
            <w:tcW w:w="5526" w:type="dxa"/>
            <w:shd w:val="clear" w:color="auto" w:fill="EDE3F5"/>
            <w:vAlign w:val="center"/>
          </w:tcPr>
          <w:p>
            <w:pPr>
              <w:pStyle w:val="TableHeading"/>
            </w:pPr>
            <w:r>
              <w:t xml:space="preserve">Definition</w:t>
            </w:r>
          </w:p>
        </w:tc>
      </w:tr>
      <w:tr>
        <w:tc>
          <w:tcPr>
            <w:tcW w:w="1700" w:type="dxa"/>
          </w:tcPr>
          <w:p>
            <w:pPr>
              <w:pStyle w:val="TableContents"/>
            </w:pPr>
            <w:r>
              <w:t xml:space="preserve">name</w:t>
            </w:r>
          </w:p>
        </w:tc>
        <w:tc>
          <w:tcPr>
            <w:tcW w:w="1800" w:type="dxa"/>
          </w:tcPr>
          <w:p>
            <w:pPr>
              <w:pStyle w:val="TableContents"/>
            </w:pPr>
            <w:r>
              <w:t xml:space="preserve">str</w:t>
            </w:r>
          </w:p>
        </w:tc>
        <w:tc>
          <w:tcPr>
            <w:tcW w:w="5526" w:type="dxa"/>
          </w:tcPr>
          <w:p>
            <w:pPr>
              <w:pStyle w:val="TableContents"/>
            </w:pPr>
            <w:r>
              <w:t xml:space="preserve">A short professional label, typically three to six words.</w:t>
            </w:r>
          </w:p>
        </w:tc>
      </w:tr>
      <w:tr>
        <w:tc>
          <w:tcPr>
            <w:tcW w:w="1700" w:type="dxa"/>
          </w:tcPr>
          <w:p>
            <w:pPr>
              <w:pStyle w:val="TableContents"/>
            </w:pPr>
            <w:r>
              <w:t xml:space="preserve">description</w:t>
            </w:r>
          </w:p>
        </w:tc>
        <w:tc>
          <w:tcPr>
            <w:tcW w:w="1800" w:type="dxa"/>
          </w:tcPr>
          <w:p>
            <w:pPr>
              <w:pStyle w:val="TableContents"/>
            </w:pPr>
            <w:r>
              <w:t xml:space="preserve">str</w:t>
            </w:r>
          </w:p>
        </w:tc>
        <w:tc>
          <w:tcPr>
            <w:tcW w:w="5526" w:type="dxa"/>
          </w:tcPr>
          <w:p>
            <w:pPr>
              <w:pStyle w:val="TableContents"/>
            </w:pPr>
            <w:r>
              <w:t xml:space="preserve">A one-line description of the capability.</w:t>
            </w:r>
          </w:p>
        </w:tc>
      </w:tr>
      <w:tr>
        <w:tc>
          <w:tcPr>
            <w:tcW w:w="1700" w:type="dxa"/>
          </w:tcPr>
          <w:p>
            <w:pPr>
              <w:pStyle w:val="TableContents"/>
            </w:pPr>
            <w:r>
              <w:t xml:space="preserve">evidence</w:t>
            </w:r>
          </w:p>
        </w:tc>
        <w:tc>
          <w:tcPr>
            <w:tcW w:w="1800" w:type="dxa"/>
          </w:tcPr>
          <w:p>
            <w:pPr>
              <w:pStyle w:val="TableContents"/>
            </w:pPr>
            <w:r>
              <w:t xml:space="preserve">str</w:t>
            </w:r>
          </w:p>
        </w:tc>
        <w:tc>
          <w:tcPr>
            <w:tcW w:w="5526" w:type="dxa"/>
          </w:tcPr>
          <w:p>
            <w:pPr>
              <w:pStyle w:val="TableContents"/>
            </w:pPr>
            <w:r>
              <w:t xml:space="preserve">A short excerpt from the source text supporting the skill.</w:t>
            </w:r>
          </w:p>
        </w:tc>
      </w:tr>
      <w:tr>
        <w:tc>
          <w:tcPr>
            <w:tcW w:w="1700" w:type="dxa"/>
          </w:tcPr>
          <w:p>
            <w:pPr>
              <w:pStyle w:val="TableContents"/>
            </w:pPr>
            <w:r>
              <w:t xml:space="preserve">category</w:t>
            </w:r>
          </w:p>
        </w:tc>
        <w:tc>
          <w:tcPr>
            <w:tcW w:w="1800" w:type="dxa"/>
          </w:tcPr>
          <w:p>
            <w:pPr>
              <w:pStyle w:val="TableContents"/>
            </w:pPr>
            <w:r>
              <w:t xml:space="preserve">SkillCategory</w:t>
            </w:r>
          </w:p>
        </w:tc>
        <w:tc>
          <w:tcPr>
            <w:tcW w:w="5526" w:type="dxa"/>
          </w:tcPr>
          <w:p>
            <w:pPr>
              <w:pStyle w:val="TableContents"/>
            </w:pPr>
            <w:r>
              <w:t xml:space="preserve">One of TECHNICAL, COGNITIVE, INTERPERSONAL, and related categories.</w:t>
            </w:r>
          </w:p>
        </w:tc>
      </w:tr>
      <w:tr>
        <w:tc>
          <w:tcPr>
            <w:tcW w:w="1700" w:type="dxa"/>
          </w:tcPr>
          <w:p>
            <w:pPr>
              <w:pStyle w:val="TableContents"/>
            </w:pPr>
            <w:r>
              <w:t xml:space="preserve">level</w:t>
            </w:r>
          </w:p>
        </w:tc>
        <w:tc>
          <w:tcPr>
            <w:tcW w:w="1800" w:type="dxa"/>
          </w:tcPr>
          <w:p>
            <w:pPr>
              <w:pStyle w:val="TableContents"/>
            </w:pPr>
            <w:r>
              <w:t xml:space="preserve">SkillLevel</w:t>
            </w:r>
          </w:p>
        </w:tc>
        <w:tc>
          <w:tcPr>
            <w:tcW w:w="5526" w:type="dxa"/>
          </w:tcPr>
          <w:p>
            <w:pPr>
              <w:pStyle w:val="TableContents"/>
            </w:pPr>
            <w:r>
              <w:t xml:space="preserve">An SFIA level mapped to an integer in the range 1 to 7 [20].</w:t>
            </w:r>
          </w:p>
        </w:tc>
      </w:tr>
      <w:tr>
        <w:tc>
          <w:tcPr>
            <w:tcW w:w="1700" w:type="dxa"/>
          </w:tcPr>
          <w:p>
            <w:pPr>
              <w:pStyle w:val="TableContents"/>
            </w:pPr>
            <w:r>
              <w:t xml:space="preserve">context</w:t>
            </w:r>
          </w:p>
        </w:tc>
        <w:tc>
          <w:tcPr>
            <w:tcW w:w="1800" w:type="dxa"/>
          </w:tcPr>
          <w:p>
            <w:pPr>
              <w:pStyle w:val="TableContents"/>
            </w:pPr>
            <w:r>
              <w:t xml:space="preserve">SkillContext</w:t>
            </w:r>
          </w:p>
        </w:tc>
        <w:tc>
          <w:tcPr>
            <w:tcW w:w="5526" w:type="dxa"/>
          </w:tcPr>
          <w:p>
            <w:pPr>
              <w:pStyle w:val="TableContents"/>
            </w:pPr>
            <w:r>
              <w:t xml:space="preserve">One of theoretical, practical, or hybrid.</w:t>
            </w:r>
          </w:p>
        </w:tc>
      </w:tr>
      <w:tr>
        <w:tc>
          <w:tcPr>
            <w:tcW w:w="1700" w:type="dxa"/>
          </w:tcPr>
          <w:p>
            <w:pPr>
              <w:pStyle w:val="TableContents"/>
            </w:pPr>
            <w:r>
              <w:t xml:space="preserve">confidence</w:t>
            </w:r>
          </w:p>
        </w:tc>
        <w:tc>
          <w:tcPr>
            <w:tcW w:w="1800" w:type="dxa"/>
          </w:tcPr>
          <w:p>
            <w:pPr>
              <w:pStyle w:val="TableContents"/>
            </w:pPr>
            <w:r>
              <w:t xml:space="preserve">float in [0, 1]</w:t>
            </w:r>
          </w:p>
        </w:tc>
        <w:tc>
          <w:tcPr>
            <w:tcW w:w="5526" w:type="dxa"/>
          </w:tcPr>
          <w:p>
            <w:pPr>
              <w:pStyle w:val="TableContents"/>
            </w:pPr>
            <w:r>
              <w:t xml:space="preserve">The extractor's self-reported certainty in the skill.</w:t>
            </w:r>
          </w:p>
        </w:tc>
      </w:tr>
    </w:tbl>
    <w:p>
      <w:pPr>
        <w:pStyle w:val="BodyText"/>
      </w:pPr>
    </w:p>
    <w:p>
      <w:pPr>
        <w:pStyle w:val="BodyText"/>
      </w:pPr>
      <w:r>
        <w:t xml:space="preserve">No scoring occurs during extraction; the role of this step is to produce a normalised input list.</w:t>
      </w:r>
    </w:p>
    <w:p>
      <w:pPr>
        <w:pStyle w:val="Heading3"/>
      </w:pPr>
      <w:r>
        <w:t xml:space="preserve">3.1 Chain-of-Thought Prompting</w:t>
      </w:r>
    </w:p>
    <w:p>
      <w:pPr>
        <w:pStyle w:val="BodyText"/>
      </w:pPr>
      <w:r>
        <w:t xml:space="preserve">A chain-of-thought (CoT) prompting strategy [21] guides the large language model in extracting human capabilities from competency descriptions. The prompt structure enforces a systematic analysis process, summarised in Algorithm 1.</w:t>
      </w:r>
    </w:p>
    <w:p>
      <w:pPr>
        <w:pStyle w:val="PreformattedText"/>
      </w:pPr>
      <w:r>
        <w:t xml:space="preserve">Algorithm 1: Skill Extraction with Chain-of-Thought</w:t>
      </w:r>
    </w:p>
    <w:p>
      <w:pPr>
        <w:pStyle w:val="PreformattedText"/>
      </w:pPr>
      <w:r>
        <w:t xml:space="preserve"/>
      </w:r>
    </w:p>
    <w:p>
      <w:pPr>
        <w:pStyle w:val="PreformattedText"/>
      </w:pPr>
      <w:r>
        <w:t xml:space="preserve">Input:  Competency description D, study level ST_l</w:t>
      </w:r>
    </w:p>
    <w:p>
      <w:pPr>
        <w:pStyle w:val="PreformattedText"/>
      </w:pPr>
      <w:r>
        <w:t xml:space="preserve">Output: Set of at most 15 skills S = {s_1, s_2, ..., s_n}</w:t>
      </w:r>
    </w:p>
    <w:p>
      <w:pPr>
        <w:pStyle w:val="PreformattedText"/>
      </w:pPr>
      <w:r>
        <w:t xml:space="preserve"/>
      </w:r>
    </w:p>
    <w:p>
      <w:pPr>
        <w:pStyle w:val="PreformattedText"/>
      </w:pPr>
      <w:r>
        <w:t xml:space="preserve">1. Apply CoT analysis steps:</w:t>
      </w:r>
    </w:p>
    <w:p>
      <w:pPr>
        <w:pStyle w:val="PreformattedText"/>
      </w:pPr>
      <w:r>
        <w:t xml:space="preserve">   1. Identify mentions of tasks, tools, responsibilities</w:t>
      </w:r>
    </w:p>
    <w:p>
      <w:pPr>
        <w:pStyle w:val="PreformattedText"/>
      </w:pPr>
      <w:r>
        <w:t xml:space="preserve">   2. Determine underlying human capabilities</w:t>
      </w:r>
    </w:p>
    <w:p>
      <w:pPr>
        <w:pStyle w:val="PreformattedText"/>
      </w:pPr>
      <w:r>
        <w:t xml:space="preserve">   3. Translate tools / technologies to skills</w:t>
      </w:r>
    </w:p>
    <w:p>
      <w:pPr>
        <w:pStyle w:val="PreformattedText"/>
      </w:pPr>
      <w:r>
        <w:t xml:space="preserve">   4. Add specific context to generic abilities</w:t>
      </w:r>
    </w:p>
    <w:p>
      <w:pPr>
        <w:pStyle w:val="PreformattedText"/>
      </w:pPr>
      <w:r>
        <w:t xml:space="preserve">   5. Standardise terminology using educational taxonomies</w:t>
      </w:r>
    </w:p>
    <w:p>
      <w:pPr>
        <w:pStyle w:val="PreformattedText"/>
      </w:pPr>
      <w:r>
        <w:t xml:space="preserve">2. For each identified capability c:</w:t>
      </w:r>
    </w:p>
    <w:p>
      <w:pPr>
        <w:pStyle w:val="PreformattedText"/>
      </w:pPr>
      <w:r>
        <w:t xml:space="preserve">   Extract skill s_i with attributes:</w:t>
      </w:r>
    </w:p>
    <w:p>
      <w:pPr>
        <w:pStyle w:val="PreformattedText"/>
      </w:pPr>
      <w:r>
        <w:t xml:space="preserve">   - s_i.name       = contextualised capability (2 to 4 words)</w:t>
      </w:r>
    </w:p>
    <w:p>
      <w:pPr>
        <w:pStyle w:val="PreformattedText"/>
      </w:pPr>
      <w:r>
        <w:t xml:space="preserve">   - s_i.level      = SFIA skill level (1 to 7) based on complexity</w:t>
      </w:r>
    </w:p>
    <w:p>
      <w:pPr>
        <w:pStyle w:val="PreformattedText"/>
      </w:pPr>
      <w:r>
        <w:t xml:space="preserve">   - s_i.category   = skill category</w:t>
      </w:r>
    </w:p>
    <w:p>
      <w:pPr>
        <w:pStyle w:val="PreformattedText"/>
      </w:pPr>
      <w:r>
        <w:t xml:space="preserve">   - s_i.context    = {theoretical, practical, hybrid}</w:t>
      </w:r>
    </w:p>
    <w:p>
      <w:pPr>
        <w:pStyle w:val="PreformattedText"/>
      </w:pPr>
      <w:r>
        <w:t xml:space="preserve">   - s_i.confidence = extraction confidence in [0, 1]</w:t>
      </w:r>
    </w:p>
    <w:p>
      <w:pPr>
        <w:pStyle w:val="PreformattedText"/>
      </w:pPr>
      <w:r>
        <w:t xml:space="preserve">3. Return S</w:t>
      </w:r>
    </w:p>
    <w:p>
      <w:pPr>
        <w:pStyle w:val="BodyText"/>
      </w:pPr>
      <w:r>
        <w:t xml:space="preserve">A critical innovation is the explicit translation of tool mentions into human capabilities. This translation is guided by a comprehensive mapping derived from the ESCO, O*NET (Occupational Information Network), and SFIA frameworks. For example:</w:t>
      </w:r>
    </w:p>
    <w:p>
      <w:pPr>
        <w:pStyle w:val="BodyText"/>
      </w:pPr>
      <w:r>
        <w:t xml:space="preserve">• </w:t>
      </w:r>
      <w:r>
        <w:t xml:space="preserve">“Use Excel for financial reporting” → “Spreadsheet financial analysis”</w:t>
      </w:r>
    </w:p>
    <w:p>
      <w:pPr>
        <w:pStyle w:val="BodyText"/>
      </w:pPr>
      <w:r>
        <w:t xml:space="preserve">• </w:t>
      </w:r>
      <w:r>
        <w:t xml:space="preserve">“Implement Python scripts” → “Python programming”</w:t>
      </w:r>
    </w:p>
    <w:p>
      <w:pPr>
        <w:pStyle w:val="BodyText"/>
      </w:pPr>
      <w:r>
        <w:t xml:space="preserve">• </w:t>
      </w:r>
      <w:r>
        <w:t xml:space="preserve">“Operate CNC machinery” → “Computer-controlled manufacturing”</w:t>
      </w:r>
    </w:p>
    <w:p>
      <w:pPr>
        <w:pStyle w:val="BodyText"/>
      </w:pPr>
      <w:r>
        <w:t xml:space="preserve">To improve consistency, an ensemble extraction approach performs multiple extraction runs and aggregates the results through consensus:</w:t>
      </w:r>
    </w:p>
    <w:p>
      <w:pPr>
        <w:pStyle w:val="PreformattedText"/>
      </w:pPr>
      <w:r>
        <w:t xml:space="preserve">for run in range(num_runs):</w:t>
      </w:r>
    </w:p>
    <w:p>
      <w:pPr>
        <w:pStyle w:val="PreformattedText"/>
      </w:pPr>
      <w:r>
        <w:t xml:space="preserve">    skills_run_i = extract_skills(text, temperature=0.0)</w:t>
      </w:r>
    </w:p>
    <w:p>
      <w:pPr>
        <w:pStyle w:val="PreformattedText"/>
      </w:pPr>
      <w:r>
        <w:t xml:space="preserve">    all_runs.append(skills_run_i)</w:t>
      </w:r>
    </w:p>
    <w:p>
      <w:pPr>
        <w:pStyle w:val="PreformattedText"/>
      </w:pPr>
      <w:r>
        <w:t xml:space="preserve">con_skills = find_consensus(all_runs, sim_threshold=0.9)</w:t>
      </w:r>
    </w:p>
    <w:p>
      <w:pPr>
        <w:pStyle w:val="BodyText"/>
      </w:pPr>
      <w:r>
        <w:t xml:space="preserve">Skills are considered equivalent if their embedding similarity exceeds 0.9, and only skills appearing in the majority of runs are retained.</w:t>
      </w:r>
    </w:p>
    <w:p>
      <w:pPr>
        <w:pStyle w:val="Heading3"/>
      </w:pPr>
      <w:r>
        <w:t xml:space="preserve">3.2 SFIA Skill Level Assignment</w:t>
      </w:r>
    </w:p>
    <w:p>
      <w:pPr>
        <w:pStyle w:val="BodyText"/>
      </w:pPr>
      <w:r>
        <w:t xml:space="preserve">The system maps each extracted skill to a Skills Framework for the Information Age (SFIA) proficiency level from 1 to 7 [20], based on the skill’s cognitive complexity and autonomy requirements. The SFIA levels are defined as follows:</w:t>
      </w:r>
    </w:p>
    <w:p>
      <w:pPr>
        <w:pStyle w:val="BodyText"/>
      </w:pPr>
      <w:r>
        <w:t xml:space="preserve">• </w:t>
      </w:r>
      <w:r>
        <w:rPr>
          <w:rStyle w:val="StrongEmphasis"/>
        </w:rPr>
        <w:t xml:space="preserve">Level 1 (Follow)</w:t>
      </w:r>
      <w:r>
        <w:t xml:space="preserve">: Works under close supervision.</w:t>
      </w:r>
    </w:p>
    <w:p>
      <w:pPr>
        <w:pStyle w:val="BodyText"/>
      </w:pPr>
      <w:r>
        <w:t xml:space="preserve">• </w:t>
      </w:r>
      <w:r>
        <w:rPr>
          <w:rStyle w:val="StrongEmphasis"/>
        </w:rPr>
        <w:t xml:space="preserve">Level 2 (Assist)</w:t>
      </w:r>
      <w:r>
        <w:t xml:space="preserve">: Works under routine supervision.</w:t>
      </w:r>
    </w:p>
    <w:p>
      <w:pPr>
        <w:pStyle w:val="BodyText"/>
      </w:pPr>
      <w:r>
        <w:t xml:space="preserve">• </w:t>
      </w:r>
      <w:r>
        <w:rPr>
          <w:rStyle w:val="StrongEmphasis"/>
        </w:rPr>
        <w:t xml:space="preserve">Level 3 (Apply)</w:t>
      </w:r>
      <w:r>
        <w:t xml:space="preserve">: Works under general direction.</w:t>
      </w:r>
    </w:p>
    <w:p>
      <w:pPr>
        <w:pStyle w:val="BodyText"/>
      </w:pPr>
      <w:r>
        <w:t xml:space="preserve">• </w:t>
      </w:r>
      <w:r>
        <w:rPr>
          <w:rStyle w:val="StrongEmphasis"/>
        </w:rPr>
        <w:t xml:space="preserve">Level 4 (Enable)</w:t>
      </w:r>
      <w:r>
        <w:t xml:space="preserve">: Works autonomously.</w:t>
      </w:r>
    </w:p>
    <w:p>
      <w:pPr>
        <w:pStyle w:val="BodyText"/>
      </w:pPr>
      <w:r>
        <w:t xml:space="preserve">• </w:t>
      </w:r>
      <w:r>
        <w:rPr>
          <w:rStyle w:val="StrongEmphasis"/>
        </w:rPr>
        <w:t xml:space="preserve">Level 5 (Ensure/Advise)</w:t>
      </w:r>
      <w:r>
        <w:t xml:space="preserve">: Provides authoritative guidance.</w:t>
      </w:r>
    </w:p>
    <w:p>
      <w:pPr>
        <w:pStyle w:val="BodyText"/>
      </w:pPr>
      <w:r>
        <w:t xml:space="preserve">• </w:t>
      </w:r>
      <w:r>
        <w:rPr>
          <w:rStyle w:val="StrongEmphasis"/>
        </w:rPr>
        <w:t xml:space="preserve">Level 6 (Initiate/Influence)</w:t>
      </w:r>
      <w:r>
        <w:t xml:space="preserve">: Has organisational influence.</w:t>
      </w:r>
    </w:p>
    <w:p>
      <w:pPr>
        <w:pStyle w:val="BodyText"/>
      </w:pPr>
      <w:r>
        <w:t xml:space="preserve">• </w:t>
      </w:r>
      <w:r>
        <w:rPr>
          <w:rStyle w:val="StrongEmphasis"/>
        </w:rPr>
        <w:t xml:space="preserve">Level 7 (Set Strategy)</w:t>
      </w:r>
      <w:r>
        <w:t xml:space="preserve">: Determines vision and strategy.</w:t>
      </w:r>
    </w:p>
    <w:p>
      <w:pPr>
        <w:pStyle w:val="BodyText"/>
      </w:pPr>
      <w:r>
        <w:t xml:space="preserve">The system maps study levels ST_l in {Introductory, Intermediate, Advanced} to expected SFIA skill-level ranges using the function φ : ST_l → [l_min, l_max], where</w:t>
      </w:r>
    </w:p>
    <w:p>
      <w:pPr>
        <w:pStyle w:val="PreformattedText"/>
        <w:jc w:val="center"/>
      </w:pPr>
      <w:r>
        <w:t xml:space="preserve">φ(Introductory) = [1, 3]</w:t>
      </w:r>
    </w:p>
    <w:p>
      <w:pPr>
        <w:pStyle w:val="PreformattedText"/>
        <w:jc w:val="center"/>
      </w:pPr>
      <w:r>
        <w:t xml:space="preserve">φ(Intermediate) = [2, 4]</w:t>
      </w:r>
    </w:p>
    <w:p>
      <w:pPr>
        <w:pStyle w:val="PreformattedText"/>
        <w:jc w:val="center"/>
      </w:pPr>
      <w:r>
        <w:t xml:space="preserve">φ(Advanced)     = [5, 7]</w:t>
      </w:r>
    </w:p>
    <w:p>
      <w:pPr>
        <w:pStyle w:val="BodyText"/>
      </w:pPr>
      <w:r>
        <w:t xml:space="preserve">This ensures that individual skills are assigned appropriate SFIA levels based on their educational context. The distinction between study levels, which describe the overall educational context, and SFIA levels, which quantify the proficiency required for an individual skill, is preserved throughout the pipeline.</w:t>
      </w:r>
    </w:p>
    <w:p>
      <w:pPr>
        <w:pStyle w:val="Heading2"/>
      </w:pPr>
      <w:r>
        <w:t xml:space="preserve">4. Skill Refinement</w:t>
      </w:r>
    </w:p>
    <w:p>
      <w:pPr>
        <w:pStyle w:val="BodyText"/>
      </w:pPr>
      <w:r>
        <w:t xml:space="preserve">The refinement step accepts the extracted skills, runs a multi-stage sequence of large language model and deterministic passes, and emits the refined skills together with an audit trail. The refiner operates in one of two modes, VET or University, selected per side of the credit-transfer pair. The mode determines which sub-steps fire and which sections of the prompts are used.</w:t>
      </w:r>
    </w:p>
    <w:p>
      <w:pPr>
        <w:pStyle w:val="Heading3"/>
      </w:pPr>
      <w:r>
        <w:t xml:space="preserve">4.1 Inputs to the Refiner</w:t>
      </w:r>
    </w:p>
    <w:p>
      <w:pPr>
        <w:pStyle w:val="BodyText"/>
      </w:pPr>
      <w:r>
        <w:t xml:space="preserve">For every skill the refiner builds a per-skill record holding the source evidence and the wider unit or course context. The language model passes have access to the skill name, description, and evidence carried over from extraction; the parent unit or course title and description; the unit structure (elements and performance criteria for VET, or learning outcomes for university); the sub-outcomes; the Foundation Skills block (VET only); and the names of the other skills extracted from the same parent, which support duplicate detection. The principal configuration parameters that govern refiner behaviour are summarised below.</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600"/>
        <w:gridCol w:w="1100"/>
        <w:gridCol w:w="5326"/>
      </w:tblGrid>
      <w:tr>
        <w:tc>
          <w:tcPr>
            <w:tcW w:w="2600" w:type="dxa"/>
            <w:shd w:val="clear" w:color="auto" w:fill="EDE3F5"/>
            <w:vAlign w:val="center"/>
          </w:tcPr>
          <w:p>
            <w:pPr>
              <w:pStyle w:val="TableHeading"/>
            </w:pPr>
            <w:r>
              <w:t xml:space="preserve">Parameter</w:t>
            </w:r>
          </w:p>
        </w:tc>
        <w:tc>
          <w:tcPr>
            <w:tcW w:w="1100" w:type="dxa"/>
            <w:shd w:val="clear" w:color="auto" w:fill="EDE3F5"/>
            <w:vAlign w:val="center"/>
          </w:tcPr>
          <w:p>
            <w:pPr>
              <w:pStyle w:val="TableHeading"/>
            </w:pPr>
            <w:r>
              <w:t xml:space="preserve">Default</w:t>
            </w:r>
          </w:p>
        </w:tc>
        <w:tc>
          <w:tcPr>
            <w:tcW w:w="5326" w:type="dxa"/>
            <w:shd w:val="clear" w:color="auto" w:fill="EDE3F5"/>
            <w:vAlign w:val="center"/>
          </w:tcPr>
          <w:p>
            <w:pPr>
              <w:pStyle w:val="TableHeading"/>
            </w:pPr>
            <w:r>
              <w:t xml:space="preserve">Effect</w:t>
            </w:r>
          </w:p>
        </w:tc>
      </w:tr>
      <w:tr>
        <w:tc>
          <w:tcPr>
            <w:tcW w:w="2600" w:type="dxa"/>
          </w:tcPr>
          <w:p>
            <w:pPr>
              <w:pStyle w:val="TableContents"/>
            </w:pPr>
            <w:r>
              <w:t xml:space="preserve">batch_size</w:t>
            </w:r>
          </w:p>
        </w:tc>
        <w:tc>
          <w:tcPr>
            <w:tcW w:w="1100" w:type="dxa"/>
          </w:tcPr>
          <w:p>
            <w:pPr>
              <w:pStyle w:val="TableContents"/>
            </w:pPr>
            <w:r>
              <w:t xml:space="preserve">20</w:t>
            </w:r>
          </w:p>
        </w:tc>
        <w:tc>
          <w:tcPr>
            <w:tcW w:w="5326" w:type="dxa"/>
          </w:tcPr>
          <w:p>
            <w:pPr>
              <w:pStyle w:val="TableContents"/>
            </w:pPr>
            <w:r>
              <w:t xml:space="preserve">Number of skills per language model call.</w:t>
            </w:r>
          </w:p>
        </w:tc>
      </w:tr>
      <w:tr>
        <w:tc>
          <w:tcPr>
            <w:tcW w:w="2600" w:type="dxa"/>
          </w:tcPr>
          <w:p>
            <w:pPr>
              <w:pStyle w:val="TableContents"/>
            </w:pPr>
            <w:r>
              <w:t xml:space="preserve">apply_style</w:t>
            </w:r>
          </w:p>
        </w:tc>
        <w:tc>
          <w:tcPr>
            <w:tcW w:w="1100" w:type="dxa"/>
          </w:tcPr>
          <w:p>
            <w:pPr>
              <w:pStyle w:val="TableContents"/>
            </w:pPr>
            <w:r>
              <w:t xml:space="preserve">True</w:t>
            </w:r>
          </w:p>
        </w:tc>
        <w:tc>
          <w:tcPr>
            <w:tcW w:w="5326" w:type="dxa"/>
          </w:tcPr>
          <w:p>
            <w:pPr>
              <w:pStyle w:val="TableContents"/>
            </w:pPr>
            <w:r>
              <w:t xml:space="preserve">Run the style-compliance pass over names and descriptions.</w:t>
            </w:r>
          </w:p>
        </w:tc>
      </w:tr>
      <w:tr>
        <w:tc>
          <w:tcPr>
            <w:tcW w:w="2600" w:type="dxa"/>
          </w:tcPr>
          <w:p>
            <w:pPr>
              <w:pStyle w:val="TableContents"/>
            </w:pPr>
            <w:r>
              <w:t xml:space="preserve">fill_gap</w:t>
            </w:r>
          </w:p>
        </w:tc>
        <w:tc>
          <w:tcPr>
            <w:tcW w:w="1100" w:type="dxa"/>
          </w:tcPr>
          <w:p>
            <w:pPr>
              <w:pStyle w:val="TableContents"/>
            </w:pPr>
            <w:r>
              <w:t xml:space="preserve">True</w:t>
            </w:r>
          </w:p>
        </w:tc>
        <w:tc>
          <w:tcPr>
            <w:tcW w:w="5326" w:type="dxa"/>
          </w:tcPr>
          <w:p>
            <w:pPr>
              <w:pStyle w:val="TableContents"/>
            </w:pPr>
            <w:r>
              <w:t xml:space="preserve">Run the gap-fill pass that adds skills missed by the extractor.</w:t>
            </w:r>
          </w:p>
        </w:tc>
      </w:tr>
      <w:tr>
        <w:tc>
          <w:tcPr>
            <w:tcW w:w="2600" w:type="dxa"/>
          </w:tcPr>
          <w:p>
            <w:pPr>
              <w:pStyle w:val="TableContents"/>
            </w:pPr>
            <w:r>
              <w:t xml:space="preserve">grounded_name_refine</w:t>
            </w:r>
          </w:p>
        </w:tc>
        <w:tc>
          <w:tcPr>
            <w:tcW w:w="1100" w:type="dxa"/>
          </w:tcPr>
          <w:p>
            <w:pPr>
              <w:pStyle w:val="TableContents"/>
            </w:pPr>
            <w:r>
              <w:t xml:space="preserve">False</w:t>
            </w:r>
          </w:p>
        </w:tc>
        <w:tc>
          <w:tcPr>
            <w:tcW w:w="5326" w:type="dxa"/>
          </w:tcPr>
          <w:p>
            <w:pPr>
              <w:pStyle w:val="TableContents"/>
            </w:pPr>
            <w:r>
              <w:t xml:space="preserve">Anchor each skill to one element, performance criterion, or foundation skill before refining its name.</w:t>
            </w:r>
          </w:p>
        </w:tc>
      </w:tr>
      <w:tr>
        <w:tc>
          <w:tcPr>
            <w:tcW w:w="2600" w:type="dxa"/>
          </w:tcPr>
          <w:p>
            <w:pPr>
              <w:pStyle w:val="TableContents"/>
            </w:pPr>
            <w:r>
              <w:t xml:space="preserve">consensus_runs</w:t>
            </w:r>
          </w:p>
        </w:tc>
        <w:tc>
          <w:tcPr>
            <w:tcW w:w="1100" w:type="dxa"/>
          </w:tcPr>
          <w:p>
            <w:pPr>
              <w:pStyle w:val="TableContents"/>
            </w:pPr>
            <w:r>
              <w:t xml:space="preserve">3</w:t>
            </w:r>
          </w:p>
        </w:tc>
        <w:tc>
          <w:tcPr>
            <w:tcW w:w="5326" w:type="dxa"/>
          </w:tcPr>
          <w:p>
            <w:pPr>
              <w:pStyle w:val="TableContents"/>
            </w:pPr>
            <w:r>
              <w:t xml:space="preserve">Number of independent runs that vote on the refined name.</w:t>
            </w:r>
          </w:p>
        </w:tc>
      </w:tr>
      <w:tr>
        <w:tc>
          <w:tcPr>
            <w:tcW w:w="2600" w:type="dxa"/>
          </w:tcPr>
          <w:p>
            <w:pPr>
              <w:pStyle w:val="TableContents"/>
            </w:pPr>
            <w:r>
              <w:t xml:space="preserve">consensus_threshold</w:t>
            </w:r>
          </w:p>
        </w:tc>
        <w:tc>
          <w:tcPr>
            <w:tcW w:w="1100" w:type="dxa"/>
          </w:tcPr>
          <w:p>
            <w:pPr>
              <w:pStyle w:val="TableContents"/>
            </w:pPr>
            <w:r>
              <w:t xml:space="preserve">2</w:t>
            </w:r>
          </w:p>
        </w:tc>
        <w:tc>
          <w:tcPr>
            <w:tcW w:w="5326" w:type="dxa"/>
          </w:tcPr>
          <w:p>
            <w:pPr>
              <w:pStyle w:val="TableContents"/>
            </w:pPr>
            <w:r>
              <w:t xml:space="preserve">Minimum vote count required to accept a refined name.</w:t>
            </w:r>
          </w:p>
        </w:tc>
      </w:tr>
      <w:tr>
        <w:tc>
          <w:tcPr>
            <w:tcW w:w="2600" w:type="dxa"/>
          </w:tcPr>
          <w:p>
            <w:pPr>
              <w:pStyle w:val="TableContents"/>
            </w:pPr>
            <w:r>
              <w:t xml:space="preserve">validation_threshold</w:t>
            </w:r>
          </w:p>
        </w:tc>
        <w:tc>
          <w:tcPr>
            <w:tcW w:w="1100" w:type="dxa"/>
          </w:tcPr>
          <w:p>
            <w:pPr>
              <w:pStyle w:val="TableContents"/>
            </w:pPr>
            <w:r>
              <w:t xml:space="preserve">2</w:t>
            </w:r>
          </w:p>
        </w:tc>
        <w:tc>
          <w:tcPr>
            <w:tcW w:w="5326" w:type="dxa"/>
          </w:tcPr>
          <w:p>
            <w:pPr>
              <w:pStyle w:val="TableContents"/>
            </w:pPr>
            <w:r>
              <w:t xml:space="preserve">Minimum vote count for the dedicated validation pass.</w:t>
            </w:r>
          </w:p>
        </w:tc>
      </w:tr>
      <w:tr>
        <w:tc>
          <w:tcPr>
            <w:tcW w:w="2600" w:type="dxa"/>
          </w:tcPr>
          <w:p>
            <w:pPr>
              <w:pStyle w:val="TableContents"/>
            </w:pPr>
            <w:r>
              <w:t xml:space="preserve">max_temperature</w:t>
            </w:r>
          </w:p>
        </w:tc>
        <w:tc>
          <w:tcPr>
            <w:tcW w:w="1100" w:type="dxa"/>
          </w:tcPr>
          <w:p>
            <w:pPr>
              <w:pStyle w:val="TableContents"/>
            </w:pPr>
            <w:r>
              <w:t xml:space="preserve">0.6</w:t>
            </w:r>
          </w:p>
        </w:tc>
        <w:tc>
          <w:tcPr>
            <w:tcW w:w="5326" w:type="dxa"/>
          </w:tcPr>
          <w:p>
            <w:pPr>
              <w:pStyle w:val="TableContents"/>
            </w:pPr>
            <w:r>
              <w:t xml:space="preserve">Top of the temperature schedule used across consensus runs.</w:t>
            </w:r>
          </w:p>
        </w:tc>
      </w:tr>
    </w:tbl>
    <w:p>
      <w:pPr>
        <w:pStyle w:val="BodyText"/>
      </w:pPr>
    </w:p>
    <w:p>
      <w:pPr>
        <w:pStyle w:val="Heading3"/>
      </w:pPr>
      <w:r>
        <w:t xml:space="preserve">4.2 Refinement Pipeline</w:t>
      </w:r>
    </w:p>
    <w:p>
      <w:pPr>
        <w:pStyle w:val="BodyText"/>
      </w:pPr>
      <w:r>
        <w:t xml:space="preserve">The default pipeline executes the sub-steps listed below in order. Steps annotated VET only or University only are gated on the mode; steps annotated optional are gated on a configuration parameter. All remaining steps execute whenever refinement runs.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700"/>
        <w:gridCol w:w="1700"/>
        <w:gridCol w:w="4626"/>
      </w:tblGrid>
      <w:tr>
        <w:tc>
          <w:tcPr>
            <w:tcW w:w="2700" w:type="dxa"/>
            <w:shd w:val="clear" w:color="auto" w:fill="EDE3F5"/>
            <w:vAlign w:val="center"/>
          </w:tcPr>
          <w:p>
            <w:pPr>
              <w:pStyle w:val="TableHeading"/>
            </w:pPr>
            <w:r>
              <w:t xml:space="preserve">Step</w:t>
            </w:r>
          </w:p>
        </w:tc>
        <w:tc>
          <w:tcPr>
            <w:tcW w:w="1700" w:type="dxa"/>
            <w:shd w:val="clear" w:color="auto" w:fill="EDE3F5"/>
            <w:vAlign w:val="center"/>
          </w:tcPr>
          <w:p>
            <w:pPr>
              <w:pStyle w:val="TableHeading"/>
            </w:pPr>
            <w:r>
              <w:t xml:space="preserve">Kind</w:t>
            </w:r>
          </w:p>
        </w:tc>
        <w:tc>
          <w:tcPr>
            <w:tcW w:w="4626" w:type="dxa"/>
            <w:shd w:val="clear" w:color="auto" w:fill="EDE3F5"/>
            <w:vAlign w:val="center"/>
          </w:tcPr>
          <w:p>
            <w:pPr>
              <w:pStyle w:val="TableHeading"/>
            </w:pPr>
            <w:r>
              <w:t xml:space="preserve">Function</w:t>
            </w:r>
          </w:p>
        </w:tc>
      </w:tr>
      <w:tr>
        <w:tc>
          <w:tcPr>
            <w:tcW w:w="2700" w:type="dxa"/>
          </w:tcPr>
          <w:p>
            <w:pPr>
              <w:pStyle w:val="TableContents"/>
            </w:pPr>
            <w:r>
              <w:t xml:space="preserve">1. Prepare</w:t>
            </w:r>
          </w:p>
        </w:tc>
        <w:tc>
          <w:tcPr>
            <w:tcW w:w="1700" w:type="dxa"/>
          </w:tcPr>
          <w:p>
            <w:pPr>
              <w:pStyle w:val="TableContents"/>
            </w:pPr>
            <w:r>
              <w:t xml:space="preserve">deterministic</w:t>
            </w:r>
          </w:p>
        </w:tc>
        <w:tc>
          <w:tcPr>
            <w:tcW w:w="4626" w:type="dxa"/>
          </w:tcPr>
          <w:p>
            <w:pPr>
              <w:pStyle w:val="TableContents"/>
            </w:pPr>
            <w:r>
              <w:t xml:space="preserve">Build per-skill records with name, evidence, parent context, sub-outcomes, foundation skills, and the list of sibling skills.</w:t>
            </w:r>
          </w:p>
        </w:tc>
      </w:tr>
      <w:tr>
        <w:tc>
          <w:tcPr>
            <w:tcW w:w="2700" w:type="dxa"/>
          </w:tcPr>
          <w:p>
            <w:pPr>
              <w:pStyle w:val="TableContents"/>
            </w:pPr>
            <w:r>
              <w:t xml:space="preserve">2. Consensus rename</w:t>
            </w:r>
          </w:p>
        </w:tc>
        <w:tc>
          <w:tcPr>
            <w:tcW w:w="1700" w:type="dxa"/>
          </w:tcPr>
          <w:p>
            <w:pPr>
              <w:pStyle w:val="TableContents"/>
            </w:pPr>
            <w:r>
              <w:t xml:space="preserve">LLM</w:t>
            </w:r>
          </w:p>
        </w:tc>
        <w:tc>
          <w:tcPr>
            <w:tcW w:w="4626" w:type="dxa"/>
          </w:tcPr>
          <w:p>
            <w:pPr>
              <w:pStyle w:val="TableContents"/>
            </w:pPr>
            <w:r>
              <w:t xml:space="preserve">Run the rename prompt N times at a temperature schedule; accept a new name only if it reaches the consensus threshold.</w:t>
            </w:r>
          </w:p>
        </w:tc>
      </w:tr>
      <w:tr>
        <w:tc>
          <w:tcPr>
            <w:tcW w:w="2700" w:type="dxa"/>
          </w:tcPr>
          <w:p>
            <w:pPr>
              <w:pStyle w:val="TableContents"/>
            </w:pPr>
            <w:r>
              <w:t xml:space="preserve">3a. Post-process</w:t>
            </w:r>
          </w:p>
        </w:tc>
        <w:tc>
          <w:tcPr>
            <w:tcW w:w="1700" w:type="dxa"/>
          </w:tcPr>
          <w:p>
            <w:pPr>
              <w:pStyle w:val="TableContents"/>
            </w:pPr>
            <w:r>
              <w:t xml:space="preserve">deterministic</w:t>
            </w:r>
          </w:p>
        </w:tc>
        <w:tc>
          <w:tcPr>
            <w:tcW w:w="4626" w:type="dxa"/>
          </w:tcPr>
          <w:p>
            <w:pPr>
              <w:pStyle w:val="TableContents"/>
            </w:pPr>
            <w:r>
              <w:t xml:space="preserve">Strip redundant trailing words, apply Australian spelling, retitle to title case, and apply the action-as-noun guard.</w:t>
            </w:r>
          </w:p>
        </w:tc>
      </w:tr>
      <w:tr>
        <w:tc>
          <w:tcPr>
            <w:tcW w:w="2700" w:type="dxa"/>
          </w:tcPr>
          <w:p>
            <w:pPr>
              <w:pStyle w:val="TableContents"/>
            </w:pPr>
            <w:r>
              <w:t xml:space="preserve">3b. Duplicate (Jaccard)</w:t>
            </w:r>
          </w:p>
        </w:tc>
        <w:tc>
          <w:tcPr>
            <w:tcW w:w="1700" w:type="dxa"/>
          </w:tcPr>
          <w:p>
            <w:pPr>
              <w:pStyle w:val="TableContents"/>
            </w:pPr>
            <w:r>
              <w:t xml:space="preserve">deterministic</w:t>
            </w:r>
          </w:p>
        </w:tc>
        <w:tc>
          <w:tcPr>
            <w:tcW w:w="4626" w:type="dxa"/>
          </w:tcPr>
          <w:p>
            <w:pPr>
              <w:pStyle w:val="TableContents"/>
            </w:pPr>
            <w:r>
              <w:t xml:space="preserve">Pairwise word-Jaccard on refined names; mark very close pairs as duplicates.</w:t>
            </w:r>
          </w:p>
        </w:tc>
      </w:tr>
      <w:tr>
        <w:tc>
          <w:tcPr>
            <w:tcW w:w="2700" w:type="dxa"/>
          </w:tcPr>
          <w:p>
            <w:pPr>
              <w:pStyle w:val="TableContents"/>
            </w:pPr>
            <w:r>
              <w:t xml:space="preserve">3b2. Domain-marker misinterpretation</w:t>
            </w:r>
          </w:p>
        </w:tc>
        <w:tc>
          <w:tcPr>
            <w:tcW w:w="1700" w:type="dxa"/>
          </w:tcPr>
          <w:p>
            <w:pPr>
              <w:pStyle w:val="TableContents"/>
            </w:pPr>
            <w:r>
              <w:t xml:space="preserve">deterministic</w:t>
            </w:r>
          </w:p>
        </w:tc>
        <w:tc>
          <w:tcPr>
            <w:tcW w:w="4626" w:type="dxa"/>
          </w:tcPr>
          <w:p>
            <w:pPr>
              <w:pStyle w:val="TableContents"/>
            </w:pPr>
            <w:r>
              <w:t xml:space="preserve">Flag skills whose name contains a domain marker absent from the evidence.</w:t>
            </w:r>
          </w:p>
        </w:tc>
      </w:tr>
      <w:tr>
        <w:tc>
          <w:tcPr>
            <w:tcW w:w="2700" w:type="dxa"/>
          </w:tcPr>
          <w:p>
            <w:pPr>
              <w:pStyle w:val="TableContents"/>
            </w:pPr>
            <w:r>
              <w:t xml:space="preserve">3b3. Generic foundation-skill scope</w:t>
            </w:r>
          </w:p>
        </w:tc>
        <w:tc>
          <w:tcPr>
            <w:tcW w:w="1700" w:type="dxa"/>
          </w:tcPr>
          <w:p>
            <w:pPr>
              <w:pStyle w:val="TableContents"/>
            </w:pPr>
            <w:r>
              <w:t xml:space="preserve">deterministic, VET only</w:t>
            </w:r>
          </w:p>
        </w:tc>
        <w:tc>
          <w:tcPr>
            <w:tcW w:w="4626" w:type="dxa"/>
          </w:tcPr>
          <w:p>
            <w:pPr>
              <w:pStyle w:val="TableContents"/>
            </w:pPr>
            <w:r>
              <w:t xml:space="preserve">Flag generic Foundation-Skill names that add no information beyond the performance criteria.</w:t>
            </w:r>
          </w:p>
        </w:tc>
      </w:tr>
      <w:tr>
        <w:tc>
          <w:tcPr>
            <w:tcW w:w="2700" w:type="dxa"/>
          </w:tcPr>
          <w:p>
            <w:pPr>
              <w:pStyle w:val="TableContents"/>
            </w:pPr>
            <w:r>
              <w:t xml:space="preserve">3b4. Foundation-skill interpret/prepare scope</w:t>
            </w:r>
          </w:p>
        </w:tc>
        <w:tc>
          <w:tcPr>
            <w:tcW w:w="1700" w:type="dxa"/>
          </w:tcPr>
          <w:p>
            <w:pPr>
              <w:pStyle w:val="TableContents"/>
            </w:pPr>
            <w:r>
              <w:t xml:space="preserve">deterministic, VET only</w:t>
            </w:r>
          </w:p>
        </w:tc>
        <w:tc>
          <w:tcPr>
            <w:tcW w:w="4626" w:type="dxa"/>
          </w:tcPr>
          <w:p>
            <w:pPr>
              <w:pStyle w:val="TableContents"/>
            </w:pPr>
            <w:r>
              <w:t xml:space="preserve">Flag foundation-skill skills whose action is implicit in the performance criteria.</w:t>
            </w:r>
          </w:p>
        </w:tc>
      </w:tr>
      <w:tr>
        <w:tc>
          <w:tcPr>
            <w:tcW w:w="2700" w:type="dxa"/>
          </w:tcPr>
          <w:p>
            <w:pPr>
              <w:pStyle w:val="TableContents"/>
            </w:pPr>
            <w:r>
              <w:t xml:space="preserve">3b5. Same-outcome duplicates</w:t>
            </w:r>
          </w:p>
        </w:tc>
        <w:tc>
          <w:tcPr>
            <w:tcW w:w="1700" w:type="dxa"/>
          </w:tcPr>
          <w:p>
            <w:pPr>
              <w:pStyle w:val="TableContents"/>
            </w:pPr>
            <w:r>
              <w:t xml:space="preserve">deterministic, Uni only</w:t>
            </w:r>
          </w:p>
        </w:tc>
        <w:tc>
          <w:tcPr>
            <w:tcW w:w="4626" w:type="dxa"/>
          </w:tcPr>
          <w:p>
            <w:pPr>
              <w:pStyle w:val="TableContents"/>
            </w:pPr>
            <w:r>
              <w:t xml:space="preserve">Cluster skills sourced from the same learning-outcome line and retain a canonical pick.</w:t>
            </w:r>
          </w:p>
        </w:tc>
      </w:tr>
      <w:tr>
        <w:tc>
          <w:tcPr>
            <w:tcW w:w="2700" w:type="dxa"/>
          </w:tcPr>
          <w:p>
            <w:pPr>
              <w:pStyle w:val="TableContents"/>
            </w:pPr>
            <w:r>
              <w:t xml:space="preserve">3b6. Vague-description scope</w:t>
            </w:r>
          </w:p>
        </w:tc>
        <w:tc>
          <w:tcPr>
            <w:tcW w:w="1700" w:type="dxa"/>
          </w:tcPr>
          <w:p>
            <w:pPr>
              <w:pStyle w:val="TableContents"/>
            </w:pPr>
            <w:r>
              <w:t xml:space="preserve">deterministic, Uni only</w:t>
            </w:r>
          </w:p>
        </w:tc>
        <w:tc>
          <w:tcPr>
            <w:tcW w:w="4626" w:type="dxa"/>
          </w:tcPr>
          <w:p>
            <w:pPr>
              <w:pStyle w:val="TableContents"/>
            </w:pPr>
            <w:r>
              <w:t xml:space="preserve">Flag skills extracted from description prose that lack a concrete outcome anchor.</w:t>
            </w:r>
          </w:p>
        </w:tc>
      </w:tr>
      <w:tr>
        <w:tc>
          <w:tcPr>
            <w:tcW w:w="2700" w:type="dxa"/>
          </w:tcPr>
          <w:p>
            <w:pPr>
              <w:pStyle w:val="TableContents"/>
            </w:pPr>
            <w:r>
              <w:t xml:space="preserve">3b7. Foundation-skill implicit in criteria</w:t>
            </w:r>
          </w:p>
        </w:tc>
        <w:tc>
          <w:tcPr>
            <w:tcW w:w="1700" w:type="dxa"/>
          </w:tcPr>
          <w:p>
            <w:pPr>
              <w:pStyle w:val="TableContents"/>
            </w:pPr>
            <w:r>
              <w:t xml:space="preserve">LLM, VET only</w:t>
            </w:r>
          </w:p>
        </w:tc>
        <w:tc>
          <w:tcPr>
            <w:tcW w:w="4626" w:type="dxa"/>
          </w:tcPr>
          <w:p>
            <w:pPr>
              <w:pStyle w:val="TableContents"/>
            </w:pPr>
            <w:r>
              <w:t xml:space="preserve">For each foundation skill, query the model on whether the capability is already implicit in any performance criterion.</w:t>
            </w:r>
          </w:p>
        </w:tc>
      </w:tr>
      <w:tr>
        <w:tc>
          <w:tcPr>
            <w:tcW w:w="2700" w:type="dxa"/>
          </w:tcPr>
          <w:p>
            <w:pPr>
              <w:pStyle w:val="TableContents"/>
            </w:pPr>
            <w:r>
              <w:t xml:space="preserve">3c. Gap-fill</w:t>
            </w:r>
          </w:p>
        </w:tc>
        <w:tc>
          <w:tcPr>
            <w:tcW w:w="1700" w:type="dxa"/>
          </w:tcPr>
          <w:p>
            <w:pPr>
              <w:pStyle w:val="TableContents"/>
            </w:pPr>
            <w:r>
              <w:t xml:space="preserve">LLM, optional</w:t>
            </w:r>
          </w:p>
        </w:tc>
        <w:tc>
          <w:tcPr>
            <w:tcW w:w="4626" w:type="dxa"/>
          </w:tcPr>
          <w:p>
            <w:pPr>
              <w:pStyle w:val="TableContents"/>
            </w:pPr>
            <w:r>
              <w:t xml:space="preserve">Identify any sub-outcome not covered by a current skill and add new skills accordingly.</w:t>
            </w:r>
          </w:p>
        </w:tc>
      </w:tr>
      <w:tr>
        <w:tc>
          <w:tcPr>
            <w:tcW w:w="2700" w:type="dxa"/>
          </w:tcPr>
          <w:p>
            <w:pPr>
              <w:pStyle w:val="TableContents"/>
            </w:pPr>
            <w:r>
              <w:t xml:space="preserve">3c2. Element-heading duplicate</w:t>
            </w:r>
          </w:p>
        </w:tc>
        <w:tc>
          <w:tcPr>
            <w:tcW w:w="1700" w:type="dxa"/>
          </w:tcPr>
          <w:p>
            <w:pPr>
              <w:pStyle w:val="TableContents"/>
            </w:pPr>
            <w:r>
              <w:t xml:space="preserve">deterministic, VET only</w:t>
            </w:r>
          </w:p>
        </w:tc>
        <w:tc>
          <w:tcPr>
            <w:tcW w:w="4626" w:type="dxa"/>
          </w:tcPr>
          <w:p>
            <w:pPr>
              <w:pStyle w:val="TableContents"/>
            </w:pPr>
            <w:r>
              <w:t xml:space="preserve">Flag skills whose evidence is verbatim an element heading.</w:t>
            </w:r>
          </w:p>
        </w:tc>
      </w:tr>
      <w:tr>
        <w:tc>
          <w:tcPr>
            <w:tcW w:w="2700" w:type="dxa"/>
          </w:tcPr>
          <w:p>
            <w:pPr>
              <w:pStyle w:val="TableContents"/>
            </w:pPr>
            <w:r>
              <w:t xml:space="preserve">3d. Validation</w:t>
            </w:r>
          </w:p>
        </w:tc>
        <w:tc>
          <w:tcPr>
            <w:tcW w:w="1700" w:type="dxa"/>
          </w:tcPr>
          <w:p>
            <w:pPr>
              <w:pStyle w:val="TableContents"/>
            </w:pPr>
            <w:r>
              <w:t xml:space="preserve">LLM</w:t>
            </w:r>
          </w:p>
        </w:tc>
        <w:tc>
          <w:tcPr>
            <w:tcW w:w="4626" w:type="dxa"/>
          </w:tcPr>
          <w:p>
            <w:pPr>
              <w:pStyle w:val="TableContents"/>
            </w:pPr>
            <w:r>
              <w:t xml:space="preserve">A single structured pass per skill checking for duplication, out-of-scope content, and misinterpretation.</w:t>
            </w:r>
          </w:p>
        </w:tc>
      </w:tr>
      <w:tr>
        <w:tc>
          <w:tcPr>
            <w:tcW w:w="2700" w:type="dxa"/>
          </w:tcPr>
          <w:p>
            <w:pPr>
              <w:pStyle w:val="TableContents"/>
            </w:pPr>
            <w:r>
              <w:t xml:space="preserve">3e. Verify duplicate flags</w:t>
            </w:r>
          </w:p>
        </w:tc>
        <w:tc>
          <w:tcPr>
            <w:tcW w:w="1700" w:type="dxa"/>
          </w:tcPr>
          <w:p>
            <w:pPr>
              <w:pStyle w:val="TableContents"/>
            </w:pPr>
            <w:r>
              <w:t xml:space="preserve">deterministic</w:t>
            </w:r>
          </w:p>
        </w:tc>
        <w:tc>
          <w:tcPr>
            <w:tcW w:w="4626" w:type="dxa"/>
          </w:tcPr>
          <w:p>
            <w:pPr>
              <w:pStyle w:val="TableContents"/>
            </w:pPr>
            <w:r>
              <w:t xml:space="preserve">Re-check duplicate references and remove false positives.</w:t>
            </w:r>
          </w:p>
        </w:tc>
      </w:tr>
      <w:tr>
        <w:tc>
          <w:tcPr>
            <w:tcW w:w="2700" w:type="dxa"/>
          </w:tcPr>
          <w:p>
            <w:pPr>
              <w:pStyle w:val="TableContents"/>
            </w:pPr>
            <w:r>
              <w:t xml:space="preserve">3f. Re-refine misinterpretation</w:t>
            </w:r>
          </w:p>
        </w:tc>
        <w:tc>
          <w:tcPr>
            <w:tcW w:w="1700" w:type="dxa"/>
          </w:tcPr>
          <w:p>
            <w:pPr>
              <w:pStyle w:val="TableContents"/>
            </w:pPr>
            <w:r>
              <w:t xml:space="preserve">LLM</w:t>
            </w:r>
          </w:p>
        </w:tc>
        <w:tc>
          <w:tcPr>
            <w:tcW w:w="4626" w:type="dxa"/>
          </w:tcPr>
          <w:p>
            <w:pPr>
              <w:pStyle w:val="TableContents"/>
            </w:pPr>
            <w:r>
              <w:t xml:space="preserve">Re-run the rename prompt for each flagged skill with the misinterpretation reason injected.</w:t>
            </w:r>
          </w:p>
        </w:tc>
      </w:tr>
      <w:tr>
        <w:tc>
          <w:tcPr>
            <w:tcW w:w="2700" w:type="dxa"/>
          </w:tcPr>
          <w:p>
            <w:pPr>
              <w:pStyle w:val="TableContents"/>
            </w:pPr>
            <w:r>
              <w:t xml:space="preserve">4. Evidence completion</w:t>
            </w:r>
          </w:p>
        </w:tc>
        <w:tc>
          <w:tcPr>
            <w:tcW w:w="1700" w:type="dxa"/>
          </w:tcPr>
          <w:p>
            <w:pPr>
              <w:pStyle w:val="TableContents"/>
            </w:pPr>
            <w:r>
              <w:t xml:space="preserve">LLM, optional</w:t>
            </w:r>
          </w:p>
        </w:tc>
        <w:tc>
          <w:tcPr>
            <w:tcW w:w="4626" w:type="dxa"/>
          </w:tcPr>
          <w:p>
            <w:pPr>
              <w:pStyle w:val="TableContents"/>
            </w:pPr>
            <w:r>
              <w:t xml:space="preserve">Detect truncated evidence, recover the original source text, and append references to related criteria.</w:t>
            </w:r>
          </w:p>
        </w:tc>
      </w:tr>
      <w:tr>
        <w:tc>
          <w:tcPr>
            <w:tcW w:w="2700" w:type="dxa"/>
          </w:tcPr>
          <w:p>
            <w:pPr>
              <w:pStyle w:val="TableContents"/>
            </w:pPr>
            <w:r>
              <w:t xml:space="preserve">5a. Description refinement</w:t>
            </w:r>
          </w:p>
        </w:tc>
        <w:tc>
          <w:tcPr>
            <w:tcW w:w="1700" w:type="dxa"/>
          </w:tcPr>
          <w:p>
            <w:pPr>
              <w:pStyle w:val="TableContents"/>
            </w:pPr>
            <w:r>
              <w:t xml:space="preserve">LLM</w:t>
            </w:r>
          </w:p>
        </w:tc>
        <w:tc>
          <w:tcPr>
            <w:tcW w:w="4626" w:type="dxa"/>
          </w:tcPr>
          <w:p>
            <w:pPr>
              <w:pStyle w:val="TableContents"/>
            </w:pPr>
            <w:r>
              <w:t xml:space="preserve">Rewrite each description from the refined name and evidence.</w:t>
            </w:r>
          </w:p>
        </w:tc>
      </w:tr>
      <w:tr>
        <w:tc>
          <w:tcPr>
            <w:tcW w:w="2700" w:type="dxa"/>
          </w:tcPr>
          <w:p>
            <w:pPr>
              <w:pStyle w:val="TableContents"/>
            </w:pPr>
            <w:r>
              <w:t xml:space="preserve">5b. Keyword enrichment</w:t>
            </w:r>
          </w:p>
        </w:tc>
        <w:tc>
          <w:tcPr>
            <w:tcW w:w="1700" w:type="dxa"/>
          </w:tcPr>
          <w:p>
            <w:pPr>
              <w:pStyle w:val="TableContents"/>
            </w:pPr>
            <w:r>
              <w:t xml:space="preserve">LLM</w:t>
            </w:r>
          </w:p>
        </w:tc>
        <w:tc>
          <w:tcPr>
            <w:tcW w:w="4626" w:type="dxa"/>
          </w:tcPr>
          <w:p>
            <w:pPr>
              <w:pStyle w:val="TableContents"/>
            </w:pPr>
            <w:r>
              <w:t xml:space="preserve">Re-emit keywords for each skill from the name and description.</w:t>
            </w:r>
          </w:p>
        </w:tc>
      </w:tr>
      <w:tr>
        <w:tc>
          <w:tcPr>
            <w:tcW w:w="2700" w:type="dxa"/>
          </w:tcPr>
          <w:p>
            <w:pPr>
              <w:pStyle w:val="TableContents"/>
            </w:pPr>
            <w:r>
              <w:t xml:space="preserve">5c. Style compliance</w:t>
            </w:r>
          </w:p>
        </w:tc>
        <w:tc>
          <w:tcPr>
            <w:tcW w:w="1700" w:type="dxa"/>
          </w:tcPr>
          <w:p>
            <w:pPr>
              <w:pStyle w:val="TableContents"/>
            </w:pPr>
            <w:r>
              <w:t xml:space="preserve">LLM, optional</w:t>
            </w:r>
          </w:p>
        </w:tc>
        <w:tc>
          <w:tcPr>
            <w:tcW w:w="4626" w:type="dxa"/>
          </w:tcPr>
          <w:p>
            <w:pPr>
              <w:pStyle w:val="TableContents"/>
            </w:pPr>
            <w:r>
              <w:t xml:space="preserve">A final pass over names and descriptions for tone and length.</w:t>
            </w:r>
          </w:p>
        </w:tc>
      </w:tr>
      <w:tr>
        <w:tc>
          <w:tcPr>
            <w:tcW w:w="2700" w:type="dxa"/>
          </w:tcPr>
          <w:p>
            <w:pPr>
              <w:pStyle w:val="TableContents"/>
            </w:pPr>
            <w:r>
              <w:t xml:space="preserve">6. Keyword normalisation</w:t>
            </w:r>
          </w:p>
        </w:tc>
        <w:tc>
          <w:tcPr>
            <w:tcW w:w="1700" w:type="dxa"/>
          </w:tcPr>
          <w:p>
            <w:pPr>
              <w:pStyle w:val="TableContents"/>
            </w:pPr>
            <w:r>
              <w:t xml:space="preserve">deterministic</w:t>
            </w:r>
          </w:p>
        </w:tc>
        <w:tc>
          <w:tcPr>
            <w:tcW w:w="4626" w:type="dxa"/>
          </w:tcPr>
          <w:p>
            <w:pPr>
              <w:pStyle w:val="TableContents"/>
            </w:pPr>
            <w:r>
              <w:t xml:space="preserve">Lowercase, deduplicate, and sort the keyword list.</w:t>
            </w:r>
          </w:p>
        </w:tc>
      </w:tr>
    </w:tbl>
    <w:p>
      <w:pPr>
        <w:pStyle w:val="BodyText"/>
      </w:pPr>
    </w:p>
    <w:p>
      <w:pPr>
        <w:pStyle w:val="Heading3"/>
      </w:pPr>
      <w:r>
        <w:t xml:space="preserve">4.3 Consensus Renaming</w:t>
      </w:r>
    </w:p>
    <w:p>
      <w:pPr>
        <w:pStyle w:val="BodyText"/>
      </w:pPr>
      <w:r>
        <w:t xml:space="preserve">The consensus rename produces the refined name and is the core of the refinement step. For each run i in 0 to N-1 the model is called with temperature tᵢ drawn from a fixed schedule. With the default parameters N = 3 and a maximum temperature of 0.6, the schedule is</w:t>
      </w:r>
    </w:p>
    <w:p>
      <w:pPr>
        <w:pStyle w:val="PreformattedText"/>
        <w:jc w:val="center"/>
      </w:pPr>
      <w:r>
        <w:t xml:space="preserve">tᵢ = i × (max_temperature / (N − 1)),   i = 0, 1, 2</w:t>
      </w:r>
    </w:p>
    <w:p>
      <w:pPr>
        <w:pStyle w:val="BodyText"/>
      </w:pPr>
      <w:r>
        <w:t xml:space="preserve">which yields the values 0.0, 0.3, and 0.6. Each run returns one candidate refined name per skill. Let votes(c) be the number of runs that returned candidate c for a given skill. The accepted refined name is the candidate with the largest vote count, subject to the consensus threshold:</w:t>
      </w:r>
    </w:p>
    <w:p>
      <w:pPr>
        <w:pStyle w:val="PreformattedText"/>
        <w:jc w:val="center"/>
      </w:pPr>
      <w:r>
        <w:t xml:space="preserve">refined = argmaxᴄ votes(c),   subject to votes(c) ≥ consensus_threshold</w:t>
      </w:r>
    </w:p>
    <w:p>
      <w:pPr>
        <w:pStyle w:val="BodyText"/>
      </w:pPr>
      <w:r>
        <w:t xml:space="preserve">If no candidate clears the threshold, the original name is retained and the name_changed flag remains false. The consensus step records the original name, a name-changed flag, the refinement confidence (the proportion of votes supporting the accepted name), a vote-tally string, and a free-text justification.</w:t>
      </w:r>
    </w:p>
    <w:p>
      <w:pPr>
        <w:pStyle w:val="Heading3"/>
      </w:pPr>
      <w:r>
        <w:t xml:space="preserve">4.4 Duplicate, Out-of-Scope, and Misinterpretation Detection</w:t>
      </w:r>
    </w:p>
    <w:p>
      <w:pPr>
        <w:pStyle w:val="BodyText"/>
      </w:pPr>
      <w:r>
        <w:t xml:space="preserve">Sub-steps 3b through 3e together construct the three boolean audit flags. The detection logic is deliberately layered: cheaper deterministic checks run first, and the language model validation pass provides the final verdict on anything that survives the deterministic layers.</w:t>
      </w:r>
    </w:p>
    <w:p>
      <w:pPr>
        <w:pStyle w:val="BodyText"/>
      </w:pPr>
      <w:r>
        <w:rPr>
          <w:rStyle w:val="StrongEmphasis"/>
        </w:rPr>
        <w:t xml:space="preserve">Duplicate detection. </w:t>
      </w:r>
      <w:r>
        <w:t xml:space="preserve">Three signals can mark a skill as a duplicate of another: a pairwise word-Jaccard similarity on the refined names above a threshold; a same-source pattern (skills from the same learning-outcome line for university mode, or evidence equal to an element heading for VET mode); and the structured validation prompt, which asks whether another skill covers the same activity. When a skill is marked as a duplicate, the duplicate_of field carries the name of the canonical skill, and a verification pass clears any reference that points at a non-existent or itself-flagged target.</w:t>
      </w:r>
    </w:p>
    <w:p>
      <w:pPr>
        <w:pStyle w:val="BodyText"/>
      </w:pPr>
      <w:r>
        <w:rPr>
          <w:rStyle w:val="StrongEmphasis"/>
        </w:rPr>
        <w:t xml:space="preserve">Out-of-scope detection. </w:t>
      </w:r>
      <w:r>
        <w:t xml:space="preserve">Several signals can mark a skill as out-of-scope: a generic Foundation-Skill capability match (VET only); a Foundation-Skill interpret-or-prepare action already covered by the performance criteria (VET only); a vague description-sourced skill lacking a learning-outcome anchor (university only); a language model judgement that a foundation skill is already implicit in the performance criteria (VET only); and the structured validation prompt. When fired, the scope_reason field carries a short justification.</w:t>
      </w:r>
    </w:p>
    <w:p>
      <w:pPr>
        <w:pStyle w:val="BodyText"/>
      </w:pPr>
      <w:r>
        <w:rPr>
          <w:rStyle w:val="StrongEmphasis"/>
        </w:rPr>
        <w:t xml:space="preserve">Misinterpretation detection. </w:t>
      </w:r>
      <w:r>
        <w:t xml:space="preserve">Two signals mark a skill as a misinterpretation of the source: a deterministic domain-marker mismatch, in which the name contains a marker such as security or inventory that does not appear in the evidence; and the structured validation prompt, which extracts the evidence actions and the name actions and flags a name action that contradicts the evidence. When fired, the misinterpretation reason is recorded, and a subsequent pass re-runs the rename prompt with that reason injected so the model can produce a corrected name.</w:t>
      </w:r>
    </w:p>
    <w:p>
      <w:pPr>
        <w:pStyle w:val="Heading3"/>
      </w:pPr>
      <w:r>
        <w:t xml:space="preserve">4.5 Gap-Fill Pass</w:t>
      </w:r>
    </w:p>
    <w:p>
      <w:pPr>
        <w:pStyle w:val="BodyText"/>
      </w:pPr>
      <w:r>
        <w:t xml:space="preserve">When gap-fill is enabled, the refiner re-reads the parent unit and asks the model to identify any sub-outcome (a performance criterion for VET, or a learning-outcome bullet for university) that no current skill covers. Each newly added skill is written with an added_from_pc flag, a source label, and an evidence string equal to the exact text of the uncovered sub-outcome. The duplicate check runs again after gap-fill so that any new skill duplicating an existing one is caught.</w:t>
      </w:r>
    </w:p>
    <w:p>
      <w:pPr>
        <w:pStyle w:val="Heading3"/>
      </w:pPr>
      <w:r>
        <w:t xml:space="preserve">4.6 Refiner Output</w:t>
      </w:r>
    </w:p>
    <w:p>
      <w:pPr>
        <w:pStyle w:val="BodyText"/>
      </w:pPr>
      <w:r>
        <w:t xml:space="preserve">The refined skills are returned with a complete audit record attached to each skill, including the original name and description, change flags for the name, description, and keywords, the refinement confidence and vote tally, the three boolean quality flags with their justifications, and a flag marking skills introduced by gap-fill. The analyzer reads only the fields it requires; a configuration parameter accepts any subset of the three quality flags and drops the matching skills before scoring on either side of the credit-transfer pair.</w:t>
      </w:r>
    </w:p>
    <w:p>
      <w:pPr>
        <w:pStyle w:val="Heading2"/>
      </w:pPr>
      <w:r>
        <w:t xml:space="preserve">5. Credit Recommender: Direct One-vs-All</w:t>
      </w:r>
    </w:p>
    <w:p>
      <w:pPr>
        <w:pStyle w:val="BodyText"/>
      </w:pPr>
      <w:r>
        <w:t xml:space="preserve">The recommender proceeds in three phases. It first assigns a score to every candidate pairing of a VET skill with a university skill; it then selects one winning VET partner for each university outcome and filters the winners through a sequence of guards; and it finally aggregates the surviving winners into a course-level headline score. The three phases are described in turn below.</w:t>
      </w:r>
    </w:p>
    <w:p>
      <w:pPr>
        <w:pStyle w:val="Heading3"/>
      </w:pPr>
      <w:r>
        <w:t xml:space="preserve">5.1 Per-Pair Scoring</w:t>
      </w:r>
    </w:p>
    <w:p>
      <w:pPr>
        <w:pStyle w:val="BodyText"/>
      </w:pPr>
      <w:r>
        <w:t xml:space="preserve">This phase defines how a single (V, U) pair is scored, combining semantic similarity with level and context compatibility into one per-pair score and a corresponding label.</w:t>
      </w:r>
    </w:p>
    <w:p>
      <w:pPr>
        <w:pStyle w:val="Heading4"/>
      </w:pPr>
      <w:r>
        <w:t xml:space="preserve">5.1.1 Semantic Similarity</w:t>
      </w:r>
    </w:p>
    <w:p>
      <w:pPr>
        <w:pStyle w:val="BodyText"/>
      </w:pPr>
      <w:r>
        <w:t xml:space="preserve">The matcher embeds the skill name only. Descriptions and evidence were evaluated in earlier iterations and removed because they shifted the cosine distribution without improving the signal-to-noise ratio; they are nonetheless read later by the equivalence judge, so domain context is preserved. All n_V + n_U skill names are embedded in a single batched call to a sentence-transformer [13, 14]. Let e_V be the L2-normalised embedding of one VET skill and e_U the embedding of one university skill, both in d-dimensional space. The pairwise similarity is the non-negative cosine</w:t>
      </w:r>
    </w:p>
    <w:p>
      <w:pPr>
        <w:pStyle w:val="PreformattedText"/>
        <w:jc w:val="center"/>
      </w:pPr>
      <w:r>
        <w:t xml:space="preserve">S(V, U) = max(0, e_V · e_U)</w:t>
      </w:r>
    </w:p>
    <w:p>
      <w:pPr>
        <w:pStyle w:val="BodyText"/>
      </w:pPr>
      <w:r>
        <w:t xml:space="preserve">producing an n_V by n_U matrix with entries in the unit interval. Negative cosines are clipped to zero so that they cannot drag downstream scores below zero.</w:t>
      </w:r>
    </w:p>
    <w:p>
      <w:pPr>
        <w:pStyle w:val="Heading4"/>
      </w:pPr>
      <w:r>
        <w:t xml:space="preserve">5.1.2 Level and Context Compatibility</w:t>
      </w:r>
    </w:p>
    <w:p>
      <w:pPr>
        <w:pStyle w:val="BodyText"/>
      </w:pPr>
      <w:r>
        <w:t xml:space="preserve">SFIA levels are integers in the range 1 to 7 [20]. The matcher converts a level gap into a compatibility value using a configurable curve, whose default is</w:t>
      </w:r>
    </w:p>
    <w:p>
      <w:pPr>
        <w:pStyle w:val="PreformattedText"/>
        <w:jc w:val="center"/>
      </w:pPr>
      <w:r>
        <w:t xml:space="preserve">curve = [1.0, 0.75, 0.5, 0.2, 0.0]</w:t>
      </w:r>
    </w:p>
    <w:p>
      <w:pPr>
        <w:pStyle w:val="BodyText"/>
      </w:pPr>
      <w:r>
        <w:t xml:space="preserve">Index k of the curve gives the compatibility for a level gap of k, so a gap of zero maps to 1.0, a gap of one maps to 0.75, and so on. A symmetric 7 by 7 base matrix B is constructed from the curve, and the level compatibility of a pair is L(V, U) = B[level(V) − 1, level(U) − 1]. Context compatibility uses a fixed lookup over the three context values: same-axis pairings score 1.0, opposing pure axes (practical against theoretical) score 0.3, and the hybrid context is partially compatible with either pure axis.</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56"/>
        <w:gridCol w:w="2256"/>
        <w:gridCol w:w="2257"/>
        <w:gridCol w:w="2257"/>
      </w:tblGrid>
      <w:tr>
        <w:tc>
          <w:tcPr>
            <w:tcW w:w="2256" w:type="dxa"/>
            <w:shd w:val="clear" w:color="auto" w:fill="EDE3F5"/>
            <w:vAlign w:val="center"/>
          </w:tcPr>
          <w:p>
            <w:pPr>
              <w:pStyle w:val="TableHeading"/>
            </w:pPr>
            <w:r>
              <w:t xml:space="preserve">VET \ Uni</w:t>
            </w:r>
          </w:p>
        </w:tc>
        <w:tc>
          <w:tcPr>
            <w:tcW w:w="2256" w:type="dxa"/>
            <w:shd w:val="clear" w:color="auto" w:fill="EDE3F5"/>
            <w:vAlign w:val="center"/>
          </w:tcPr>
          <w:p>
            <w:pPr>
              <w:pStyle w:val="TableHeading"/>
            </w:pPr>
            <w:r>
              <w:t xml:space="preserve">practical</w:t>
            </w:r>
          </w:p>
        </w:tc>
        <w:tc>
          <w:tcPr>
            <w:tcW w:w="2257" w:type="dxa"/>
            <w:shd w:val="clear" w:color="auto" w:fill="EDE3F5"/>
            <w:vAlign w:val="center"/>
          </w:tcPr>
          <w:p>
            <w:pPr>
              <w:pStyle w:val="TableHeading"/>
            </w:pPr>
            <w:r>
              <w:t xml:space="preserve">theoretical</w:t>
            </w:r>
          </w:p>
        </w:tc>
        <w:tc>
          <w:tcPr>
            <w:tcW w:w="2257" w:type="dxa"/>
            <w:shd w:val="clear" w:color="auto" w:fill="EDE3F5"/>
            <w:vAlign w:val="center"/>
          </w:tcPr>
          <w:p>
            <w:pPr>
              <w:pStyle w:val="TableHeading"/>
            </w:pPr>
            <w:r>
              <w:t xml:space="preserve">hybrid</w:t>
            </w:r>
          </w:p>
        </w:tc>
      </w:tr>
      <w:tr>
        <w:tc>
          <w:tcPr>
            <w:tcW w:w="2256" w:type="dxa"/>
          </w:tcPr>
          <w:p>
            <w:pPr>
              <w:pStyle w:val="TableContents"/>
            </w:pPr>
            <w:r>
              <w:t xml:space="preserve">practical</w:t>
            </w:r>
          </w:p>
        </w:tc>
        <w:tc>
          <w:tcPr>
            <w:tcW w:w="2256" w:type="dxa"/>
          </w:tcPr>
          <w:p>
            <w:pPr>
              <w:pStyle w:val="TableContents"/>
            </w:pPr>
            <w:r>
              <w:t xml:space="preserve">1.00</w:t>
            </w:r>
          </w:p>
        </w:tc>
        <w:tc>
          <w:tcPr>
            <w:tcW w:w="2257" w:type="dxa"/>
          </w:tcPr>
          <w:p>
            <w:pPr>
              <w:pStyle w:val="TableContents"/>
            </w:pPr>
            <w:r>
              <w:t xml:space="preserve">0.30</w:t>
            </w:r>
          </w:p>
        </w:tc>
        <w:tc>
          <w:tcPr>
            <w:tcW w:w="2257" w:type="dxa"/>
          </w:tcPr>
          <w:p>
            <w:pPr>
              <w:pStyle w:val="TableContents"/>
            </w:pPr>
            <w:r>
              <w:t xml:space="preserve">0.70</w:t>
            </w:r>
          </w:p>
        </w:tc>
      </w:tr>
      <w:tr>
        <w:tc>
          <w:tcPr>
            <w:tcW w:w="2256" w:type="dxa"/>
          </w:tcPr>
          <w:p>
            <w:pPr>
              <w:pStyle w:val="TableContents"/>
            </w:pPr>
            <w:r>
              <w:t xml:space="preserve">theoretical</w:t>
            </w:r>
          </w:p>
        </w:tc>
        <w:tc>
          <w:tcPr>
            <w:tcW w:w="2256" w:type="dxa"/>
          </w:tcPr>
          <w:p>
            <w:pPr>
              <w:pStyle w:val="TableContents"/>
            </w:pPr>
            <w:r>
              <w:t xml:space="preserve">0.30</w:t>
            </w:r>
          </w:p>
        </w:tc>
        <w:tc>
          <w:tcPr>
            <w:tcW w:w="2257" w:type="dxa"/>
          </w:tcPr>
          <w:p>
            <w:pPr>
              <w:pStyle w:val="TableContents"/>
            </w:pPr>
            <w:r>
              <w:t xml:space="preserve">1.00</w:t>
            </w:r>
          </w:p>
        </w:tc>
        <w:tc>
          <w:tcPr>
            <w:tcW w:w="2257" w:type="dxa"/>
          </w:tcPr>
          <w:p>
            <w:pPr>
              <w:pStyle w:val="TableContents"/>
            </w:pPr>
            <w:r>
              <w:t xml:space="preserve">0.70</w:t>
            </w:r>
          </w:p>
        </w:tc>
      </w:tr>
      <w:tr>
        <w:tc>
          <w:tcPr>
            <w:tcW w:w="2256" w:type="dxa"/>
          </w:tcPr>
          <w:p>
            <w:pPr>
              <w:pStyle w:val="TableContents"/>
            </w:pPr>
            <w:r>
              <w:t xml:space="preserve">hybrid</w:t>
            </w:r>
          </w:p>
        </w:tc>
        <w:tc>
          <w:tcPr>
            <w:tcW w:w="2256" w:type="dxa"/>
          </w:tcPr>
          <w:p>
            <w:pPr>
              <w:pStyle w:val="TableContents"/>
            </w:pPr>
            <w:r>
              <w:t xml:space="preserve">0.70</w:t>
            </w:r>
          </w:p>
        </w:tc>
        <w:tc>
          <w:tcPr>
            <w:tcW w:w="2257" w:type="dxa"/>
          </w:tcPr>
          <w:p>
            <w:pPr>
              <w:pStyle w:val="TableContents"/>
            </w:pPr>
            <w:r>
              <w:t xml:space="preserve">0.70</w:t>
            </w:r>
          </w:p>
        </w:tc>
        <w:tc>
          <w:tcPr>
            <w:tcW w:w="2257" w:type="dxa"/>
          </w:tcPr>
          <w:p>
            <w:pPr>
              <w:pStyle w:val="TableContents"/>
            </w:pPr>
            <w:r>
              <w:t xml:space="preserve">1.00</w:t>
            </w:r>
          </w:p>
        </w:tc>
      </w:tr>
    </w:tbl>
    <w:p>
      <w:pPr>
        <w:pStyle w:val="BodyText"/>
      </w:pPr>
    </w:p>
    <w:p>
      <w:pPr>
        <w:pStyle w:val="Heading4"/>
      </w:pPr>
      <w:r>
        <w:t xml:space="preserve">5.1.3 Combined Score and Classification</w:t>
      </w:r>
    </w:p>
    <w:p>
      <w:pPr>
        <w:pStyle w:val="BodyText"/>
      </w:pPr>
      <w:r>
        <w:t xml:space="preserve">The three matrices are combined linearly into a single score for each pair:</w:t>
      </w:r>
    </w:p>
    <w:p>
      <w:pPr>
        <w:pStyle w:val="PreformattedText"/>
        <w:jc w:val="center"/>
      </w:pPr>
      <w:r>
        <w:t xml:space="preserve">M(V, U) = w_sim · S(V, U) + w_lvl · L(V, U) + w_ctx · C(V, U)</w:t>
      </w:r>
    </w:p>
    <w:p>
      <w:pPr>
        <w:pStyle w:val="BodyText"/>
      </w:pPr>
      <w:r>
        <w:t xml:space="preserve">The current weights are w_sim = 0.60, w_lvl = 0.25, and w_ctx = 0.15. The weights are normalised to sum to one at configuration-load time, so any user-supplied values that do not sum to one still produce a well-defined linear combination. Each candidate pair is then labelled from its combined score using the direct threshold T_d and the partial threshold T_p:</w:t>
      </w:r>
    </w:p>
    <w:p>
      <w:pPr>
        <w:pStyle w:val="PreformattedText"/>
        <w:jc w:val="center"/>
      </w:pPr>
      <w:r>
        <w:t xml:space="preserve">m(V, U) = Direct      if M(V, U) ≥ T_d</w:t>
      </w:r>
    </w:p>
    <w:p>
      <w:pPr>
        <w:pStyle w:val="PreformattedText"/>
        <w:jc w:val="center"/>
      </w:pPr>
      <w:r>
        <w:t xml:space="preserve">m(V, U) = Partial     if T_p ≤ M(V, U) &lt; T_d</w:t>
      </w:r>
    </w:p>
    <w:p>
      <w:pPr>
        <w:pStyle w:val="PreformattedText"/>
        <w:jc w:val="center"/>
      </w:pPr>
      <w:r>
        <w:t xml:space="preserve">m(V, U) = Unmapped    if M(V, U) &lt; T_p</w:t>
      </w:r>
    </w:p>
    <w:p>
      <w:pPr>
        <w:pStyle w:val="BodyText"/>
      </w:pPr>
      <w:r>
        <w:t xml:space="preserve">The production thresholds are T_d = 0.87 and T_p = 0.78.</w:t>
      </w:r>
    </w:p>
    <w:p>
      <w:pPr>
        <w:pStyle w:val="Heading3"/>
      </w:pPr>
      <w:r>
        <w:t xml:space="preserve">5.2 Winner Selection and Demotion Guards</w:t>
      </w:r>
    </w:p>
    <w:p>
      <w:pPr>
        <w:pStyle w:val="BodyText"/>
      </w:pPr>
      <w:r>
        <w:t xml:space="preserve">This phase selects one winning VET partner for each university outcome, caps the number of outcomes a single VET skill may win, and applies a sequence of guards that demote weak or spurious matches.</w:t>
      </w:r>
    </w:p>
    <w:p>
      <w:pPr>
        <w:pStyle w:val="Heading4"/>
      </w:pPr>
      <w:r>
        <w:t xml:space="preserve">5.2.1 Winner Selection and Capping</w:t>
      </w:r>
    </w:p>
    <w:p>
      <w:pPr>
        <w:pStyle w:val="BodyText"/>
      </w:pPr>
      <w:r>
        <w:t xml:space="preserve">For each university skill U the matcher selects the VET skill that maximises the combined score, V_best(U) = argmax_V M(V, U). The set of winners contains one winner per university outcome and therefore has size n_U; the same VET skill may appear as a winner for several distinct university outcomes. If, after Unicode whitespace collapsing and case folding, the names of V_best(U) and U are equal, the label of that pair is promoted to Direct regardless of M, providing a low-cost precision improvement; such pairs may still be demoted later by the guards or the equivalence judge. Finally, any single VET skill may win at most K university outcomes per course, with a default of K = 3. For each VET skill the winning pairs are ranked by M in descending order, and any pair ranked beyond K is demoted to Unmapped:</w:t>
      </w:r>
    </w:p>
    <w:p>
      <w:pPr>
        <w:pStyle w:val="PreformattedText"/>
        <w:jc w:val="center"/>
      </w:pPr>
      <w:r>
        <w:t xml:space="preserve">m(V, U) = Unmapped   if rank_V(U) &gt; K within { U : V_best(U) = V }</w:t>
      </w:r>
    </w:p>
    <w:p>
      <w:pPr>
        <w:pStyle w:val="BodyText"/>
      </w:pPr>
      <w:r>
        <w:t xml:space="preserve">The cap runs after the identical-name promotion, so promoted pairs count toward the cap, and before the equivalence judge, so the judge does not expend a call on a pair that is about to be capped.</w:t>
      </w:r>
    </w:p>
    <w:p>
      <w:pPr>
        <w:pStyle w:val="Heading4"/>
      </w:pPr>
      <w:r>
        <w:t xml:space="preserve">5.2.2 Optional Demotion Guards</w:t>
      </w:r>
    </w:p>
    <w:p>
      <w:pPr>
        <w:pStyle w:val="BodyText"/>
      </w:pPr>
      <w:r>
        <w:t xml:space="preserve">Two further guards are available but disabled by default, because the equivalence judge covers the same demotions. The specialist guard runs two deterministic detectors: the anchored detector computes the projection of the VET embedding onto a centroid of generic anchor phrases and of the university embedding onto a centroid of specialist phrases, and demotes a pair when the generic projection is at least 0.80 and the specialist projection is at least 0.70; the lateral detector demotes all wins of a VET skill that wins at least four university outcomes whose mutual mean cosine similarity falls below 0.55, capturing the case of one VET skill being distributed across mutually unrelated outcomes. The verb-class guard issues one batched language model call that classifies every unique skill name into a Bloom action level from 1 (Remember) to 6 (Create) [7], and demotes a winning pair when the university action level exceeds the VET action level by at least three.</w:t>
      </w:r>
    </w:p>
    <w:p>
      <w:pPr>
        <w:pStyle w:val="Heading4"/>
      </w:pPr>
      <w:r>
        <w:t xml:space="preserve">5.2.3 Equivalence Judge</w:t>
      </w:r>
    </w:p>
    <w:p>
      <w:pPr>
        <w:pStyle w:val="BodyText"/>
      </w:pPr>
      <w:r>
        <w:t xml:space="preserve">Every surviving Direct or Partial winner is submitted individually to a large language model equivalence judge. For each side the judge sees the parent unit or course name, the university course year, the skill name, the description, and a short evidence excerpt, and it returns a JSON object reporting an equivalence verdict, a confidence value, and a reason. A pair is demoted when the verdict is negative and the confidence is at least 0.70, with demotion mapping Direct to Partial and Partial to Unmapped:</w:t>
      </w:r>
    </w:p>
    <w:p>
      <w:pPr>
        <w:pStyle w:val="PreformattedText"/>
        <w:jc w:val="center"/>
      </w:pPr>
      <w:r>
        <w:t xml:space="preserve">m(V, U) = demote(m_orig)   if equivalent = false and confidence ≥ 0.70</w:t>
      </w:r>
    </w:p>
    <w:p>
      <w:pPr>
        <w:pStyle w:val="BodyText"/>
      </w:pPr>
      <w:r>
        <w:t xml:space="preserve">The judge can return a positive verdict at low confidence to signal ambiguity, in which case no demotion occurs and the embedding-driven label stands. The judge applies two rules: the first fires when the VET skill is a generic transferable skill and the university skill requires formal specialist knowledge; the second fires when the two sub-domains are clearly unrelated. Otherwise the default verdict is positive, and adjacent verbs within the same sub-domain are treated as capability transfer.</w:t>
      </w:r>
    </w:p>
    <w:p>
      <w:pPr>
        <w:pStyle w:val="Heading3"/>
      </w:pPr>
      <w:r>
        <w:t xml:space="preserve">5.3 Course-Level Score Aggregation</w:t>
      </w:r>
    </w:p>
    <w:p>
      <w:pPr>
        <w:pStyle w:val="BodyText"/>
      </w:pPr>
      <w:r>
        <w:t xml:space="preserve">This phase aggregates the surviving winners into the multidimensional headline score for a university course, combining coverage with quality, level, context, confidence, and volume sub-metrics, and applying any defensive penalties.</w:t>
      </w:r>
    </w:p>
    <w:p>
      <w:pPr>
        <w:pStyle w:val="Heading4"/>
      </w:pPr>
      <w:r>
        <w:t xml:space="preserve">5.3.1 Coverage</w:t>
      </w:r>
    </w:p>
    <w:p>
      <w:pPr>
        <w:pStyle w:val="BodyText"/>
      </w:pPr>
      <w:r>
        <w:t xml:space="preserve">After all demotions, the surviving winners of each VET skill are weighted by rank. For a VET skill with surviving winners sorted by M in descending order, the decay weight is</w:t>
      </w:r>
    </w:p>
    <w:p>
      <w:pPr>
        <w:pStyle w:val="PreformattedText"/>
        <w:jc w:val="center"/>
      </w:pPr>
      <w:r>
        <w:t xml:space="preserve">decay(V, U) = β ^ (rank_V(U) − 1),   with β = 0.7</w:t>
      </w:r>
    </w:p>
    <w:p>
      <w:pPr>
        <w:pStyle w:val="BodyText"/>
      </w:pPr>
      <w:r>
        <w:t xml:space="preserve">This yields the sequence 1.00, 0.70, 0.49, 0.343, and so on for successive wins, so that a VET skill with a single surviving winner has a decay weight of one. The decay value is used by the coverage axis only; the quality, level, and context axes are left undecayed. Each surviving winner contributes a graduated bucket value to the coverage axis, defined from the combined score relative to the two thresholds:</w:t>
      </w:r>
    </w:p>
    <w:p>
      <w:pPr>
        <w:pStyle w:val="PreformattedText"/>
        <w:jc w:val="center"/>
      </w:pPr>
      <w:r>
        <w:t xml:space="preserve">bucket(M) = 1.0                          if M ≥ T_d</w:t>
      </w:r>
    </w:p>
    <w:p>
      <w:pPr>
        <w:pStyle w:val="PreformattedText"/>
        <w:jc w:val="center"/>
      </w:pPr>
      <w:r>
        <w:t xml:space="preserve">bucket(M) = (M − T_p) / (T_d − T_p)      if T_p ≤ M &lt; T_d</w:t>
      </w:r>
    </w:p>
    <w:p>
      <w:pPr>
        <w:pStyle w:val="PreformattedText"/>
        <w:jc w:val="center"/>
      </w:pPr>
      <w:r>
        <w:t xml:space="preserve">bucket(M) = 0.0                          if M &lt; T_p</w:t>
      </w:r>
    </w:p>
    <w:p>
      <w:pPr>
        <w:pStyle w:val="BodyText"/>
      </w:pPr>
      <w:r>
        <w:t xml:space="preserve">A Direct pair therefore counts as one university outcome covered, while a Partial pair counts as a fractional outcome whose value rises linearly between the partial and direct thresholds. University coverage averages the bucket over all university skills of the course, with unmapped pairs contributing zero and surviving pairs contributing the product of bucket and decay:</w:t>
      </w:r>
    </w:p>
    <w:p>
      <w:pPr>
        <w:pStyle w:val="PreformattedText"/>
        <w:jc w:val="center"/>
      </w:pPr>
      <w:r>
        <w:t xml:space="preserve">Coverage_uni(C) = (1 / n_U) · Σ_U bucket(M(V_best(U), U)) · decay(V_best(U), U)</w:t>
      </w:r>
    </w:p>
    <w:p>
      <w:pPr>
        <w:pStyle w:val="BodyText"/>
      </w:pPr>
      <w:r>
        <w:t xml:space="preserve">VET coverage is the symmetric quantity over the n_V VET skills, where the score of a VET skill is its maximum M over all university skills:</w:t>
      </w:r>
    </w:p>
    <w:p>
      <w:pPr>
        <w:pStyle w:val="PreformattedText"/>
        <w:jc w:val="center"/>
      </w:pPr>
      <w:r>
        <w:t xml:space="preserve">Coverage_vet = (1 / n_V) · Σ_V bucket(max_U M(V, U))</w:t>
      </w:r>
    </w:p>
    <w:p>
      <w:pPr>
        <w:pStyle w:val="BodyText"/>
      </w:pPr>
      <w:r>
        <w:t xml:space="preserve">The bidirectional summary is the minimum of the two, Coverage_bi = min(Coverage_uni, Coverage_vet). Only university coverage enters the headline score; the bidirectional summary appears in the audit fields.</w:t>
      </w:r>
    </w:p>
    <w:p>
      <w:pPr>
        <w:pStyle w:val="Heading4"/>
      </w:pPr>
      <w:r>
        <w:t xml:space="preserve">5.3.2 Quality, Level, Context, and Confidence Sub-Metrics</w:t>
      </w:r>
    </w:p>
    <w:p>
      <w:pPr>
        <w:pStyle w:val="BodyText"/>
      </w:pPr>
      <w:r>
        <w:t xml:space="preserve">The quality, level, and context sub-metrics average over the surviving winners but use n_U as the denominator, so that demoted winners lower the metric by contributing zero. Let W* be the set of university skills whose winner survives as Direct or Partial. Then</w:t>
      </w:r>
    </w:p>
    <w:p>
      <w:pPr>
        <w:pStyle w:val="PreformattedText"/>
        <w:jc w:val="center"/>
      </w:pPr>
      <w:r>
        <w:t xml:space="preserve">Quality(C) = (1 / n_U) · Σ_{U ∈ W*} S(V_best(U), U)</w:t>
      </w:r>
    </w:p>
    <w:p>
      <w:pPr>
        <w:pStyle w:val="PreformattedText"/>
        <w:jc w:val="center"/>
      </w:pPr>
      <w:r>
        <w:t xml:space="preserve">Level(C)   = (1 / n_U) · Σ_{U ∈ W*} L(V_best(U), U)</w:t>
      </w:r>
    </w:p>
    <w:p>
      <w:pPr>
        <w:pStyle w:val="PreformattedText"/>
        <w:jc w:val="center"/>
      </w:pPr>
      <w:r>
        <w:t xml:space="preserve">Context(C) = (1 / n_U) · Σ_{U ∈ W*} C(V_best(U), U)</w:t>
      </w:r>
    </w:p>
    <w:p>
      <w:pPr>
        <w:pStyle w:val="BodyText"/>
      </w:pPr>
      <w:r>
        <w:t xml:space="preserve">The quality sub-metric has a legacy combined mode that substitutes M for S; the production setting is similarity-only, because the level and context dimensions already carry their own headline weights and using M here would double-count them. The confidence sub-metric is the mean of the self-reported extractor confidence over the union of surviving VET and university skills, Confidence(C) = mean{ conf(V) } ∪ { conf(U) } over survivors.</w:t>
      </w:r>
    </w:p>
    <w:p>
      <w:pPr>
        <w:pStyle w:val="Heading4"/>
      </w:pPr>
      <w:r>
        <w:t xml:space="preserve">5.3.3 Volume Gate</w:t>
      </w:r>
    </w:p>
    <w:p>
      <w:pPr>
        <w:pStyle w:val="BodyText"/>
      </w:pPr>
      <w:r>
        <w:t xml:space="preserve">The volume of learning compares VET nominal hours against the university credit-point workload, with a default conversion of 25 hours per credit point. The volume ratio is</w:t>
      </w:r>
    </w:p>
    <w:p>
      <w:pPr>
        <w:pStyle w:val="PreformattedText"/>
        <w:jc w:val="center"/>
      </w:pPr>
      <w:r>
        <w:t xml:space="preserve">volume_ratio = min(1, VET_hours / (credit_points × 25))</w:t>
      </w:r>
    </w:p>
    <w:p>
      <w:pPr>
        <w:pStyle w:val="BodyText"/>
      </w:pPr>
      <w:r>
        <w:t xml:space="preserve">If either side is missing or zero, the ratio is set to one so the gate becomes a no-op. The ratio enters the headline through a gate multiplier with floor f, default 0.5:</w:t>
      </w:r>
    </w:p>
    <w:p>
      <w:pPr>
        <w:pStyle w:val="PreformattedText"/>
        <w:jc w:val="center"/>
      </w:pPr>
      <w:r>
        <w:t xml:space="preserve">gate = f + (1 − f) · volume_ratio</w:t>
      </w:r>
    </w:p>
    <w:p>
      <w:pPr>
        <w:pStyle w:val="Heading4"/>
      </w:pPr>
      <w:r>
        <w:t xml:space="preserve">5.3.4 Base Score, Penalties, and Final Score</w:t>
      </w:r>
    </w:p>
    <w:p>
      <w:pPr>
        <w:pStyle w:val="BodyText"/>
      </w:pPr>
      <w:r>
        <w:t xml:space="preserve">Let the six headline weights be those for coverage, quality, level, context, confidence, and volume, with current values 0.40, 0.25, 0.15, 0.10, 0.05, and 0.05 respectively, summing to one. Let the total edge-case penalty lie in the unit interval. The base score, the score after penalty, and the final score are</w:t>
      </w:r>
    </w:p>
    <w:p>
      <w:pPr>
        <w:pStyle w:val="PreformattedText"/>
        <w:jc w:val="center"/>
      </w:pPr>
      <w:r>
        <w:t xml:space="preserve">base = w_cov·Coverage_uni + w_qual·Quality + w_lvl·Level</w:t>
      </w:r>
    </w:p>
    <w:p>
      <w:pPr>
        <w:pStyle w:val="PreformattedText"/>
        <w:jc w:val="center"/>
      </w:pPr>
      <w:r>
        <w:t xml:space="preserve">       + w_ctx·Context + w_conf·Confidence + w_vol·volume_ratio</w:t>
      </w:r>
    </w:p>
    <w:p>
      <w:pPr>
        <w:pStyle w:val="PreformattedText"/>
        <w:jc w:val="center"/>
      </w:pPr>
      <w:r>
        <w:t xml:space="preserve">score_after_penalty = max(0, base · (1 − penalty_total))</w:t>
      </w:r>
    </w:p>
    <w:p>
      <w:pPr>
        <w:pStyle w:val="PreformattedText"/>
        <w:jc w:val="center"/>
      </w:pPr>
      <w:r>
        <w:t xml:space="preserve">final_score(C) = score_after_penalty · gate</w:t>
      </w:r>
    </w:p>
    <w:p>
      <w:pPr>
        <w:pStyle w:val="BodyText"/>
      </w:pPr>
      <w:r>
        <w:t xml:space="preserve">The final score is the headline alignment score recorded in the recommendations output. When edge-case detection is enabled, several signals multiplicatively reduce the base score through the penalty total; edge-case detection is disabled in the production configuration, so the total penalty defaults to zero.</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900"/>
        <w:gridCol w:w="1300"/>
        <w:gridCol w:w="4826"/>
      </w:tblGrid>
      <w:tr>
        <w:tc>
          <w:tcPr>
            <w:tcW w:w="2900" w:type="dxa"/>
            <w:shd w:val="clear" w:color="auto" w:fill="EDE3F5"/>
            <w:vAlign w:val="center"/>
          </w:tcPr>
          <w:p>
            <w:pPr>
              <w:pStyle w:val="TableHeading"/>
            </w:pPr>
            <w:r>
              <w:t xml:space="preserve">Penalty</w:t>
            </w:r>
          </w:p>
        </w:tc>
        <w:tc>
          <w:tcPr>
            <w:tcW w:w="1300" w:type="dxa"/>
            <w:shd w:val="clear" w:color="auto" w:fill="EDE3F5"/>
            <w:vAlign w:val="center"/>
          </w:tcPr>
          <w:p>
            <w:pPr>
              <w:pStyle w:val="TableHeading"/>
            </w:pPr>
            <w:r>
              <w:t xml:space="preserve">Default</w:t>
            </w:r>
          </w:p>
        </w:tc>
        <w:tc>
          <w:tcPr>
            <w:tcW w:w="4826" w:type="dxa"/>
            <w:shd w:val="clear" w:color="auto" w:fill="EDE3F5"/>
            <w:vAlign w:val="center"/>
          </w:tcPr>
          <w:p>
            <w:pPr>
              <w:pStyle w:val="TableHeading"/>
            </w:pPr>
            <w:r>
              <w:t xml:space="preserve">Trigger</w:t>
            </w:r>
          </w:p>
        </w:tc>
      </w:tr>
      <w:tr>
        <w:tc>
          <w:tcPr>
            <w:tcW w:w="2900" w:type="dxa"/>
          </w:tcPr>
          <w:p>
            <w:pPr>
              <w:pStyle w:val="TableContents"/>
            </w:pPr>
            <w:r>
              <w:t xml:space="preserve">context_imbalance</w:t>
            </w:r>
          </w:p>
        </w:tc>
        <w:tc>
          <w:tcPr>
            <w:tcW w:w="1300" w:type="dxa"/>
          </w:tcPr>
          <w:p>
            <w:pPr>
              <w:pStyle w:val="TableContents"/>
            </w:pPr>
            <w:r>
              <w:t xml:space="preserve">0.10</w:t>
            </w:r>
          </w:p>
        </w:tc>
        <w:tc>
          <w:tcPr>
            <w:tcW w:w="4826" w:type="dxa"/>
          </w:tcPr>
          <w:p>
            <w:pPr>
              <w:pStyle w:val="TableContents"/>
            </w:pPr>
            <w:r>
              <w:t xml:space="preserve">Imbalance score above 0.4.</w:t>
            </w:r>
          </w:p>
        </w:tc>
      </w:tr>
      <w:tr>
        <w:tc>
          <w:tcPr>
            <w:tcW w:w="2900" w:type="dxa"/>
          </w:tcPr>
          <w:p>
            <w:pPr>
              <w:pStyle w:val="TableContents"/>
            </w:pPr>
            <w:r>
              <w:t xml:space="preserve">outdated_content</w:t>
            </w:r>
          </w:p>
        </w:tc>
        <w:tc>
          <w:tcPr>
            <w:tcW w:w="1300" w:type="dxa"/>
          </w:tcPr>
          <w:p>
            <w:pPr>
              <w:pStyle w:val="TableContents"/>
            </w:pPr>
            <w:r>
              <w:t xml:space="preserve">0.05</w:t>
            </w:r>
          </w:p>
        </w:tc>
        <w:tc>
          <w:tcPr>
            <w:tcW w:w="4826" w:type="dxa"/>
          </w:tcPr>
          <w:p>
            <w:pPr>
              <w:pStyle w:val="TableContents"/>
            </w:pPr>
            <w:r>
              <w:t xml:space="preserve">Currency issues flagged in the VET material.</w:t>
            </w:r>
          </w:p>
        </w:tc>
      </w:tr>
      <w:tr>
        <w:tc>
          <w:tcPr>
            <w:tcW w:w="2900" w:type="dxa"/>
          </w:tcPr>
          <w:p>
            <w:pPr>
              <w:pStyle w:val="TableContents"/>
            </w:pPr>
            <w:r>
              <w:t xml:space="preserve">missing_prerequisites</w:t>
            </w:r>
          </w:p>
        </w:tc>
        <w:tc>
          <w:tcPr>
            <w:tcW w:w="1300" w:type="dxa"/>
          </w:tcPr>
          <w:p>
            <w:pPr>
              <w:pStyle w:val="TableContents"/>
            </w:pPr>
            <w:r>
              <w:t xml:space="preserve">0.10</w:t>
            </w:r>
          </w:p>
        </w:tc>
        <w:tc>
          <w:tcPr>
            <w:tcW w:w="4826" w:type="dxa"/>
          </w:tcPr>
          <w:p>
            <w:pPr>
              <w:pStyle w:val="TableContents"/>
            </w:pPr>
            <w:r>
              <w:t xml:space="preserve">Mapped university outcomes have unsatisfied prerequisites.</w:t>
            </w:r>
          </w:p>
        </w:tc>
      </w:tr>
      <w:tr>
        <w:tc>
          <w:tcPr>
            <w:tcW w:w="2900" w:type="dxa"/>
          </w:tcPr>
          <w:p>
            <w:pPr>
              <w:pStyle w:val="TableContents"/>
            </w:pPr>
            <w:r>
              <w:t xml:space="preserve">large_level_gap</w:t>
            </w:r>
          </w:p>
        </w:tc>
        <w:tc>
          <w:tcPr>
            <w:tcW w:w="1300" w:type="dxa"/>
          </w:tcPr>
          <w:p>
            <w:pPr>
              <w:pStyle w:val="TableContents"/>
            </w:pPr>
            <w:r>
              <w:t xml:space="preserve">0.05</w:t>
            </w:r>
          </w:p>
        </w:tc>
        <w:tc>
          <w:tcPr>
            <w:tcW w:w="4826" w:type="dxa"/>
          </w:tcPr>
          <w:p>
            <w:pPr>
              <w:pStyle w:val="TableContents"/>
            </w:pPr>
            <w:r>
              <w:t xml:space="preserve">Mean VET and university levels differ by two or more.</w:t>
            </w:r>
          </w:p>
        </w:tc>
      </w:tr>
    </w:tbl>
    <w:p>
      <w:pPr>
        <w:pStyle w:val="BodyText"/>
      </w:pPr>
    </w:p>
    <w:p>
      <w:pPr>
        <w:pStyle w:val="Heading2"/>
      </w:pPr>
      <w:r>
        <w:t xml:space="preserve">6. Recommendation Classification</w:t>
      </w:r>
    </w:p>
    <w:p>
      <w:pPr>
        <w:pStyle w:val="BodyText"/>
      </w:pPr>
      <w:r>
        <w:t xml:space="preserve">The final score and the sub-metrics determine the recommendation bucket. A FULL recommendation requires all four floors to be cleared simultaneously:</w:t>
      </w:r>
    </w:p>
    <w:p>
      <w:pPr>
        <w:pStyle w:val="PreformattedText"/>
        <w:jc w:val="center"/>
      </w:pPr>
      <w:r>
        <w:t xml:space="preserve">FULL    if final_score ≥ 0.75 and Coverage_uni ≥ 0.70</w:t>
      </w:r>
    </w:p>
    <w:p>
      <w:pPr>
        <w:pStyle w:val="PreformattedText"/>
        <w:jc w:val="center"/>
      </w:pPr>
      <w:r>
        <w:t xml:space="preserve">           and Level ≥ 0.60 and volume_ratio ≥ 0.70</w:t>
      </w:r>
    </w:p>
    <w:p>
      <w:pPr>
        <w:pStyle w:val="PreformattedText"/>
        <w:jc w:val="center"/>
      </w:pPr>
      <w:r>
        <w:t xml:space="preserve">PARTIAL if final_score ≥ 0.45 and at least one Direct or Partial winner</w:t>
      </w:r>
    </w:p>
    <w:p>
      <w:pPr>
        <w:pStyle w:val="PreformattedText"/>
        <w:jc w:val="center"/>
      </w:pPr>
      <w:r>
        <w:t xml:space="preserve">NONE    otherwise</w:t>
      </w:r>
    </w:p>
    <w:p>
      <w:pPr>
        <w:pStyle w:val="BodyText"/>
      </w:pPr>
      <w:r>
        <w:t xml:space="preserve">A scalar confidence in the unit interval is reported alongside the bucket, computed from the sub-metric magnitudes and the floor margins. It is presentational only and does not gate the bucket decision.</w:t>
      </w:r>
    </w:p>
    <w:p>
      <w:pPr>
        <w:pStyle w:val="Heading2"/>
      </w:pPr>
      <w:r>
        <w:t xml:space="preserve">7. Theoretical Foundation</w:t>
      </w:r>
    </w:p>
    <w:p>
      <w:pPr>
        <w:pStyle w:val="BodyText"/>
      </w:pPr>
      <w:r>
        <w:t xml:space="preserve">The framework bridges several educational taxonomies: Bloom’s taxonomy for cognitive complexity assessment [7]; the SFIA framework for individual skill proficiency levels [20]; the Australian Qualifications Framework for VET qualification standards [3]; and the European Qualifications Framework for international compatibility [10]. The distinction between study levels and SFIA skill levels is essential: study levels describe the overall educational context, whereas SFIA levels quantify the proficiency required for individual skills within that context. The use of contextualised embeddings allows the system to capture nuanced relationships between skills that keyword-based approaches miss, and the attention mechanism of the transformer architecture [22] enables an understanding of complex skill relationships within their educational context.</w:t>
      </w:r>
    </w:p>
    <w:p>
      <w:pPr>
        <w:pStyle w:val="Heading2"/>
      </w:pPr>
      <w:r>
        <w:t xml:space="preserve">8. Conclusion</w:t>
      </w:r>
    </w:p>
    <w:p>
      <w:pPr>
        <w:pStyle w:val="BodyText"/>
      </w:pPr>
      <w:r>
        <w:t xml:space="preserve">This report has specified the direct one-vs-all matching strategy used in production by an automated credit transfer recommender, documenting every coefficient, threshold, and decision rule that affects the headline alignment score. By treating each university outcome as an independent unit of decision and pairing it with its best partner from the full pool of VET skills, the strategy produces transparent and defensible recommendations. A layered sequence of deterministic guards and a large language model equivalence judge progressively refine candidate matches before a multidimensional headline score is aggregated and classified into FULL, PARTIAL, or NONE. The modular architecture supports integration with various embedding models and language model backends, allowing institutions to optimise for their requirements regarding accuracy, throughput, and data privacy, and has the potential to streamline credit transfer processes, improve the consistency of recognition of prior learning, and enhance educational mobility for students transitioning between the vocational and higher education sectors.</w:t>
      </w:r>
    </w:p>
    <w:p>
      <w:pPr>
        <w:pStyle w:val="Heading2"/>
      </w:pPr>
      <w:r>
        <w:t xml:space="preserve">References</w:t>
      </w:r>
    </w:p>
    <w:p>
      <w:pPr>
        <w:pStyle w:val="BodyText"/>
      </w:pPr>
      <w:r>
        <w:t xml:space="preserve">[1] Pitman, T., Trinidad, S., Devlin, M., Harvey, A., Brett, M., &amp; McKay, J. (2019). Recognition of prior learning in Australian higher education. </w:t>
      </w:r>
      <w:r>
        <w:rPr>
          <w:rStyle w:val="Emphasis"/>
        </w:rPr>
        <w:t xml:space="preserve">Journal of Higher Education Policy and Management</w:t>
      </w:r>
      <w:r>
        <w:t xml:space="preserve">, 41(4), 383-398.</w:t>
      </w:r>
    </w:p>
    <w:p>
      <w:pPr>
        <w:pStyle w:val="BodyText"/>
      </w:pPr>
      <w:r>
        <w:t xml:space="preserve">[2] Cameron, R. (2011). Australia's qualification framework: Analysis of its impact and issues. </w:t>
      </w:r>
      <w:r>
        <w:rPr>
          <w:rStyle w:val="Emphasis"/>
        </w:rPr>
        <w:t xml:space="preserve">International Journal of Training Research</w:t>
      </w:r>
      <w:r>
        <w:t xml:space="preserve">, 9(1-2), 3-16.</w:t>
      </w:r>
    </w:p>
    <w:p>
      <w:pPr>
        <w:pStyle w:val="BodyText"/>
      </w:pPr>
      <w:r>
        <w:t xml:space="preserve">[3] Australian Qualifications Framework Council (2013). </w:t>
      </w:r>
      <w:r>
        <w:rPr>
          <w:rStyle w:val="Emphasis"/>
        </w:rPr>
        <w:t xml:space="preserve">Australian Qualifications Framework</w:t>
      </w:r>
      <w:r>
        <w:t xml:space="preserve">. 2nd ed. South Australia: Australian Qualifications Framework Council.</w:t>
      </w:r>
    </w:p>
    <w:p>
      <w:pPr>
        <w:pStyle w:val="BodyText"/>
      </w:pPr>
      <w:r>
        <w:t xml:space="preserve">[4] Wheelahan, L., &amp; Moodie, G. (2015). </w:t>
      </w:r>
      <w:r>
        <w:rPr>
          <w:rStyle w:val="Emphasis"/>
        </w:rPr>
        <w:t xml:space="preserve">Rethinking skills in vocational education and training: From competencies to capabilities</w:t>
      </w:r>
      <w:r>
        <w:t xml:space="preserve">. Sydney: NSW Department of Education.</w:t>
      </w:r>
    </w:p>
    <w:p>
      <w:pPr>
        <w:pStyle w:val="BodyText"/>
      </w:pPr>
      <w:r>
        <w:t xml:space="preserve">[5] Moodie, G. (2013). Variations in student pathways through vocational education and training and higher education. </w:t>
      </w:r>
      <w:r>
        <w:rPr>
          <w:rStyle w:val="Emphasis"/>
        </w:rPr>
        <w:t xml:space="preserve">International Journal of Training Research</w:t>
      </w:r>
      <w:r>
        <w:t xml:space="preserve">, 11(2), 159-171.</w:t>
      </w:r>
    </w:p>
    <w:p>
      <w:pPr>
        <w:pStyle w:val="BodyText"/>
      </w:pPr>
      <w:r>
        <w:t xml:space="preserve">[6] Harris, R., Rainey, L., &amp; Sumner, R. (2011). </w:t>
      </w:r>
      <w:r>
        <w:rPr>
          <w:rStyle w:val="Emphasis"/>
        </w:rPr>
        <w:t xml:space="preserve">Crazy paving or stepping stones? Learning pathways within and between vocational education and training and higher education</w:t>
      </w:r>
      <w:r>
        <w:t xml:space="preserve">. Adelaide: NCVER.</w:t>
      </w:r>
    </w:p>
    <w:p>
      <w:pPr>
        <w:pStyle w:val="BodyText"/>
      </w:pPr>
      <w:r>
        <w:t xml:space="preserve">[7] Bloom, B. S., Engelhart, M. D., Furst, E. J., Hill, W. H., &amp; Krathwohl, D. R. (1956). </w:t>
      </w:r>
      <w:r>
        <w:rPr>
          <w:rStyle w:val="Emphasis"/>
        </w:rPr>
        <w:t xml:space="preserve">Taxonomy of educational objectives: The classification of educational goals. Handbook I: Cognitive domain</w:t>
      </w:r>
      <w:r>
        <w:t xml:space="preserve">. New York: David McKay Company.</w:t>
      </w:r>
    </w:p>
    <w:p>
      <w:pPr>
        <w:pStyle w:val="BodyText"/>
      </w:pPr>
      <w:r>
        <w:t xml:space="preserve">[8] Kivimäki, I., Panchenko, A., Dessy, A., Verdegem, D., Francq, P., Bersini, H., &amp; Saerens, M. (2013). A graph-based approach to skill extraction from text. </w:t>
      </w:r>
      <w:r>
        <w:rPr>
          <w:rStyle w:val="Emphasis"/>
        </w:rPr>
        <w:t xml:space="preserve">Proceedings of TextGraphs-8</w:t>
      </w:r>
      <w:r>
        <w:t xml:space="preserve">, 79-87.</w:t>
      </w:r>
    </w:p>
    <w:p>
      <w:pPr>
        <w:pStyle w:val="BodyText"/>
      </w:pPr>
      <w:r>
        <w:t xml:space="preserve">[9] Zhao, M., Javed, F., Jacob, F., &amp; McNair, M. (2015). SKILL: A system for skill identification and normalization. </w:t>
      </w:r>
      <w:r>
        <w:rPr>
          <w:rStyle w:val="Emphasis"/>
        </w:rPr>
        <w:t xml:space="preserve">Proceedings of AAAI</w:t>
      </w:r>
      <w:r>
        <w:t xml:space="preserve">, 4012-4017.</w:t>
      </w:r>
    </w:p>
    <w:p>
      <w:pPr>
        <w:pStyle w:val="BodyText"/>
      </w:pPr>
      <w:r>
        <w:t xml:space="preserve">[10] European Commission (2017). </w:t>
      </w:r>
      <w:r>
        <w:rPr>
          <w:rStyle w:val="Emphasis"/>
        </w:rPr>
        <w:t xml:space="preserve">The European Qualifications Framework for lifelong learning</w:t>
      </w:r>
      <w:r>
        <w:t xml:space="preserve">. Luxembourg: Publications Office of the European Union.</w:t>
      </w:r>
    </w:p>
    <w:p>
      <w:pPr>
        <w:pStyle w:val="BodyText"/>
      </w:pPr>
      <w:r>
        <w:t xml:space="preserve">[11] Zhang, Y., Yang, F., &amp; Liu, B. (2022). SkillSpan: Hard and soft skill extraction from job postings. </w:t>
      </w:r>
      <w:r>
        <w:rPr>
          <w:rStyle w:val="Emphasis"/>
        </w:rPr>
        <w:t xml:space="preserve">Proceedings of NAACL 2022</w:t>
      </w:r>
      <w:r>
        <w:t xml:space="preserve">, 4962-4984.</w:t>
      </w:r>
    </w:p>
    <w:p>
      <w:pPr>
        <w:pStyle w:val="BodyText"/>
      </w:pPr>
      <w:r>
        <w:t xml:space="preserve">[12] Bhola, A., Halder, K., Prasad, A., &amp; Kan, M. Y. (2020). Retrieving skills from job descriptions: A language model based extreme multi-label classification framework. </w:t>
      </w:r>
      <w:r>
        <w:rPr>
          <w:rStyle w:val="Emphasis"/>
        </w:rPr>
        <w:t xml:space="preserve">Proceedings of COLING 2020</w:t>
      </w:r>
      <w:r>
        <w:t xml:space="preserve">, 5832-5842.</w:t>
      </w:r>
    </w:p>
    <w:p>
      <w:pPr>
        <w:pStyle w:val="BodyText"/>
      </w:pPr>
      <w:r>
        <w:t xml:space="preserve">[13] Reimers, N., &amp; Gurevych, I. (2019). Sentence-BERT: Sentence embeddings using Siamese BERT-networks. </w:t>
      </w:r>
      <w:r>
        <w:rPr>
          <w:rStyle w:val="Emphasis"/>
        </w:rPr>
        <w:t xml:space="preserve">Proceedings of EMNLP-IJCNLP 2019</w:t>
      </w:r>
      <w:r>
        <w:t xml:space="preserve">, 3982-3992.</w:t>
      </w:r>
    </w:p>
    <w:p>
      <w:pPr>
        <w:pStyle w:val="BodyText"/>
      </w:pPr>
      <w:r>
        <w:t xml:space="preserve">[14] Günther, M., Xiao, B., Colavizza, G., Macke, S., &amp; Marsman, N. (2023). Jina Embeddings: A novel set of high-performance sentence embedding models. </w:t>
      </w:r>
      <w:r>
        <w:rPr>
          <w:rStyle w:val="Emphasis"/>
        </w:rPr>
        <w:t xml:space="preserve">arXiv preprint arXiv:2307.11224</w:t>
      </w:r>
      <w:r>
        <w:t xml:space="preserve">.</w:t>
      </w:r>
    </w:p>
    <w:p>
      <w:pPr>
        <w:pStyle w:val="BodyText"/>
      </w:pPr>
      <w:r>
        <w:t xml:space="preserve">[15] Ester, M., Kriegel, H. P., Sander, J., &amp; Xu, X. (1996). A density-based algorithm for discovering clusters in large spatial databases with noise. </w:t>
      </w:r>
      <w:r>
        <w:rPr>
          <w:rStyle w:val="Emphasis"/>
        </w:rPr>
        <w:t xml:space="preserve">Proceedings of KDD</w:t>
      </w:r>
      <w:r>
        <w:t xml:space="preserve">, 96(34), 226-231.</w:t>
      </w:r>
    </w:p>
    <w:p>
      <w:pPr>
        <w:pStyle w:val="BodyText"/>
      </w:pPr>
      <w:r>
        <w:t xml:space="preserve">[16] Müllner, D. (2011). Modern hierarchical, agglomerative clustering algorithms. </w:t>
      </w:r>
      <w:r>
        <w:rPr>
          <w:rStyle w:val="Emphasis"/>
        </w:rPr>
        <w:t xml:space="preserve">arXiv preprint arXiv:1109.2378</w:t>
      </w:r>
      <w:r>
        <w:t xml:space="preserve">.</w:t>
      </w:r>
    </w:p>
    <w:p>
      <w:pPr>
        <w:pStyle w:val="BodyText"/>
      </w:pPr>
      <w:r>
        <w:t xml:space="preserve">[17] European Commission. (2015). </w:t>
      </w:r>
      <w:r>
        <w:rPr>
          <w:rStyle w:val="Emphasis"/>
        </w:rPr>
        <w:t xml:space="preserve">ECTS Users' Guide</w:t>
      </w:r>
      <w:r>
        <w:t xml:space="preserve">. Publications Office of the European Union.</w:t>
      </w:r>
    </w:p>
    <w:p>
      <w:pPr>
        <w:pStyle w:val="BodyText"/>
      </w:pPr>
      <w:r>
        <w:t xml:space="preserve">[18] TAFE NSW. (2018). </w:t>
      </w:r>
      <w:r>
        <w:rPr>
          <w:rStyle w:val="Emphasis"/>
        </w:rPr>
        <w:t xml:space="preserve">Credit Transfer Assessment Tool (CTAT) User Guide</w:t>
      </w:r>
      <w:r>
        <w:t xml:space="preserve">. TAFE NSW.</w:t>
      </w:r>
    </w:p>
    <w:p>
      <w:pPr>
        <w:pStyle w:val="BodyText"/>
      </w:pPr>
      <w:r>
        <w:t xml:space="preserve">[19] Smith, J., Brown, K., &amp; Wilson, R. (2021). Ontology-based reasoning for automated credit transfer in Australian higher education. </w:t>
      </w:r>
      <w:r>
        <w:rPr>
          <w:rStyle w:val="Emphasis"/>
        </w:rPr>
        <w:t xml:space="preserve">Computers &amp; Education</w:t>
      </w:r>
      <w:r>
        <w:t xml:space="preserve">, 170, 104-117.</w:t>
      </w:r>
    </w:p>
    <w:p>
      <w:pPr>
        <w:pStyle w:val="BodyText"/>
      </w:pPr>
      <w:r>
        <w:t xml:space="preserve">[20] SFIA Foundation (2021). </w:t>
      </w:r>
      <w:r>
        <w:rPr>
          <w:rStyle w:val="Emphasis"/>
        </w:rPr>
        <w:t xml:space="preserve">Skills Framework for the Information Age</w:t>
      </w:r>
      <w:r>
        <w:t xml:space="preserve">. Version 8. London: SFIA Foundation.</w:t>
      </w:r>
    </w:p>
    <w:p>
      <w:pPr>
        <w:pStyle w:val="BodyText"/>
      </w:pPr>
      <w:r>
        <w:t xml:space="preserve">[21] Wei, J., Wang, X., Schuurmans, D., Bosma, M., Ichter, B., Xia, F., Chi, E., Le, Q., &amp; Zhou, D. (2022). Chain-of-thought prompting elicits reasoning in large language models. </w:t>
      </w:r>
      <w:r>
        <w:rPr>
          <w:rStyle w:val="Emphasis"/>
        </w:rPr>
        <w:t xml:space="preserve">Advances in Neural Information Processing Systems</w:t>
      </w:r>
      <w:r>
        <w:t xml:space="preserve">, 35, 24824-24837.</w:t>
      </w:r>
    </w:p>
    <w:p>
      <w:pPr>
        <w:pStyle w:val="BodyText"/>
      </w:pPr>
      <w:r>
        <w:t xml:space="preserve">[22] Vaswani, A., Shazeer, N., Parmar, N., Uszkoreit, J., Jones, L., Gomez, A. N., Kaiser, Ł., &amp; Polosukhin, I. (2017). Attention is all you need. </w:t>
      </w:r>
      <w:r>
        <w:rPr>
          <w:rStyle w:val="Emphasis"/>
        </w:rPr>
        <w:t xml:space="preserve">Advances in Neural Information Processing Systems</w:t>
      </w:r>
      <w:r>
        <w:t xml:space="preserve">, 5998-6008.</w:t>
      </w:r>
    </w:p>
    <w:p>
      <w:pPr>
        <w:pStyle w:val="Heading2"/>
      </w:pPr>
      <w:r>
        <w:t xml:space="preserve">Appendix A. Configuration</w:t>
      </w:r>
    </w:p>
    <w:p>
      <w:pPr>
        <w:pStyle w:val="BodyText"/>
      </w:pPr>
      <w:r>
        <w:t xml:space="preserve">Every numeric coefficient cited above is set in the production configuration file. The current production values are reproduced below.</w:t>
      </w:r>
    </w:p>
    <w:p>
      <w:pPr>
        <w:pStyle w:val="PreformattedText"/>
      </w:pPr>
      <w:r>
        <w:t xml:space="preserve">scoring:</w:t>
      </w:r>
    </w:p>
    <w:p>
      <w:pPr>
        <w:pStyle w:val="PreformattedText"/>
      </w:pPr>
      <w:r>
        <w:t xml:space="preserve">  combined_similarity_weight: 0.60</w:t>
      </w:r>
    </w:p>
    <w:p>
      <w:pPr>
        <w:pStyle w:val="PreformattedText"/>
      </w:pPr>
      <w:r>
        <w:t xml:space="preserve">  combined_level_weight:      0.25</w:t>
      </w:r>
    </w:p>
    <w:p>
      <w:pPr>
        <w:pStyle w:val="PreformattedText"/>
      </w:pPr>
      <w:r>
        <w:t xml:space="preserve">  combined_context_weight:    0.15</w:t>
      </w:r>
    </w:p>
    <w:p>
      <w:pPr>
        <w:pStyle w:val="PreformattedText"/>
      </w:pPr>
      <w:r>
        <w:t xml:space="preserve">  direct_threshold:           0.87</w:t>
      </w:r>
    </w:p>
    <w:p>
      <w:pPr>
        <w:pStyle w:val="PreformattedText"/>
      </w:pPr>
      <w:r>
        <w:t xml:space="preserve">  partial_threshold:          0.78</w:t>
      </w:r>
    </w:p>
    <w:p>
      <w:pPr>
        <w:pStyle w:val="PreformattedText"/>
      </w:pPr>
      <w:r>
        <w:t xml:space="preserve">  use_graduated_coverage:     true</w:t>
      </w:r>
    </w:p>
    <w:p>
      <w:pPr>
        <w:pStyle w:val="PreformattedText"/>
      </w:pPr>
      <w:r>
        <w:t xml:space="preserve">  partial_bucket:             0.5</w:t>
      </w:r>
    </w:p>
    <w:p>
      <w:pPr>
        <w:pStyle w:val="PreformattedText"/>
      </w:pPr>
      <w:r>
        <w:t xml:space="preserve">  quality_formulation:        similarity_only</w:t>
      </w:r>
    </w:p>
    <w:p>
      <w:pPr>
        <w:pStyle w:val="PreformattedText"/>
      </w:pPr>
      <w:r>
        <w:t xml:space="preserve">  weight_coverage:            0.40</w:t>
      </w:r>
    </w:p>
    <w:p>
      <w:pPr>
        <w:pStyle w:val="PreformattedText"/>
      </w:pPr>
      <w:r>
        <w:t xml:space="preserve">  weight_quality:             0.25</w:t>
      </w:r>
    </w:p>
    <w:p>
      <w:pPr>
        <w:pStyle w:val="PreformattedText"/>
      </w:pPr>
      <w:r>
        <w:t xml:space="preserve">  weight_level:               0.15</w:t>
      </w:r>
    </w:p>
    <w:p>
      <w:pPr>
        <w:pStyle w:val="PreformattedText"/>
      </w:pPr>
      <w:r>
        <w:t xml:space="preserve">  weight_context:             0.10</w:t>
      </w:r>
    </w:p>
    <w:p>
      <w:pPr>
        <w:pStyle w:val="PreformattedText"/>
      </w:pPr>
      <w:r>
        <w:t xml:space="preserve">  weight_confidence:          0.05</w:t>
      </w:r>
    </w:p>
    <w:p>
      <w:pPr>
        <w:pStyle w:val="PreformattedText"/>
      </w:pPr>
      <w:r>
        <w:t xml:space="preserve">  weight_volume:              0.05</w:t>
      </w:r>
    </w:p>
    <w:p>
      <w:pPr>
        <w:pStyle w:val="PreformattedText"/>
      </w:pPr>
      <w:r>
        <w:t xml:space="preserve">  use_volume_gate:            true</w:t>
      </w:r>
    </w:p>
    <w:p>
      <w:pPr>
        <w:pStyle w:val="PreformattedText"/>
      </w:pPr>
      <w:r>
        <w:t xml:space="preserve">  hours_per_credit_point:     25.0</w:t>
      </w:r>
    </w:p>
    <w:p>
      <w:pPr>
        <w:pStyle w:val="PreformattedText"/>
      </w:pPr>
      <w:r>
        <w:t xml:space="preserve">  volume_gate_floor:          0.5</w:t>
      </w:r>
    </w:p>
    <w:p>
      <w:pPr>
        <w:pStyle w:val="PreformattedText"/>
      </w:pPr>
      <w:r>
        <w:t xml:space="preserve">  level_compat_curve:         [1.0, 0.75, 0.5, 0.2, 0.0]</w:t>
      </w:r>
    </w:p>
    <w:p>
      <w:pPr>
        <w:pStyle w:val="PreformattedText"/>
      </w:pPr>
      <w:r>
        <w:t xml:space="preserve">  full_score_floor:           0.75</w:t>
      </w:r>
    </w:p>
    <w:p>
      <w:pPr>
        <w:pStyle w:val="PreformattedText"/>
      </w:pPr>
      <w:r>
        <w:t xml:space="preserve">  full_coverage_floor:        0.70</w:t>
      </w:r>
    </w:p>
    <w:p>
      <w:pPr>
        <w:pStyle w:val="PreformattedText"/>
      </w:pPr>
      <w:r>
        <w:t xml:space="preserve">  full_level_floor:           0.60</w:t>
      </w:r>
    </w:p>
    <w:p>
      <w:pPr>
        <w:pStyle w:val="PreformattedText"/>
      </w:pPr>
      <w:r>
        <w:t xml:space="preserve">  full_volume_floor:          0.70</w:t>
      </w:r>
    </w:p>
    <w:p>
      <w:pPr>
        <w:pStyle w:val="PreformattedText"/>
      </w:pPr>
      <w:r>
        <w:t xml:space="preserve">  partial_score_floor:        0.45</w:t>
      </w:r>
    </w:p>
    <w:p>
      <w:pPr>
        <w:pStyle w:val="PreformattedText"/>
      </w:pPr>
      <w:r>
        <w:t xml:space="preserve"/>
      </w:r>
    </w:p>
    <w:p>
      <w:pPr>
        <w:pStyle w:val="PreformattedText"/>
      </w:pPr>
      <w:r>
        <w:t xml:space="preserve">analyze:</w:t>
      </w:r>
    </w:p>
    <w:p>
      <w:pPr>
        <w:pStyle w:val="PreformattedText"/>
      </w:pPr>
      <w:r>
        <w:t xml:space="preserve">  identical_name_direct_floor: true</w:t>
      </w:r>
    </w:p>
    <w:p>
      <w:pPr>
        <w:pStyle w:val="PreformattedText"/>
      </w:pPr>
      <w:r>
        <w:t xml:space="preserve">  max_winners_per_vet:         3</w:t>
      </w:r>
    </w:p>
    <w:p>
      <w:pPr>
        <w:pStyle w:val="PreformattedText"/>
      </w:pPr>
      <w:r>
        <w:t xml:space="preserve">  coverage_decay_enabled:      true</w:t>
      </w:r>
    </w:p>
    <w:p>
      <w:pPr>
        <w:pStyle w:val="PreformattedText"/>
      </w:pPr>
      <w:r>
        <w:t xml:space="preserve">  coverage_decay_base:         0.7</w:t>
      </w:r>
    </w:p>
    <w:p>
      <w:pPr>
        <w:pStyle w:val="PreformattedText"/>
      </w:pPr>
      <w:r>
        <w:t xml:space="preserve">  genai_validate:              true</w:t>
      </w:r>
    </w:p>
    <w:p>
      <w:pPr>
        <w:pStyle w:val="PreformattedText"/>
      </w:pPr>
      <w:r>
        <w:t xml:space="preserve">  genai_demote_confidence_threshold: 0.70</w:t>
      </w:r>
    </w:p>
    <w:p>
      <w:pPr>
        <w:pStyle w:val="Heading2"/>
      </w:pPr>
      <w:r>
        <w:t xml:space="preserve">Appendix B. Output Artefacts</w:t>
      </w:r>
    </w:p>
    <w:p>
      <w:pPr>
        <w:pStyle w:val="BodyText"/>
      </w:pPr>
      <w:r>
        <w:t xml:space="preserve">After processing every university course in the qualification, the recommender writes three artefacts:</w:t>
      </w:r>
    </w:p>
    <w:p>
      <w:pPr>
        <w:pStyle w:val="BodyText"/>
      </w:pPr>
      <w:r>
        <w:t xml:space="preserve">• </w:t>
      </w:r>
      <w:r>
        <w:rPr>
          <w:rStyle w:val="StrongEmphasis"/>
        </w:rPr>
        <w:t xml:space="preserve">Recommendations file</w:t>
      </w:r>
      <w:r>
        <w:t xml:space="preserve">: one recommendation per university course, recording its matched VET units, score, type, confidence, evidence lines, gaps, and a generated rationale.</w:t>
      </w:r>
    </w:p>
    <w:p>
      <w:pPr>
        <w:pStyle w:val="BodyText"/>
      </w:pPr>
      <w:r>
        <w:t xml:space="preserve">• </w:t>
      </w:r>
      <w:r>
        <w:rPr>
          <w:rStyle w:val="StrongEmphasis"/>
        </w:rPr>
        <w:t xml:space="preserve">Per-candidate-pair audit table</w:t>
      </w:r>
      <w:r>
        <w:t xml:space="preserve">: the raw similarity, level, and context values, the combined score, the classification, any guard demotions, the judge verdict, and the decay weight for every candidate pair.</w:t>
      </w:r>
    </w:p>
    <w:p>
      <w:pPr>
        <w:pStyle w:val="BodyText"/>
      </w:pPr>
      <w:r>
        <w:t xml:space="preserve">• </w:t>
      </w:r>
      <w:r>
        <w:rPr>
          <w:rStyle w:val="StrongEmphasis"/>
        </w:rPr>
        <w:t xml:space="preserve">Per-winning-pair spreadsheet</w:t>
      </w:r>
      <w:r>
        <w:t xml:space="preserve">: a reviewer-facing table of the winning pairs that also surfaces the refiner and differentiation audit flags.</w:t>
      </w:r>
    </w:p>
    <w:p w14:paraId="4B314EBE" w14:textId="36C1CC1E" w:rsidR="009D0693" w:rsidRDefault="009D0693" w:rsidP="00C02135">
      <w:pPr>
        <w:pStyle w:val="Heading1"/>
        <w:rPr>
          <w:b w:val="0"/>
          <w:bCs/>
        </w:rPr>
      </w:pPr>
    </w:p>
    <w:sectPr w:rsidR="009D0693" w:rsidSect="00083B07">
      <w:type w:val="continuous"/>
      <w:pgSz w:w="11906" w:h="16838"/>
      <w:pgMar w:top="1276" w:right="1440" w:bottom="1134" w:left="1440" w:header="0" w:footer="53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0407" w14:textId="77777777" w:rsidR="00DD0CEA" w:rsidRDefault="00DD0CEA" w:rsidP="008C0056">
      <w:r>
        <w:separator/>
      </w:r>
    </w:p>
  </w:endnote>
  <w:endnote w:type="continuationSeparator" w:id="0">
    <w:p w14:paraId="36C10BE7" w14:textId="77777777" w:rsidR="00DD0CEA" w:rsidRDefault="00DD0CEA" w:rsidP="008C0056">
      <w:r>
        <w:continuationSeparator/>
      </w:r>
    </w:p>
  </w:endnote>
  <w:endnote w:type="continuationNotice" w:id="1">
    <w:p w14:paraId="3DFC6B13" w14:textId="77777777" w:rsidR="00DD0CEA" w:rsidRDefault="00DD0CEA" w:rsidP="008C00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350B" w14:textId="77777777" w:rsidR="002A7CAE" w:rsidRDefault="002A7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053515"/>
      <w:docPartObj>
        <w:docPartGallery w:val="Page Numbers (Bottom of Page)"/>
        <w:docPartUnique/>
      </w:docPartObj>
    </w:sdtPr>
    <w:sdtEndPr>
      <w:rPr>
        <w:noProof/>
      </w:rPr>
    </w:sdtEndPr>
    <w:sdtContent>
      <w:p w14:paraId="1DE9E510" w14:textId="3A8643E8" w:rsidR="003708C1" w:rsidRPr="00991526" w:rsidRDefault="00051CBE" w:rsidP="00991526">
        <w:pPr>
          <w:pStyle w:val="Footer"/>
        </w:pPr>
        <w:r w:rsidRPr="00991526">
          <w:t xml:space="preserve">Jobs and Skills Australia – </w:t>
        </w:r>
        <w:sdt>
          <w:sdtPr>
            <w:alias w:val="Title"/>
            <w:tag w:val=""/>
            <w:id w:val="-1056470111"/>
            <w:placeholder>
              <w:docPart w:val="E4DB317D2DA340B1AF9BACDEE3AB05B6"/>
            </w:placeholder>
            <w:dataBinding w:prefixMappings="xmlns:ns0='http://purl.org/dc/elements/1.1/' xmlns:ns1='http://schemas.openxmlformats.org/package/2006/metadata/core-properties' " w:xpath="/ns1:coreProperties[1]/ns0:title[1]" w:storeItemID="{6C3C8BC8-F283-45AE-878A-BAB7291924A1}"/>
            <w:text/>
          </w:sdtPr>
          <w:sdtContent>
            <w:r w:rsidR="000860AE">
              <w:t>VET to Uni rapid test</w:t>
            </w:r>
          </w:sdtContent>
        </w:sdt>
        <w:r w:rsidR="00991526">
          <w:tab/>
        </w:r>
        <w:r w:rsidR="00BE2AB7" w:rsidRPr="00991526">
          <w:fldChar w:fldCharType="begin"/>
        </w:r>
        <w:r w:rsidR="00BE2AB7" w:rsidRPr="00991526">
          <w:instrText xml:space="preserve"> PAGE   \* MERGEFORMAT </w:instrText>
        </w:r>
        <w:r w:rsidR="00BE2AB7" w:rsidRPr="00991526">
          <w:fldChar w:fldCharType="separate"/>
        </w:r>
        <w:r w:rsidR="00BE2AB7" w:rsidRPr="00991526">
          <w:rPr>
            <w:noProof/>
          </w:rPr>
          <w:t>2</w:t>
        </w:r>
        <w:r w:rsidR="00BE2AB7" w:rsidRPr="00991526">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298338"/>
      <w:docPartObj>
        <w:docPartGallery w:val="Page Numbers (Bottom of Page)"/>
        <w:docPartUnique/>
      </w:docPartObj>
    </w:sdtPr>
    <w:sdtEndPr>
      <w:rPr>
        <w:noProof/>
      </w:rPr>
    </w:sdtEndPr>
    <w:sdtContent>
      <w:p w14:paraId="1506E6C8" w14:textId="31E2BFA9" w:rsidR="00B30EAB" w:rsidRDefault="00B30EAB" w:rsidP="00B30EAB">
        <w:pPr>
          <w:pStyle w:val="Footer"/>
          <w:tabs>
            <w:tab w:val="left" w:pos="8925"/>
          </w:tabs>
        </w:pPr>
        <w:r w:rsidRPr="00991526">
          <w:t xml:space="preserve">Jobs and Skills Australia – </w:t>
        </w:r>
        <w:sdt>
          <w:sdtPr>
            <w:alias w:val="Title"/>
            <w:tag w:val=""/>
            <w:id w:val="-818111507"/>
            <w:placeholder>
              <w:docPart w:val="2D2D024BDF304EF58EB26857CD7A9952"/>
            </w:placeholder>
            <w:dataBinding w:prefixMappings="xmlns:ns0='http://purl.org/dc/elements/1.1/' xmlns:ns1='http://schemas.openxmlformats.org/package/2006/metadata/core-properties' " w:xpath="/ns1:coreProperties[1]/ns0:title[1]" w:storeItemID="{6C3C8BC8-F283-45AE-878A-BAB7291924A1}"/>
            <w:text/>
          </w:sdtPr>
          <w:sdtContent>
            <w:r w:rsidR="000860AE">
              <w:t>VET to Uni rapid test</w:t>
            </w:r>
          </w:sdtContent>
        </w:sdt>
        <w:r>
          <w:tab/>
        </w:r>
        <w:r>
          <w:tab/>
        </w:r>
        <w:r w:rsidRPr="00991526">
          <w:fldChar w:fldCharType="begin"/>
        </w:r>
        <w:r w:rsidRPr="00991526">
          <w:instrText xml:space="preserve"> PAGE   \* MERGEFORMAT </w:instrText>
        </w:r>
        <w:r w:rsidRPr="00991526">
          <w:fldChar w:fldCharType="separate"/>
        </w:r>
        <w:r>
          <w:t>1</w:t>
        </w:r>
        <w:r w:rsidRPr="00991526">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8D613" w14:textId="77777777" w:rsidR="00DD0CEA" w:rsidRDefault="00DD0CEA" w:rsidP="008C0056">
      <w:r>
        <w:separator/>
      </w:r>
    </w:p>
  </w:footnote>
  <w:footnote w:type="continuationSeparator" w:id="0">
    <w:p w14:paraId="539DDA74" w14:textId="77777777" w:rsidR="00DD0CEA" w:rsidRDefault="00DD0CEA" w:rsidP="008C0056">
      <w:r>
        <w:continuationSeparator/>
      </w:r>
    </w:p>
  </w:footnote>
  <w:footnote w:type="continuationNotice" w:id="1">
    <w:p w14:paraId="48846B59" w14:textId="77777777" w:rsidR="00DD0CEA" w:rsidRDefault="00DD0CEA" w:rsidP="008C00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584C" w14:textId="77777777" w:rsidR="002A7CAE" w:rsidRDefault="002A7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3EDF" w14:textId="77777777" w:rsidR="002A7CAE" w:rsidRDefault="002A7C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8999C" w14:textId="1CA1CAF3" w:rsidR="00A8077F" w:rsidRDefault="00000000">
    <w:pPr>
      <w:pStyle w:val="Header"/>
    </w:pPr>
    <w:sdt>
      <w:sdtPr>
        <w:id w:val="1036771914"/>
        <w:docPartObj>
          <w:docPartGallery w:val="Watermarks"/>
          <w:docPartUnique/>
        </w:docPartObj>
      </w:sdtPr>
      <w:sdtContent>
        <w:r>
          <w:rPr>
            <w:noProof/>
          </w:rPr>
          <w:pict w14:anchorId="08305D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A8077F">
      <w:t>Australian Government Jobs and Skills Australia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15A5C"/>
    <w:multiLevelType w:val="hybridMultilevel"/>
    <w:tmpl w:val="A0A67D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9B46D46"/>
    <w:multiLevelType w:val="multilevel"/>
    <w:tmpl w:val="F078BBE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15940229"/>
    <w:multiLevelType w:val="hybridMultilevel"/>
    <w:tmpl w:val="2B84E6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D87258"/>
    <w:multiLevelType w:val="multilevel"/>
    <w:tmpl w:val="15D870B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D585F53"/>
    <w:multiLevelType w:val="multilevel"/>
    <w:tmpl w:val="A3E88540"/>
    <w:name w:val="ListBullets"/>
    <w:lvl w:ilvl="0">
      <w:start w:val="1"/>
      <w:numFmt w:val="bullet"/>
      <w:pStyle w:val="ListBullet"/>
      <w:lvlText w:val="•"/>
      <w:lvlJc w:val="left"/>
      <w:pPr>
        <w:ind w:left="340" w:hanging="340"/>
      </w:pPr>
      <w:rPr>
        <w:rFonts w:ascii="Calibri" w:hAnsi="Calibri" w:hint="default"/>
        <w:color w:val="auto"/>
      </w:rPr>
    </w:lvl>
    <w:lvl w:ilvl="1">
      <w:start w:val="1"/>
      <w:numFmt w:val="bullet"/>
      <w:pStyle w:val="ListBullet2"/>
      <w:lvlText w:val="–"/>
      <w:lvlJc w:val="left"/>
      <w:pPr>
        <w:ind w:left="680" w:hanging="340"/>
      </w:pPr>
      <w:rPr>
        <w:rFonts w:ascii="Arial" w:hAnsi="Arial" w:hint="default"/>
        <w:color w:val="auto"/>
      </w:rPr>
    </w:lvl>
    <w:lvl w:ilvl="2">
      <w:start w:val="1"/>
      <w:numFmt w:val="bullet"/>
      <w:pStyle w:val="ListBullet3"/>
      <w:lvlText w:val="○"/>
      <w:lvlJc w:val="left"/>
      <w:pPr>
        <w:ind w:left="1020" w:hanging="340"/>
      </w:pPr>
      <w:rPr>
        <w:rFonts w:ascii="Times New Roman" w:hAnsi="Times New Roman" w:cs="Times New Roman" w:hint="default"/>
        <w:color w:val="auto"/>
      </w:rPr>
    </w:lvl>
    <w:lvl w:ilvl="3">
      <w:start w:val="1"/>
      <w:numFmt w:val="bullet"/>
      <w:pStyle w:val="ListBullet4"/>
      <w:lvlText w:val="•"/>
      <w:lvlJc w:val="left"/>
      <w:pPr>
        <w:ind w:left="1360" w:hanging="340"/>
      </w:pPr>
      <w:rPr>
        <w:rFonts w:ascii="Arial" w:hAnsi="Arial" w:hint="default"/>
        <w:color w:val="auto"/>
      </w:rPr>
    </w:lvl>
    <w:lvl w:ilvl="4">
      <w:start w:val="1"/>
      <w:numFmt w:val="none"/>
      <w:lvlText w:val=""/>
      <w:lvlJc w:val="left"/>
      <w:pPr>
        <w:tabs>
          <w:tab w:val="num" w:pos="1712"/>
        </w:tabs>
        <w:ind w:left="1700" w:hanging="340"/>
      </w:pPr>
      <w:rPr>
        <w:rFonts w:hint="default"/>
      </w:rPr>
    </w:lvl>
    <w:lvl w:ilvl="5">
      <w:start w:val="1"/>
      <w:numFmt w:val="none"/>
      <w:lvlText w:val=""/>
      <w:lvlJc w:val="left"/>
      <w:pPr>
        <w:tabs>
          <w:tab w:val="num" w:pos="2069"/>
        </w:tabs>
        <w:ind w:left="2040" w:hanging="340"/>
      </w:pPr>
      <w:rPr>
        <w:rFonts w:hint="default"/>
      </w:rPr>
    </w:lvl>
    <w:lvl w:ilvl="6">
      <w:start w:val="1"/>
      <w:numFmt w:val="none"/>
      <w:lvlText w:val=""/>
      <w:lvlJc w:val="left"/>
      <w:pPr>
        <w:tabs>
          <w:tab w:val="num" w:pos="2426"/>
        </w:tabs>
        <w:ind w:left="2380" w:hanging="340"/>
      </w:pPr>
      <w:rPr>
        <w:rFonts w:hint="default"/>
      </w:rPr>
    </w:lvl>
    <w:lvl w:ilvl="7">
      <w:start w:val="1"/>
      <w:numFmt w:val="none"/>
      <w:lvlText w:val=""/>
      <w:lvlJc w:val="left"/>
      <w:pPr>
        <w:tabs>
          <w:tab w:val="num" w:pos="2783"/>
        </w:tabs>
        <w:ind w:left="2720" w:hanging="340"/>
      </w:pPr>
      <w:rPr>
        <w:rFonts w:hint="default"/>
      </w:rPr>
    </w:lvl>
    <w:lvl w:ilvl="8">
      <w:start w:val="1"/>
      <w:numFmt w:val="none"/>
      <w:lvlText w:val=""/>
      <w:lvlJc w:val="left"/>
      <w:pPr>
        <w:tabs>
          <w:tab w:val="num" w:pos="3140"/>
        </w:tabs>
        <w:ind w:left="3060" w:hanging="340"/>
      </w:pPr>
      <w:rPr>
        <w:rFonts w:hint="default"/>
      </w:rPr>
    </w:lvl>
  </w:abstractNum>
  <w:abstractNum w:abstractNumId="5" w15:restartNumberingAfterBreak="0">
    <w:nsid w:val="37F15D53"/>
    <w:multiLevelType w:val="hybridMultilevel"/>
    <w:tmpl w:val="2B721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CCB4DF8"/>
    <w:multiLevelType w:val="hybridMultilevel"/>
    <w:tmpl w:val="F29864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01F5897"/>
    <w:multiLevelType w:val="hybridMultilevel"/>
    <w:tmpl w:val="9F1A44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1B35C83"/>
    <w:multiLevelType w:val="hybridMultilevel"/>
    <w:tmpl w:val="8B2CAA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47246184">
    <w:abstractNumId w:val="4"/>
  </w:num>
  <w:num w:numId="2" w16cid:durableId="1747995138">
    <w:abstractNumId w:val="3"/>
  </w:num>
  <w:num w:numId="3" w16cid:durableId="1661687378">
    <w:abstractNumId w:val="1"/>
  </w:num>
  <w:num w:numId="4" w16cid:durableId="466364176">
    <w:abstractNumId w:val="5"/>
  </w:num>
  <w:num w:numId="5" w16cid:durableId="1212885962">
    <w:abstractNumId w:val="2"/>
  </w:num>
  <w:num w:numId="6" w16cid:durableId="1276790520">
    <w:abstractNumId w:val="7"/>
  </w:num>
  <w:num w:numId="7" w16cid:durableId="165092776">
    <w:abstractNumId w:val="8"/>
  </w:num>
  <w:num w:numId="8" w16cid:durableId="255865931">
    <w:abstractNumId w:val="6"/>
  </w:num>
  <w:num w:numId="9" w16cid:durableId="35974438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18"/>
    <w:rsid w:val="00003E8E"/>
    <w:rsid w:val="00025BD0"/>
    <w:rsid w:val="000261A3"/>
    <w:rsid w:val="00026669"/>
    <w:rsid w:val="00032317"/>
    <w:rsid w:val="0003316F"/>
    <w:rsid w:val="00036724"/>
    <w:rsid w:val="00037EB9"/>
    <w:rsid w:val="000404CE"/>
    <w:rsid w:val="0004100D"/>
    <w:rsid w:val="00041073"/>
    <w:rsid w:val="00042611"/>
    <w:rsid w:val="00051CBE"/>
    <w:rsid w:val="0005518A"/>
    <w:rsid w:val="0005530D"/>
    <w:rsid w:val="000572BD"/>
    <w:rsid w:val="00070D8C"/>
    <w:rsid w:val="00083B07"/>
    <w:rsid w:val="000860AE"/>
    <w:rsid w:val="00086325"/>
    <w:rsid w:val="000877C4"/>
    <w:rsid w:val="00093F7D"/>
    <w:rsid w:val="00095E11"/>
    <w:rsid w:val="000A145A"/>
    <w:rsid w:val="000A7F1E"/>
    <w:rsid w:val="000B4ED9"/>
    <w:rsid w:val="000B6324"/>
    <w:rsid w:val="000C0BA2"/>
    <w:rsid w:val="000C2939"/>
    <w:rsid w:val="000C3C00"/>
    <w:rsid w:val="000C5743"/>
    <w:rsid w:val="000D5FCE"/>
    <w:rsid w:val="000D6745"/>
    <w:rsid w:val="000D7234"/>
    <w:rsid w:val="000E38BA"/>
    <w:rsid w:val="000E4F70"/>
    <w:rsid w:val="000E7042"/>
    <w:rsid w:val="000F0C4D"/>
    <w:rsid w:val="000F7E89"/>
    <w:rsid w:val="00101107"/>
    <w:rsid w:val="00101FBF"/>
    <w:rsid w:val="001134ED"/>
    <w:rsid w:val="00114BC9"/>
    <w:rsid w:val="00123DFA"/>
    <w:rsid w:val="00124D9E"/>
    <w:rsid w:val="00125C36"/>
    <w:rsid w:val="001260D9"/>
    <w:rsid w:val="00127EC2"/>
    <w:rsid w:val="001306D6"/>
    <w:rsid w:val="00131E99"/>
    <w:rsid w:val="00143208"/>
    <w:rsid w:val="001472B4"/>
    <w:rsid w:val="001516BF"/>
    <w:rsid w:val="001534EA"/>
    <w:rsid w:val="00163A8E"/>
    <w:rsid w:val="00164614"/>
    <w:rsid w:val="00166B52"/>
    <w:rsid w:val="00170C7D"/>
    <w:rsid w:val="0017574A"/>
    <w:rsid w:val="00186DC1"/>
    <w:rsid w:val="00192BED"/>
    <w:rsid w:val="001973FC"/>
    <w:rsid w:val="001A22A8"/>
    <w:rsid w:val="001A3B6D"/>
    <w:rsid w:val="001B3FBE"/>
    <w:rsid w:val="001B7035"/>
    <w:rsid w:val="001B7F1C"/>
    <w:rsid w:val="001C0CB2"/>
    <w:rsid w:val="001C0D18"/>
    <w:rsid w:val="001C2F16"/>
    <w:rsid w:val="001C381D"/>
    <w:rsid w:val="001C4974"/>
    <w:rsid w:val="001C6BA8"/>
    <w:rsid w:val="001C741F"/>
    <w:rsid w:val="001D03DD"/>
    <w:rsid w:val="001E4390"/>
    <w:rsid w:val="001E4423"/>
    <w:rsid w:val="001E58C4"/>
    <w:rsid w:val="001F108B"/>
    <w:rsid w:val="001F36D6"/>
    <w:rsid w:val="001F567F"/>
    <w:rsid w:val="001F59D3"/>
    <w:rsid w:val="001F61C0"/>
    <w:rsid w:val="00201984"/>
    <w:rsid w:val="00203BF7"/>
    <w:rsid w:val="00204C08"/>
    <w:rsid w:val="00205CD6"/>
    <w:rsid w:val="00206249"/>
    <w:rsid w:val="00207E52"/>
    <w:rsid w:val="002119C0"/>
    <w:rsid w:val="00215161"/>
    <w:rsid w:val="00220DC4"/>
    <w:rsid w:val="00232E3F"/>
    <w:rsid w:val="00233A75"/>
    <w:rsid w:val="0024392D"/>
    <w:rsid w:val="00244550"/>
    <w:rsid w:val="002513E1"/>
    <w:rsid w:val="002618DF"/>
    <w:rsid w:val="00261D00"/>
    <w:rsid w:val="002633D9"/>
    <w:rsid w:val="00266C96"/>
    <w:rsid w:val="002706EB"/>
    <w:rsid w:val="002772AC"/>
    <w:rsid w:val="00280AC6"/>
    <w:rsid w:val="002824C3"/>
    <w:rsid w:val="002915D9"/>
    <w:rsid w:val="002927DB"/>
    <w:rsid w:val="0029455F"/>
    <w:rsid w:val="002950ED"/>
    <w:rsid w:val="00296166"/>
    <w:rsid w:val="002A3539"/>
    <w:rsid w:val="002A44E8"/>
    <w:rsid w:val="002A4B17"/>
    <w:rsid w:val="002A6D28"/>
    <w:rsid w:val="002A7CAE"/>
    <w:rsid w:val="002A7F11"/>
    <w:rsid w:val="002B5D21"/>
    <w:rsid w:val="002C30E8"/>
    <w:rsid w:val="002C714A"/>
    <w:rsid w:val="002D6644"/>
    <w:rsid w:val="002D68E2"/>
    <w:rsid w:val="002E0E18"/>
    <w:rsid w:val="002E5B03"/>
    <w:rsid w:val="002E6E2F"/>
    <w:rsid w:val="002F3EB5"/>
    <w:rsid w:val="002F5690"/>
    <w:rsid w:val="002F6905"/>
    <w:rsid w:val="0030167A"/>
    <w:rsid w:val="0030277F"/>
    <w:rsid w:val="003060CC"/>
    <w:rsid w:val="00306575"/>
    <w:rsid w:val="00306C0E"/>
    <w:rsid w:val="00310CA1"/>
    <w:rsid w:val="003122CC"/>
    <w:rsid w:val="00313B29"/>
    <w:rsid w:val="00314E27"/>
    <w:rsid w:val="00323B9A"/>
    <w:rsid w:val="00327AB4"/>
    <w:rsid w:val="00331217"/>
    <w:rsid w:val="00331EE9"/>
    <w:rsid w:val="00333C8B"/>
    <w:rsid w:val="003350FB"/>
    <w:rsid w:val="0033644E"/>
    <w:rsid w:val="0033752C"/>
    <w:rsid w:val="00337CF8"/>
    <w:rsid w:val="00342BD0"/>
    <w:rsid w:val="0035131B"/>
    <w:rsid w:val="00362CD6"/>
    <w:rsid w:val="00362E76"/>
    <w:rsid w:val="00366923"/>
    <w:rsid w:val="00367AFE"/>
    <w:rsid w:val="003708C1"/>
    <w:rsid w:val="00373153"/>
    <w:rsid w:val="003734B7"/>
    <w:rsid w:val="00373C9A"/>
    <w:rsid w:val="00374E1D"/>
    <w:rsid w:val="00382887"/>
    <w:rsid w:val="00385788"/>
    <w:rsid w:val="00385ABF"/>
    <w:rsid w:val="0039115D"/>
    <w:rsid w:val="003926FD"/>
    <w:rsid w:val="00396A09"/>
    <w:rsid w:val="003A2337"/>
    <w:rsid w:val="003A45DD"/>
    <w:rsid w:val="003A7479"/>
    <w:rsid w:val="003B474F"/>
    <w:rsid w:val="003C0635"/>
    <w:rsid w:val="003C333B"/>
    <w:rsid w:val="003C6A66"/>
    <w:rsid w:val="003D48E5"/>
    <w:rsid w:val="003D4954"/>
    <w:rsid w:val="003D4D3F"/>
    <w:rsid w:val="003E0796"/>
    <w:rsid w:val="003E0B70"/>
    <w:rsid w:val="003E3395"/>
    <w:rsid w:val="003F0CA0"/>
    <w:rsid w:val="003F1578"/>
    <w:rsid w:val="003F5430"/>
    <w:rsid w:val="004121F2"/>
    <w:rsid w:val="00414A4A"/>
    <w:rsid w:val="004160CA"/>
    <w:rsid w:val="00422AD4"/>
    <w:rsid w:val="00431BE4"/>
    <w:rsid w:val="00431BFC"/>
    <w:rsid w:val="00435A0B"/>
    <w:rsid w:val="00440C82"/>
    <w:rsid w:val="004435EA"/>
    <w:rsid w:val="004440ED"/>
    <w:rsid w:val="00446569"/>
    <w:rsid w:val="0046237F"/>
    <w:rsid w:val="00465736"/>
    <w:rsid w:val="00472BF7"/>
    <w:rsid w:val="00474E47"/>
    <w:rsid w:val="004755F6"/>
    <w:rsid w:val="004773D3"/>
    <w:rsid w:val="00480238"/>
    <w:rsid w:val="004838A6"/>
    <w:rsid w:val="004860B6"/>
    <w:rsid w:val="00486CB5"/>
    <w:rsid w:val="00492082"/>
    <w:rsid w:val="004959E6"/>
    <w:rsid w:val="004C0840"/>
    <w:rsid w:val="004C542A"/>
    <w:rsid w:val="004C705B"/>
    <w:rsid w:val="004D0F14"/>
    <w:rsid w:val="004D22A5"/>
    <w:rsid w:val="004D3224"/>
    <w:rsid w:val="004D3A08"/>
    <w:rsid w:val="004D6B53"/>
    <w:rsid w:val="004E0B8B"/>
    <w:rsid w:val="004F2369"/>
    <w:rsid w:val="004F5082"/>
    <w:rsid w:val="004F608C"/>
    <w:rsid w:val="004F72D9"/>
    <w:rsid w:val="00506CD7"/>
    <w:rsid w:val="005109B7"/>
    <w:rsid w:val="00513C8F"/>
    <w:rsid w:val="0051507F"/>
    <w:rsid w:val="00530E2B"/>
    <w:rsid w:val="00532929"/>
    <w:rsid w:val="00536978"/>
    <w:rsid w:val="005411A8"/>
    <w:rsid w:val="00543D06"/>
    <w:rsid w:val="005446B5"/>
    <w:rsid w:val="005521FE"/>
    <w:rsid w:val="005533B5"/>
    <w:rsid w:val="0055690F"/>
    <w:rsid w:val="005608CB"/>
    <w:rsid w:val="00567E50"/>
    <w:rsid w:val="0057143D"/>
    <w:rsid w:val="00572133"/>
    <w:rsid w:val="0057387A"/>
    <w:rsid w:val="00584E9E"/>
    <w:rsid w:val="005850DF"/>
    <w:rsid w:val="00592584"/>
    <w:rsid w:val="005964AC"/>
    <w:rsid w:val="00597EF7"/>
    <w:rsid w:val="005A2035"/>
    <w:rsid w:val="005A2862"/>
    <w:rsid w:val="005A670A"/>
    <w:rsid w:val="005B1D09"/>
    <w:rsid w:val="005B2318"/>
    <w:rsid w:val="005B5A7A"/>
    <w:rsid w:val="005B60AC"/>
    <w:rsid w:val="005C1000"/>
    <w:rsid w:val="005C4812"/>
    <w:rsid w:val="005C5BF0"/>
    <w:rsid w:val="005C6471"/>
    <w:rsid w:val="005D2C98"/>
    <w:rsid w:val="005D467D"/>
    <w:rsid w:val="005D4AEC"/>
    <w:rsid w:val="005D6DFD"/>
    <w:rsid w:val="005E18D8"/>
    <w:rsid w:val="005F15C2"/>
    <w:rsid w:val="005F1E8D"/>
    <w:rsid w:val="006029D6"/>
    <w:rsid w:val="006066C4"/>
    <w:rsid w:val="006117B2"/>
    <w:rsid w:val="00612BFD"/>
    <w:rsid w:val="00621A27"/>
    <w:rsid w:val="00631632"/>
    <w:rsid w:val="00634F4C"/>
    <w:rsid w:val="00635255"/>
    <w:rsid w:val="006359E1"/>
    <w:rsid w:val="00635C1B"/>
    <w:rsid w:val="0064002D"/>
    <w:rsid w:val="00642A9A"/>
    <w:rsid w:val="006514E4"/>
    <w:rsid w:val="00651582"/>
    <w:rsid w:val="00655BCA"/>
    <w:rsid w:val="006606E0"/>
    <w:rsid w:val="006670A4"/>
    <w:rsid w:val="00673723"/>
    <w:rsid w:val="00677034"/>
    <w:rsid w:val="00681FD3"/>
    <w:rsid w:val="006871E9"/>
    <w:rsid w:val="00693BA4"/>
    <w:rsid w:val="00693E00"/>
    <w:rsid w:val="00693F09"/>
    <w:rsid w:val="0069552B"/>
    <w:rsid w:val="006B5D89"/>
    <w:rsid w:val="006B5EC5"/>
    <w:rsid w:val="006B6C94"/>
    <w:rsid w:val="006C06BF"/>
    <w:rsid w:val="006C282B"/>
    <w:rsid w:val="006C5310"/>
    <w:rsid w:val="006C7DE9"/>
    <w:rsid w:val="006C7EB4"/>
    <w:rsid w:val="006D2345"/>
    <w:rsid w:val="006D3281"/>
    <w:rsid w:val="006E1136"/>
    <w:rsid w:val="006E4467"/>
    <w:rsid w:val="006F7520"/>
    <w:rsid w:val="006F7639"/>
    <w:rsid w:val="00702CB5"/>
    <w:rsid w:val="00703260"/>
    <w:rsid w:val="00706431"/>
    <w:rsid w:val="00710DAA"/>
    <w:rsid w:val="007117F1"/>
    <w:rsid w:val="007119BB"/>
    <w:rsid w:val="00717636"/>
    <w:rsid w:val="007177A7"/>
    <w:rsid w:val="0072196F"/>
    <w:rsid w:val="0072616C"/>
    <w:rsid w:val="007340BF"/>
    <w:rsid w:val="0073513A"/>
    <w:rsid w:val="007351A7"/>
    <w:rsid w:val="00735779"/>
    <w:rsid w:val="007371B3"/>
    <w:rsid w:val="007374F9"/>
    <w:rsid w:val="00746A43"/>
    <w:rsid w:val="00754AB9"/>
    <w:rsid w:val="00754CD9"/>
    <w:rsid w:val="007576ED"/>
    <w:rsid w:val="00766061"/>
    <w:rsid w:val="00767C3A"/>
    <w:rsid w:val="00772073"/>
    <w:rsid w:val="007749C8"/>
    <w:rsid w:val="00782490"/>
    <w:rsid w:val="007866FA"/>
    <w:rsid w:val="00790F14"/>
    <w:rsid w:val="007915F6"/>
    <w:rsid w:val="00795E3E"/>
    <w:rsid w:val="007A3F61"/>
    <w:rsid w:val="007A5668"/>
    <w:rsid w:val="007A6C28"/>
    <w:rsid w:val="007A7572"/>
    <w:rsid w:val="007B0EC1"/>
    <w:rsid w:val="007B100A"/>
    <w:rsid w:val="007B21A5"/>
    <w:rsid w:val="007B2AD6"/>
    <w:rsid w:val="007B3938"/>
    <w:rsid w:val="007C269A"/>
    <w:rsid w:val="007C6AEC"/>
    <w:rsid w:val="007C7543"/>
    <w:rsid w:val="007D4ED8"/>
    <w:rsid w:val="007D799D"/>
    <w:rsid w:val="007E4173"/>
    <w:rsid w:val="007E4D95"/>
    <w:rsid w:val="007F072C"/>
    <w:rsid w:val="007F7DBD"/>
    <w:rsid w:val="00802F0D"/>
    <w:rsid w:val="008049B1"/>
    <w:rsid w:val="0081136A"/>
    <w:rsid w:val="00811B37"/>
    <w:rsid w:val="008139CC"/>
    <w:rsid w:val="00814D30"/>
    <w:rsid w:val="00814E17"/>
    <w:rsid w:val="00817701"/>
    <w:rsid w:val="008240A0"/>
    <w:rsid w:val="0082514E"/>
    <w:rsid w:val="00831FE0"/>
    <w:rsid w:val="00837EDC"/>
    <w:rsid w:val="00840DAA"/>
    <w:rsid w:val="0084197B"/>
    <w:rsid w:val="0084740A"/>
    <w:rsid w:val="008560DB"/>
    <w:rsid w:val="00857878"/>
    <w:rsid w:val="00857E1B"/>
    <w:rsid w:val="00861259"/>
    <w:rsid w:val="00862C75"/>
    <w:rsid w:val="008634C2"/>
    <w:rsid w:val="00864962"/>
    <w:rsid w:val="00864EEA"/>
    <w:rsid w:val="00865E4F"/>
    <w:rsid w:val="00866663"/>
    <w:rsid w:val="00873BE7"/>
    <w:rsid w:val="0087706C"/>
    <w:rsid w:val="00886A15"/>
    <w:rsid w:val="00887538"/>
    <w:rsid w:val="0089670A"/>
    <w:rsid w:val="008A6964"/>
    <w:rsid w:val="008B37B5"/>
    <w:rsid w:val="008B3E8F"/>
    <w:rsid w:val="008B4904"/>
    <w:rsid w:val="008C0056"/>
    <w:rsid w:val="008C21E1"/>
    <w:rsid w:val="008D07B0"/>
    <w:rsid w:val="008D76F6"/>
    <w:rsid w:val="008E0E53"/>
    <w:rsid w:val="008E2250"/>
    <w:rsid w:val="008F29BB"/>
    <w:rsid w:val="008F2F17"/>
    <w:rsid w:val="008F2F5C"/>
    <w:rsid w:val="008F5797"/>
    <w:rsid w:val="00900190"/>
    <w:rsid w:val="0090146A"/>
    <w:rsid w:val="009034AB"/>
    <w:rsid w:val="009062AE"/>
    <w:rsid w:val="0090740B"/>
    <w:rsid w:val="00917E17"/>
    <w:rsid w:val="00923B0D"/>
    <w:rsid w:val="00924053"/>
    <w:rsid w:val="0092478E"/>
    <w:rsid w:val="00925A28"/>
    <w:rsid w:val="00937A11"/>
    <w:rsid w:val="009417F7"/>
    <w:rsid w:val="009419D0"/>
    <w:rsid w:val="009426F3"/>
    <w:rsid w:val="00945F92"/>
    <w:rsid w:val="00963C9F"/>
    <w:rsid w:val="00963F49"/>
    <w:rsid w:val="0096517C"/>
    <w:rsid w:val="00966619"/>
    <w:rsid w:val="00973117"/>
    <w:rsid w:val="0097495B"/>
    <w:rsid w:val="0098015F"/>
    <w:rsid w:val="009858C3"/>
    <w:rsid w:val="00990E17"/>
    <w:rsid w:val="00991526"/>
    <w:rsid w:val="00991DED"/>
    <w:rsid w:val="00992A3E"/>
    <w:rsid w:val="00997F6C"/>
    <w:rsid w:val="009A0A07"/>
    <w:rsid w:val="009A0E76"/>
    <w:rsid w:val="009A31E8"/>
    <w:rsid w:val="009A5BC4"/>
    <w:rsid w:val="009A6622"/>
    <w:rsid w:val="009B0BC5"/>
    <w:rsid w:val="009B34AC"/>
    <w:rsid w:val="009C2E5D"/>
    <w:rsid w:val="009C3CB0"/>
    <w:rsid w:val="009C4CA6"/>
    <w:rsid w:val="009C56D1"/>
    <w:rsid w:val="009D0693"/>
    <w:rsid w:val="009D18C2"/>
    <w:rsid w:val="009D3721"/>
    <w:rsid w:val="009D5A36"/>
    <w:rsid w:val="009E0ED4"/>
    <w:rsid w:val="009E34D5"/>
    <w:rsid w:val="009E4054"/>
    <w:rsid w:val="009E4085"/>
    <w:rsid w:val="009E718A"/>
    <w:rsid w:val="009F29FC"/>
    <w:rsid w:val="009F4D35"/>
    <w:rsid w:val="009F7A5A"/>
    <w:rsid w:val="00A007CB"/>
    <w:rsid w:val="00A00C2D"/>
    <w:rsid w:val="00A03C15"/>
    <w:rsid w:val="00A070B7"/>
    <w:rsid w:val="00A10EAB"/>
    <w:rsid w:val="00A13691"/>
    <w:rsid w:val="00A14752"/>
    <w:rsid w:val="00A23A7E"/>
    <w:rsid w:val="00A24C8F"/>
    <w:rsid w:val="00A24F4A"/>
    <w:rsid w:val="00A25448"/>
    <w:rsid w:val="00A261AF"/>
    <w:rsid w:val="00A27109"/>
    <w:rsid w:val="00A3043E"/>
    <w:rsid w:val="00A36734"/>
    <w:rsid w:val="00A369AC"/>
    <w:rsid w:val="00A37B0E"/>
    <w:rsid w:val="00A414BC"/>
    <w:rsid w:val="00A415CA"/>
    <w:rsid w:val="00A43021"/>
    <w:rsid w:val="00A4461A"/>
    <w:rsid w:val="00A459DE"/>
    <w:rsid w:val="00A50D02"/>
    <w:rsid w:val="00A5508E"/>
    <w:rsid w:val="00A62216"/>
    <w:rsid w:val="00A626FE"/>
    <w:rsid w:val="00A65913"/>
    <w:rsid w:val="00A67DBA"/>
    <w:rsid w:val="00A70A4D"/>
    <w:rsid w:val="00A7229C"/>
    <w:rsid w:val="00A74E0F"/>
    <w:rsid w:val="00A74E6E"/>
    <w:rsid w:val="00A8077F"/>
    <w:rsid w:val="00A80E09"/>
    <w:rsid w:val="00A851E3"/>
    <w:rsid w:val="00A9012A"/>
    <w:rsid w:val="00A93A77"/>
    <w:rsid w:val="00A93DF6"/>
    <w:rsid w:val="00A97C6D"/>
    <w:rsid w:val="00AA3BB9"/>
    <w:rsid w:val="00AA75C4"/>
    <w:rsid w:val="00AB24A9"/>
    <w:rsid w:val="00AB7917"/>
    <w:rsid w:val="00AC08A2"/>
    <w:rsid w:val="00AC08D2"/>
    <w:rsid w:val="00AC1BEE"/>
    <w:rsid w:val="00AC3E56"/>
    <w:rsid w:val="00AC4BDA"/>
    <w:rsid w:val="00AC624C"/>
    <w:rsid w:val="00AD0C81"/>
    <w:rsid w:val="00AD13EC"/>
    <w:rsid w:val="00AE1EED"/>
    <w:rsid w:val="00AE68CA"/>
    <w:rsid w:val="00AF0CF7"/>
    <w:rsid w:val="00AF2783"/>
    <w:rsid w:val="00AF57B3"/>
    <w:rsid w:val="00AF5996"/>
    <w:rsid w:val="00B022FE"/>
    <w:rsid w:val="00B04E3B"/>
    <w:rsid w:val="00B10FC9"/>
    <w:rsid w:val="00B11937"/>
    <w:rsid w:val="00B1241F"/>
    <w:rsid w:val="00B12498"/>
    <w:rsid w:val="00B21E09"/>
    <w:rsid w:val="00B26C3D"/>
    <w:rsid w:val="00B275AC"/>
    <w:rsid w:val="00B27734"/>
    <w:rsid w:val="00B30EAB"/>
    <w:rsid w:val="00B3194B"/>
    <w:rsid w:val="00B32201"/>
    <w:rsid w:val="00B33FE8"/>
    <w:rsid w:val="00B366DB"/>
    <w:rsid w:val="00B37667"/>
    <w:rsid w:val="00B44B46"/>
    <w:rsid w:val="00B44BFF"/>
    <w:rsid w:val="00B45BAF"/>
    <w:rsid w:val="00B5117D"/>
    <w:rsid w:val="00B532DB"/>
    <w:rsid w:val="00B53D09"/>
    <w:rsid w:val="00B545CC"/>
    <w:rsid w:val="00B54794"/>
    <w:rsid w:val="00B57435"/>
    <w:rsid w:val="00B72A6C"/>
    <w:rsid w:val="00B72B74"/>
    <w:rsid w:val="00B77EA5"/>
    <w:rsid w:val="00B926C4"/>
    <w:rsid w:val="00B94111"/>
    <w:rsid w:val="00B94F0A"/>
    <w:rsid w:val="00B95FED"/>
    <w:rsid w:val="00BA18F6"/>
    <w:rsid w:val="00BA4854"/>
    <w:rsid w:val="00BA5452"/>
    <w:rsid w:val="00BA7EB4"/>
    <w:rsid w:val="00BB2ACB"/>
    <w:rsid w:val="00BD5583"/>
    <w:rsid w:val="00BE0FFD"/>
    <w:rsid w:val="00BE10B5"/>
    <w:rsid w:val="00BE13B4"/>
    <w:rsid w:val="00BE2AB7"/>
    <w:rsid w:val="00BE4587"/>
    <w:rsid w:val="00BE5400"/>
    <w:rsid w:val="00BE68F3"/>
    <w:rsid w:val="00BF0E73"/>
    <w:rsid w:val="00BF1A4A"/>
    <w:rsid w:val="00BF24DC"/>
    <w:rsid w:val="00BF3528"/>
    <w:rsid w:val="00C001F5"/>
    <w:rsid w:val="00C01F25"/>
    <w:rsid w:val="00C02135"/>
    <w:rsid w:val="00C03955"/>
    <w:rsid w:val="00C15DC9"/>
    <w:rsid w:val="00C27FFB"/>
    <w:rsid w:val="00C333C1"/>
    <w:rsid w:val="00C40E20"/>
    <w:rsid w:val="00C40E55"/>
    <w:rsid w:val="00C455A5"/>
    <w:rsid w:val="00C46CFB"/>
    <w:rsid w:val="00C6447C"/>
    <w:rsid w:val="00C67504"/>
    <w:rsid w:val="00C67E0A"/>
    <w:rsid w:val="00C75A0D"/>
    <w:rsid w:val="00C76DD9"/>
    <w:rsid w:val="00C83737"/>
    <w:rsid w:val="00C84B60"/>
    <w:rsid w:val="00C8553A"/>
    <w:rsid w:val="00C918FF"/>
    <w:rsid w:val="00C91F4E"/>
    <w:rsid w:val="00C970B1"/>
    <w:rsid w:val="00CA26C7"/>
    <w:rsid w:val="00CB41F2"/>
    <w:rsid w:val="00CB4E10"/>
    <w:rsid w:val="00CD0493"/>
    <w:rsid w:val="00CD1F19"/>
    <w:rsid w:val="00CE03A4"/>
    <w:rsid w:val="00CE1816"/>
    <w:rsid w:val="00CE5B7F"/>
    <w:rsid w:val="00CE6EEC"/>
    <w:rsid w:val="00CE71A4"/>
    <w:rsid w:val="00CF277F"/>
    <w:rsid w:val="00CF30BD"/>
    <w:rsid w:val="00CF6A3F"/>
    <w:rsid w:val="00CF78B0"/>
    <w:rsid w:val="00D03812"/>
    <w:rsid w:val="00D045C6"/>
    <w:rsid w:val="00D048F7"/>
    <w:rsid w:val="00D05054"/>
    <w:rsid w:val="00D10911"/>
    <w:rsid w:val="00D125F6"/>
    <w:rsid w:val="00D12938"/>
    <w:rsid w:val="00D13932"/>
    <w:rsid w:val="00D17585"/>
    <w:rsid w:val="00D17C6F"/>
    <w:rsid w:val="00D21F38"/>
    <w:rsid w:val="00D238E3"/>
    <w:rsid w:val="00D24106"/>
    <w:rsid w:val="00D241DE"/>
    <w:rsid w:val="00D2513B"/>
    <w:rsid w:val="00D25D39"/>
    <w:rsid w:val="00D26A23"/>
    <w:rsid w:val="00D31218"/>
    <w:rsid w:val="00D31FDA"/>
    <w:rsid w:val="00D34435"/>
    <w:rsid w:val="00D4055A"/>
    <w:rsid w:val="00D42CEE"/>
    <w:rsid w:val="00D4302A"/>
    <w:rsid w:val="00D43665"/>
    <w:rsid w:val="00D436E8"/>
    <w:rsid w:val="00D500BB"/>
    <w:rsid w:val="00D53F25"/>
    <w:rsid w:val="00D56072"/>
    <w:rsid w:val="00D56B38"/>
    <w:rsid w:val="00D64A57"/>
    <w:rsid w:val="00D655D9"/>
    <w:rsid w:val="00D658D0"/>
    <w:rsid w:val="00D7045D"/>
    <w:rsid w:val="00D70F5A"/>
    <w:rsid w:val="00D70F8A"/>
    <w:rsid w:val="00D71EFE"/>
    <w:rsid w:val="00D73EA4"/>
    <w:rsid w:val="00D82891"/>
    <w:rsid w:val="00D8323E"/>
    <w:rsid w:val="00D8583A"/>
    <w:rsid w:val="00D92118"/>
    <w:rsid w:val="00D96A1E"/>
    <w:rsid w:val="00DA0456"/>
    <w:rsid w:val="00DA585C"/>
    <w:rsid w:val="00DA7D59"/>
    <w:rsid w:val="00DB0916"/>
    <w:rsid w:val="00DC3B62"/>
    <w:rsid w:val="00DC6534"/>
    <w:rsid w:val="00DC69D9"/>
    <w:rsid w:val="00DC6A05"/>
    <w:rsid w:val="00DC6BC0"/>
    <w:rsid w:val="00DD0CEA"/>
    <w:rsid w:val="00DD32CF"/>
    <w:rsid w:val="00DD4A34"/>
    <w:rsid w:val="00DD4B63"/>
    <w:rsid w:val="00DE251A"/>
    <w:rsid w:val="00DE4605"/>
    <w:rsid w:val="00DF37AA"/>
    <w:rsid w:val="00E00936"/>
    <w:rsid w:val="00E01A36"/>
    <w:rsid w:val="00E01D28"/>
    <w:rsid w:val="00E148F7"/>
    <w:rsid w:val="00E153E7"/>
    <w:rsid w:val="00E21A5F"/>
    <w:rsid w:val="00E255B8"/>
    <w:rsid w:val="00E263CD"/>
    <w:rsid w:val="00E32512"/>
    <w:rsid w:val="00E36F12"/>
    <w:rsid w:val="00E419B6"/>
    <w:rsid w:val="00E464AC"/>
    <w:rsid w:val="00E47E48"/>
    <w:rsid w:val="00E55B4B"/>
    <w:rsid w:val="00E56D57"/>
    <w:rsid w:val="00E56D6D"/>
    <w:rsid w:val="00E570C0"/>
    <w:rsid w:val="00E57ACE"/>
    <w:rsid w:val="00E61856"/>
    <w:rsid w:val="00E61ADA"/>
    <w:rsid w:val="00E7012A"/>
    <w:rsid w:val="00E7418D"/>
    <w:rsid w:val="00E80980"/>
    <w:rsid w:val="00E82EEB"/>
    <w:rsid w:val="00E8392F"/>
    <w:rsid w:val="00E85606"/>
    <w:rsid w:val="00E964A8"/>
    <w:rsid w:val="00E97F1F"/>
    <w:rsid w:val="00EA04CB"/>
    <w:rsid w:val="00EA2309"/>
    <w:rsid w:val="00EA3AF6"/>
    <w:rsid w:val="00EB4AFC"/>
    <w:rsid w:val="00EB6B00"/>
    <w:rsid w:val="00EB6B22"/>
    <w:rsid w:val="00EC0146"/>
    <w:rsid w:val="00EC0E20"/>
    <w:rsid w:val="00EC6945"/>
    <w:rsid w:val="00EC7A82"/>
    <w:rsid w:val="00ED1D58"/>
    <w:rsid w:val="00ED2051"/>
    <w:rsid w:val="00ED538C"/>
    <w:rsid w:val="00EE495F"/>
    <w:rsid w:val="00EE49FB"/>
    <w:rsid w:val="00EE51EC"/>
    <w:rsid w:val="00EE7C16"/>
    <w:rsid w:val="00F01D0D"/>
    <w:rsid w:val="00F01D6B"/>
    <w:rsid w:val="00F06BC4"/>
    <w:rsid w:val="00F10A19"/>
    <w:rsid w:val="00F11DE4"/>
    <w:rsid w:val="00F154E4"/>
    <w:rsid w:val="00F16142"/>
    <w:rsid w:val="00F170F7"/>
    <w:rsid w:val="00F1720F"/>
    <w:rsid w:val="00F201EA"/>
    <w:rsid w:val="00F213FC"/>
    <w:rsid w:val="00F2332D"/>
    <w:rsid w:val="00F23ACD"/>
    <w:rsid w:val="00F2586E"/>
    <w:rsid w:val="00F32D7A"/>
    <w:rsid w:val="00F34550"/>
    <w:rsid w:val="00F3610A"/>
    <w:rsid w:val="00F40DA7"/>
    <w:rsid w:val="00F422DE"/>
    <w:rsid w:val="00F43668"/>
    <w:rsid w:val="00F4374D"/>
    <w:rsid w:val="00F43CEF"/>
    <w:rsid w:val="00F52706"/>
    <w:rsid w:val="00F61B23"/>
    <w:rsid w:val="00F627D7"/>
    <w:rsid w:val="00F6337F"/>
    <w:rsid w:val="00F63A24"/>
    <w:rsid w:val="00F739F5"/>
    <w:rsid w:val="00F74EFC"/>
    <w:rsid w:val="00F80FA2"/>
    <w:rsid w:val="00F8257B"/>
    <w:rsid w:val="00F86F08"/>
    <w:rsid w:val="00F936E5"/>
    <w:rsid w:val="00F97459"/>
    <w:rsid w:val="00F97B7E"/>
    <w:rsid w:val="00FB56E7"/>
    <w:rsid w:val="00FB5B2B"/>
    <w:rsid w:val="00FC25C0"/>
    <w:rsid w:val="00FD1FBC"/>
    <w:rsid w:val="00FE1090"/>
    <w:rsid w:val="00FE221E"/>
    <w:rsid w:val="00FE3229"/>
    <w:rsid w:val="00FE49B6"/>
    <w:rsid w:val="00FE7CF4"/>
    <w:rsid w:val="00FF42FD"/>
    <w:rsid w:val="00FF53A9"/>
    <w:rsid w:val="02C796C3"/>
    <w:rsid w:val="08818A16"/>
    <w:rsid w:val="0B42C936"/>
    <w:rsid w:val="0E088158"/>
    <w:rsid w:val="1027F9C5"/>
    <w:rsid w:val="18CB64B2"/>
    <w:rsid w:val="1B894EEF"/>
    <w:rsid w:val="245D3163"/>
    <w:rsid w:val="2EABA02E"/>
    <w:rsid w:val="30EC9FF5"/>
    <w:rsid w:val="47C2C21A"/>
    <w:rsid w:val="48EAA23D"/>
    <w:rsid w:val="49BA7A74"/>
    <w:rsid w:val="49F5D804"/>
    <w:rsid w:val="4FC67E12"/>
    <w:rsid w:val="50ED1CCD"/>
    <w:rsid w:val="531D78DB"/>
    <w:rsid w:val="57B0C3ED"/>
    <w:rsid w:val="5AD802DF"/>
    <w:rsid w:val="6DBA38D7"/>
    <w:rsid w:val="6F53FA1C"/>
    <w:rsid w:val="72AD4109"/>
    <w:rsid w:val="7436FF9D"/>
    <w:rsid w:val="764473CD"/>
    <w:rsid w:val="7C98C5DF"/>
    <w:rsid w:val="7FAE2E3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9E3FD"/>
  <w15:chartTrackingRefBased/>
  <w15:docId w15:val="{3944C4FD-AB40-434A-AA81-347503E7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82B"/>
    <w:pPr>
      <w:spacing w:after="100" w:line="264" w:lineRule="auto"/>
    </w:pPr>
    <w:rPr>
      <w:rFonts w:ascii="Arial" w:hAnsi="Arial"/>
    </w:rPr>
  </w:style>
  <w:style w:type="paragraph" w:styleId="Heading1">
    <w:name w:val="heading 1"/>
    <w:basedOn w:val="Normal"/>
    <w:next w:val="Normal"/>
    <w:link w:val="Heading1Char"/>
    <w:uiPriority w:val="9"/>
    <w:qFormat/>
    <w:rsid w:val="009A0A07"/>
    <w:pPr>
      <w:keepNext/>
      <w:keepLines/>
      <w:spacing w:before="480" w:after="0" w:line="276" w:lineRule="auto"/>
      <w:outlineLvl w:val="0"/>
    </w:pPr>
    <w:rPr>
      <w:rFonts w:eastAsiaTheme="majorEastAsia" w:cstheme="majorBidi"/>
      <w:b/>
      <w:color w:val="4B0885" w:themeColor="text2"/>
      <w:sz w:val="56"/>
      <w:szCs w:val="32"/>
    </w:rPr>
  </w:style>
  <w:style w:type="paragraph" w:styleId="Heading2">
    <w:name w:val="heading 2"/>
    <w:basedOn w:val="Normal"/>
    <w:next w:val="Normal"/>
    <w:link w:val="Heading2Char"/>
    <w:uiPriority w:val="9"/>
    <w:unhideWhenUsed/>
    <w:qFormat/>
    <w:rsid w:val="00D12938"/>
    <w:pPr>
      <w:keepNext/>
      <w:keepLines/>
      <w:spacing w:before="240" w:after="0" w:line="276" w:lineRule="auto"/>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D12938"/>
    <w:pPr>
      <w:keepNext/>
      <w:keepLines/>
      <w:spacing w:before="240" w:after="0" w:line="276" w:lineRule="auto"/>
      <w:outlineLvl w:val="2"/>
    </w:pPr>
    <w:rPr>
      <w:rFonts w:eastAsiaTheme="majorEastAsia" w:cstheme="majorBidi"/>
      <w:b/>
      <w:color w:val="4B0885" w:themeColor="text2"/>
      <w:sz w:val="26"/>
      <w:szCs w:val="24"/>
    </w:rPr>
  </w:style>
  <w:style w:type="paragraph" w:styleId="Heading4">
    <w:name w:val="heading 4"/>
    <w:basedOn w:val="Normal"/>
    <w:next w:val="Normal"/>
    <w:link w:val="Heading4Char"/>
    <w:uiPriority w:val="9"/>
    <w:unhideWhenUsed/>
    <w:qFormat/>
    <w:rsid w:val="00D12938"/>
    <w:pPr>
      <w:spacing w:before="240" w:after="0" w:line="276" w:lineRule="auto"/>
      <w:outlineLvl w:val="3"/>
    </w:pPr>
    <w:rPr>
      <w:rFonts w:cs="Arial"/>
      <w:b/>
      <w:bCs/>
      <w:color w:val="012749" w:themeColor="accent3"/>
    </w:rPr>
  </w:style>
  <w:style w:type="paragraph" w:styleId="Heading5">
    <w:name w:val="heading 5"/>
    <w:basedOn w:val="Normal"/>
    <w:next w:val="Normal"/>
    <w:link w:val="Heading5Char"/>
    <w:uiPriority w:val="9"/>
    <w:unhideWhenUsed/>
    <w:qFormat/>
    <w:rsid w:val="00D12938"/>
    <w:pPr>
      <w:spacing w:before="240" w:after="0" w:line="276" w:lineRule="auto"/>
      <w:outlineLvl w:val="4"/>
    </w:pPr>
    <w:rPr>
      <w:rFonts w:cs="Arial"/>
      <w:color w:val="4B0885" w:themeColor="text2"/>
      <w:sz w:val="19"/>
      <w:szCs w:val="19"/>
    </w:rPr>
  </w:style>
  <w:style w:type="paragraph" w:styleId="Heading6">
    <w:name w:val="heading 6"/>
    <w:basedOn w:val="Normal"/>
    <w:next w:val="Normal"/>
    <w:link w:val="Heading6Char"/>
    <w:uiPriority w:val="9"/>
    <w:unhideWhenUsed/>
    <w:qFormat/>
    <w:rsid w:val="00D12938"/>
    <w:pPr>
      <w:keepNext/>
      <w:keepLines/>
      <w:spacing w:before="240" w:after="0" w:line="276" w:lineRule="auto"/>
      <w:outlineLvl w:val="5"/>
    </w:pPr>
    <w:rPr>
      <w:rFonts w:eastAsiaTheme="majorEastAsia" w:cstheme="majorBidi"/>
      <w:color w:val="341461" w:themeColor="accent1" w:themeShade="7F"/>
    </w:rPr>
  </w:style>
  <w:style w:type="paragraph" w:styleId="Heading7">
    <w:name w:val="heading 7"/>
    <w:basedOn w:val="Normal"/>
    <w:next w:val="Normal"/>
    <w:link w:val="Heading7Char"/>
    <w:uiPriority w:val="9"/>
    <w:unhideWhenUsed/>
    <w:rsid w:val="00642A9A"/>
    <w:pPr>
      <w:keepNext/>
      <w:keepLines/>
      <w:spacing w:before="240" w:after="0"/>
      <w:outlineLvl w:val="6"/>
    </w:pPr>
    <w:rPr>
      <w:rFonts w:asciiTheme="majorHAnsi" w:eastAsiaTheme="majorEastAsia" w:hAnsiTheme="majorHAnsi" w:cstheme="majorBidi"/>
      <w:i/>
      <w:iCs/>
      <w:color w:val="341461" w:themeColor="accent1" w:themeShade="7F"/>
    </w:rPr>
  </w:style>
  <w:style w:type="paragraph" w:styleId="Heading8">
    <w:name w:val="heading 8"/>
    <w:basedOn w:val="Normal"/>
    <w:next w:val="Normal"/>
    <w:link w:val="Heading8Char"/>
    <w:uiPriority w:val="9"/>
    <w:semiHidden/>
    <w:unhideWhenUsed/>
    <w:rsid w:val="00642A9A"/>
    <w:pPr>
      <w:keepNext/>
      <w:keepLines/>
      <w:spacing w:before="2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2A9A"/>
    <w:pPr>
      <w:keepNext/>
      <w:keepLines/>
      <w:spacing w:before="2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UnresolvedMention">
    <w:name w:val="Unresolved Mention"/>
    <w:basedOn w:val="DefaultParagraphFont"/>
    <w:uiPriority w:val="99"/>
    <w:semiHidden/>
    <w:unhideWhenUsed/>
    <w:rsid w:val="00E82EEB"/>
    <w:rPr>
      <w:color w:val="605E5C"/>
      <w:shd w:val="clear" w:color="auto" w:fill="E1DFDD"/>
    </w:rPr>
  </w:style>
  <w:style w:type="paragraph" w:styleId="Footer">
    <w:name w:val="footer"/>
    <w:basedOn w:val="Normal"/>
    <w:link w:val="FooterChar"/>
    <w:uiPriority w:val="99"/>
    <w:unhideWhenUsed/>
    <w:rsid w:val="00991526"/>
    <w:pPr>
      <w:tabs>
        <w:tab w:val="right" w:pos="9026"/>
      </w:tabs>
      <w:spacing w:before="20" w:after="0" w:line="240" w:lineRule="auto"/>
    </w:pPr>
    <w:rPr>
      <w:sz w:val="17"/>
      <w:szCs w:val="17"/>
    </w:rPr>
  </w:style>
  <w:style w:type="character" w:customStyle="1" w:styleId="FooterChar">
    <w:name w:val="Footer Char"/>
    <w:basedOn w:val="DefaultParagraphFont"/>
    <w:link w:val="Footer"/>
    <w:uiPriority w:val="99"/>
    <w:rsid w:val="00991526"/>
    <w:rPr>
      <w:color w:val="000000" w:themeColor="text1"/>
      <w:sz w:val="17"/>
      <w:szCs w:val="17"/>
    </w:rPr>
  </w:style>
  <w:style w:type="paragraph" w:styleId="Title">
    <w:name w:val="Title"/>
    <w:basedOn w:val="Normal"/>
    <w:next w:val="Normal"/>
    <w:link w:val="TitleChar"/>
    <w:uiPriority w:val="1"/>
    <w:rsid w:val="00233A75"/>
    <w:pPr>
      <w:spacing w:before="2600" w:after="240" w:line="252" w:lineRule="auto"/>
    </w:pPr>
    <w:rPr>
      <w:rFonts w:asciiTheme="majorHAnsi" w:eastAsiaTheme="majorEastAsia" w:hAnsiTheme="majorHAnsi" w:cstheme="majorBidi"/>
      <w:b/>
      <w:color w:val="FFFFFF" w:themeColor="background1"/>
      <w:spacing w:val="-2"/>
      <w:kern w:val="28"/>
      <w:sz w:val="80"/>
      <w:szCs w:val="80"/>
    </w:rPr>
  </w:style>
  <w:style w:type="character" w:customStyle="1" w:styleId="TitleChar">
    <w:name w:val="Title Char"/>
    <w:basedOn w:val="DefaultParagraphFont"/>
    <w:link w:val="Title"/>
    <w:uiPriority w:val="1"/>
    <w:rsid w:val="00233A75"/>
    <w:rPr>
      <w:rFonts w:asciiTheme="majorHAnsi" w:eastAsiaTheme="majorEastAsia" w:hAnsiTheme="majorHAnsi" w:cstheme="majorBidi"/>
      <w:b/>
      <w:color w:val="FFFFFF" w:themeColor="background1"/>
      <w:spacing w:val="-2"/>
      <w:kern w:val="28"/>
      <w:sz w:val="80"/>
      <w:szCs w:val="80"/>
    </w:rPr>
  </w:style>
  <w:style w:type="character" w:customStyle="1" w:styleId="Heading1Char">
    <w:name w:val="Heading 1 Char"/>
    <w:basedOn w:val="DefaultParagraphFont"/>
    <w:link w:val="Heading1"/>
    <w:uiPriority w:val="9"/>
    <w:rsid w:val="009A0A07"/>
    <w:rPr>
      <w:rFonts w:ascii="Arial" w:eastAsiaTheme="majorEastAsia" w:hAnsi="Arial" w:cstheme="majorBidi"/>
      <w:b/>
      <w:color w:val="4B0885" w:themeColor="text2"/>
      <w:sz w:val="56"/>
      <w:szCs w:val="32"/>
    </w:rPr>
  </w:style>
  <w:style w:type="paragraph" w:styleId="TOCHeading">
    <w:name w:val="TOC Heading"/>
    <w:basedOn w:val="Heading1"/>
    <w:next w:val="Normal"/>
    <w:uiPriority w:val="39"/>
    <w:unhideWhenUsed/>
    <w:qFormat/>
    <w:rsid w:val="007177A7"/>
    <w:pPr>
      <w:outlineLvl w:val="9"/>
    </w:pPr>
    <w:rPr>
      <w:lang w:val="en-US"/>
    </w:rPr>
  </w:style>
  <w:style w:type="paragraph" w:styleId="ListParagraph">
    <w:name w:val="List Paragraph"/>
    <w:basedOn w:val="Normal"/>
    <w:uiPriority w:val="34"/>
    <w:qFormat/>
    <w:rsid w:val="00E148F7"/>
    <w:pPr>
      <w:ind w:left="720"/>
      <w:contextualSpacing/>
    </w:pPr>
  </w:style>
  <w:style w:type="table" w:styleId="TableGrid">
    <w:name w:val="Table Grid"/>
    <w:basedOn w:val="TableNormal"/>
    <w:uiPriority w:val="39"/>
    <w:rsid w:val="00F4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7DBD"/>
    <w:rPr>
      <w:sz w:val="16"/>
      <w:szCs w:val="16"/>
    </w:rPr>
  </w:style>
  <w:style w:type="paragraph" w:styleId="CommentText">
    <w:name w:val="annotation text"/>
    <w:basedOn w:val="Normal"/>
    <w:link w:val="CommentTextChar"/>
    <w:uiPriority w:val="99"/>
    <w:unhideWhenUsed/>
    <w:rsid w:val="007F7DBD"/>
    <w:pPr>
      <w:spacing w:line="240" w:lineRule="auto"/>
    </w:pPr>
    <w:rPr>
      <w:sz w:val="20"/>
      <w:szCs w:val="20"/>
    </w:rPr>
  </w:style>
  <w:style w:type="character" w:customStyle="1" w:styleId="CommentTextChar">
    <w:name w:val="Comment Text Char"/>
    <w:basedOn w:val="DefaultParagraphFont"/>
    <w:link w:val="CommentText"/>
    <w:uiPriority w:val="99"/>
    <w:rsid w:val="007F7DBD"/>
    <w:rPr>
      <w:sz w:val="20"/>
      <w:szCs w:val="20"/>
    </w:rPr>
  </w:style>
  <w:style w:type="paragraph" w:styleId="CommentSubject">
    <w:name w:val="annotation subject"/>
    <w:basedOn w:val="CommentText"/>
    <w:next w:val="CommentText"/>
    <w:link w:val="CommentSubjectChar"/>
    <w:uiPriority w:val="99"/>
    <w:semiHidden/>
    <w:unhideWhenUsed/>
    <w:rsid w:val="007F7DBD"/>
    <w:rPr>
      <w:b/>
      <w:bCs/>
    </w:rPr>
  </w:style>
  <w:style w:type="character" w:customStyle="1" w:styleId="CommentSubjectChar">
    <w:name w:val="Comment Subject Char"/>
    <w:basedOn w:val="CommentTextChar"/>
    <w:link w:val="CommentSubject"/>
    <w:uiPriority w:val="99"/>
    <w:semiHidden/>
    <w:rsid w:val="007F7DBD"/>
    <w:rPr>
      <w:b/>
      <w:bCs/>
      <w:sz w:val="20"/>
      <w:szCs w:val="20"/>
    </w:rPr>
  </w:style>
  <w:style w:type="paragraph" w:styleId="NoSpacing">
    <w:name w:val="No Spacing"/>
    <w:uiPriority w:val="1"/>
    <w:qFormat/>
    <w:rsid w:val="006C282B"/>
    <w:pPr>
      <w:spacing w:after="0" w:line="240" w:lineRule="auto"/>
    </w:pPr>
    <w:rPr>
      <w:rFonts w:ascii="Arial" w:hAnsi="Arial"/>
    </w:rPr>
  </w:style>
  <w:style w:type="table" w:styleId="PlainTable4">
    <w:name w:val="Plain Table 4"/>
    <w:basedOn w:val="TableNormal"/>
    <w:uiPriority w:val="44"/>
    <w:rsid w:val="006066C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Bullet">
    <w:name w:val="List Bullet"/>
    <w:basedOn w:val="Normal"/>
    <w:qFormat/>
    <w:rsid w:val="006C282B"/>
    <w:pPr>
      <w:numPr>
        <w:numId w:val="1"/>
      </w:numPr>
      <w:spacing w:after="120"/>
      <w:ind w:left="284" w:hanging="284"/>
    </w:pPr>
    <w:rPr>
      <w:rFonts w:eastAsia="SimSun" w:cs="Times New Roman"/>
      <w:spacing w:val="-1"/>
      <w:szCs w:val="20"/>
      <w:lang w:val="en-GB" w:eastAsia="en-GB"/>
    </w:rPr>
  </w:style>
  <w:style w:type="character" w:customStyle="1" w:styleId="Heading2Char">
    <w:name w:val="Heading 2 Char"/>
    <w:basedOn w:val="DefaultParagraphFont"/>
    <w:link w:val="Heading2"/>
    <w:uiPriority w:val="9"/>
    <w:rsid w:val="00D12938"/>
    <w:rPr>
      <w:rFonts w:ascii="Arial" w:eastAsiaTheme="majorEastAsia" w:hAnsi="Arial" w:cstheme="majorBidi"/>
      <w:b/>
      <w:sz w:val="32"/>
      <w:szCs w:val="26"/>
    </w:rPr>
  </w:style>
  <w:style w:type="paragraph" w:styleId="TOC1">
    <w:name w:val="toc 1"/>
    <w:basedOn w:val="Normal"/>
    <w:next w:val="Normal"/>
    <w:uiPriority w:val="39"/>
    <w:unhideWhenUsed/>
    <w:rsid w:val="00A3043E"/>
    <w:rPr>
      <w:b/>
      <w:color w:val="4B0885" w:themeColor="text2"/>
    </w:rPr>
  </w:style>
  <w:style w:type="character" w:customStyle="1" w:styleId="Heading3Char">
    <w:name w:val="Heading 3 Char"/>
    <w:basedOn w:val="DefaultParagraphFont"/>
    <w:link w:val="Heading3"/>
    <w:uiPriority w:val="9"/>
    <w:rsid w:val="00D12938"/>
    <w:rPr>
      <w:rFonts w:ascii="Arial" w:eastAsiaTheme="majorEastAsia" w:hAnsi="Arial" w:cstheme="majorBidi"/>
      <w:b/>
      <w:color w:val="4B0885" w:themeColor="text2"/>
      <w:sz w:val="26"/>
      <w:szCs w:val="24"/>
    </w:rPr>
  </w:style>
  <w:style w:type="paragraph" w:styleId="TOC2">
    <w:name w:val="toc 2"/>
    <w:basedOn w:val="Normal"/>
    <w:next w:val="Normal"/>
    <w:uiPriority w:val="39"/>
    <w:unhideWhenUsed/>
    <w:rsid w:val="00233A75"/>
    <w:pPr>
      <w:ind w:left="227"/>
    </w:pPr>
  </w:style>
  <w:style w:type="paragraph" w:styleId="TOC4">
    <w:name w:val="toc 4"/>
    <w:basedOn w:val="Normal"/>
    <w:next w:val="Normal"/>
    <w:autoRedefine/>
    <w:uiPriority w:val="39"/>
    <w:unhideWhenUsed/>
    <w:rsid w:val="007B2AD6"/>
    <w:pPr>
      <w:tabs>
        <w:tab w:val="right" w:leader="dot" w:pos="9016"/>
      </w:tabs>
      <w:ind w:left="220"/>
    </w:pPr>
  </w:style>
  <w:style w:type="paragraph" w:styleId="TOC3">
    <w:name w:val="toc 3"/>
    <w:basedOn w:val="Normal"/>
    <w:next w:val="Normal"/>
    <w:uiPriority w:val="39"/>
    <w:unhideWhenUsed/>
    <w:rsid w:val="00233A75"/>
    <w:pPr>
      <w:tabs>
        <w:tab w:val="right" w:leader="dot" w:pos="9016"/>
      </w:tabs>
      <w:ind w:left="454"/>
    </w:pPr>
  </w:style>
  <w:style w:type="paragraph" w:styleId="TOC5">
    <w:name w:val="toc 5"/>
    <w:basedOn w:val="Normal"/>
    <w:next w:val="Normal"/>
    <w:autoRedefine/>
    <w:uiPriority w:val="39"/>
    <w:unhideWhenUsed/>
    <w:rsid w:val="007B2AD6"/>
    <w:pPr>
      <w:tabs>
        <w:tab w:val="right" w:leader="dot" w:pos="9016"/>
      </w:tabs>
      <w:ind w:left="220"/>
    </w:pPr>
  </w:style>
  <w:style w:type="character" w:styleId="Hyperlink">
    <w:name w:val="Hyperlink"/>
    <w:basedOn w:val="DefaultParagraphFont"/>
    <w:uiPriority w:val="99"/>
    <w:unhideWhenUsed/>
    <w:rsid w:val="00A93DF6"/>
    <w:rPr>
      <w:color w:val="013D74" w:themeColor="hyperlink"/>
      <w:u w:val="single"/>
    </w:rPr>
  </w:style>
  <w:style w:type="paragraph" w:styleId="ListBullet2">
    <w:name w:val="List Bullet 2"/>
    <w:basedOn w:val="Normal"/>
    <w:qFormat/>
    <w:rsid w:val="006C282B"/>
    <w:pPr>
      <w:numPr>
        <w:ilvl w:val="1"/>
        <w:numId w:val="1"/>
      </w:numPr>
      <w:spacing w:after="110"/>
      <w:ind w:left="568" w:hanging="284"/>
    </w:pPr>
    <w:rPr>
      <w:rFonts w:eastAsia="SimSun" w:cs="Times New Roman"/>
      <w:spacing w:val="-1"/>
      <w:szCs w:val="20"/>
      <w:lang w:val="en-GB" w:eastAsia="en-GB"/>
    </w:rPr>
  </w:style>
  <w:style w:type="paragraph" w:styleId="ListBullet3">
    <w:name w:val="List Bullet 3"/>
    <w:basedOn w:val="Normal"/>
    <w:rsid w:val="00BE68F3"/>
    <w:pPr>
      <w:numPr>
        <w:ilvl w:val="2"/>
        <w:numId w:val="1"/>
      </w:numPr>
      <w:spacing w:line="240" w:lineRule="atLeast"/>
    </w:pPr>
    <w:rPr>
      <w:rFonts w:eastAsia="SimSun" w:cs="Times New Roman"/>
      <w:spacing w:val="-1"/>
      <w:szCs w:val="20"/>
      <w:lang w:val="en-GB" w:eastAsia="en-GB"/>
    </w:rPr>
  </w:style>
  <w:style w:type="paragraph" w:styleId="ListBullet4">
    <w:name w:val="List Bullet 4"/>
    <w:basedOn w:val="ListBullet3"/>
    <w:semiHidden/>
    <w:rsid w:val="00597EF7"/>
    <w:pPr>
      <w:numPr>
        <w:ilvl w:val="3"/>
      </w:numPr>
    </w:pPr>
  </w:style>
  <w:style w:type="character" w:customStyle="1" w:styleId="Heading4Char">
    <w:name w:val="Heading 4 Char"/>
    <w:basedOn w:val="DefaultParagraphFont"/>
    <w:link w:val="Heading4"/>
    <w:uiPriority w:val="9"/>
    <w:rsid w:val="00D12938"/>
    <w:rPr>
      <w:rFonts w:ascii="Arial" w:hAnsi="Arial" w:cs="Arial"/>
      <w:b/>
      <w:bCs/>
      <w:color w:val="012749" w:themeColor="accent3"/>
    </w:rPr>
  </w:style>
  <w:style w:type="character" w:customStyle="1" w:styleId="Heading5Char">
    <w:name w:val="Heading 5 Char"/>
    <w:basedOn w:val="DefaultParagraphFont"/>
    <w:link w:val="Heading5"/>
    <w:uiPriority w:val="9"/>
    <w:rsid w:val="00D12938"/>
    <w:rPr>
      <w:rFonts w:ascii="Arial" w:hAnsi="Arial" w:cs="Arial"/>
      <w:color w:val="4B0885" w:themeColor="text2"/>
      <w:sz w:val="19"/>
      <w:szCs w:val="19"/>
    </w:rPr>
  </w:style>
  <w:style w:type="character" w:customStyle="1" w:styleId="Heading6Char">
    <w:name w:val="Heading 6 Char"/>
    <w:basedOn w:val="DefaultParagraphFont"/>
    <w:link w:val="Heading6"/>
    <w:uiPriority w:val="9"/>
    <w:rsid w:val="00D12938"/>
    <w:rPr>
      <w:rFonts w:ascii="Arial" w:eastAsiaTheme="majorEastAsia" w:hAnsi="Arial" w:cstheme="majorBidi"/>
      <w:color w:val="341461" w:themeColor="accent1" w:themeShade="7F"/>
    </w:rPr>
  </w:style>
  <w:style w:type="character" w:customStyle="1" w:styleId="Heading7Char">
    <w:name w:val="Heading 7 Char"/>
    <w:basedOn w:val="DefaultParagraphFont"/>
    <w:link w:val="Heading7"/>
    <w:uiPriority w:val="9"/>
    <w:rsid w:val="00642A9A"/>
    <w:rPr>
      <w:rFonts w:asciiTheme="majorHAnsi" w:eastAsiaTheme="majorEastAsia" w:hAnsiTheme="majorHAnsi" w:cstheme="majorBidi"/>
      <w:i/>
      <w:iCs/>
      <w:color w:val="341461" w:themeColor="accent1" w:themeShade="7F"/>
    </w:rPr>
  </w:style>
  <w:style w:type="paragraph" w:styleId="Header">
    <w:name w:val="header"/>
    <w:basedOn w:val="Normal"/>
    <w:link w:val="HeaderChar"/>
    <w:uiPriority w:val="99"/>
    <w:unhideWhenUsed/>
    <w:rsid w:val="00C40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0E20"/>
    <w:rPr>
      <w:rFonts w:ascii="Arial" w:hAnsi="Arial"/>
      <w:color w:val="000000" w:themeColor="text1"/>
    </w:rPr>
  </w:style>
  <w:style w:type="paragraph" w:styleId="Caption">
    <w:name w:val="caption"/>
    <w:basedOn w:val="Normal"/>
    <w:next w:val="Normal"/>
    <w:uiPriority w:val="35"/>
    <w:unhideWhenUsed/>
    <w:qFormat/>
    <w:rsid w:val="00642A9A"/>
    <w:pPr>
      <w:keepNext/>
      <w:spacing w:before="320" w:after="200" w:line="240" w:lineRule="auto"/>
    </w:pPr>
    <w:rPr>
      <w:b/>
      <w:bCs/>
      <w:sz w:val="18"/>
      <w:szCs w:val="18"/>
    </w:rPr>
  </w:style>
  <w:style w:type="paragraph" w:styleId="Subtitle">
    <w:name w:val="Subtitle"/>
    <w:basedOn w:val="Normal"/>
    <w:next w:val="Normal"/>
    <w:link w:val="SubtitleChar"/>
    <w:uiPriority w:val="1"/>
    <w:rsid w:val="00233A75"/>
    <w:pPr>
      <w:numPr>
        <w:ilvl w:val="1"/>
      </w:numPr>
      <w:spacing w:before="480" w:after="160"/>
    </w:pPr>
    <w:rPr>
      <w:rFonts w:asciiTheme="majorHAnsi" w:eastAsiaTheme="minorEastAsia" w:hAnsiTheme="majorHAnsi"/>
      <w:color w:val="FFFFFF" w:themeColor="background1"/>
      <w:sz w:val="48"/>
      <w:szCs w:val="48"/>
    </w:rPr>
  </w:style>
  <w:style w:type="character" w:customStyle="1" w:styleId="SubtitleChar">
    <w:name w:val="Subtitle Char"/>
    <w:basedOn w:val="DefaultParagraphFont"/>
    <w:link w:val="Subtitle"/>
    <w:uiPriority w:val="1"/>
    <w:rsid w:val="00233A75"/>
    <w:rPr>
      <w:rFonts w:asciiTheme="majorHAnsi" w:eastAsiaTheme="minorEastAsia" w:hAnsiTheme="majorHAnsi"/>
      <w:color w:val="FFFFFF" w:themeColor="background1"/>
      <w:sz w:val="48"/>
      <w:szCs w:val="48"/>
    </w:rPr>
  </w:style>
  <w:style w:type="paragraph" w:customStyle="1" w:styleId="Spacer">
    <w:name w:val="Spacer"/>
    <w:basedOn w:val="NoSpacing"/>
    <w:qFormat/>
    <w:rsid w:val="00506CD7"/>
    <w:pPr>
      <w:tabs>
        <w:tab w:val="left" w:pos="2906"/>
      </w:tabs>
    </w:pPr>
    <w:rPr>
      <w:rFonts w:ascii="Times New Roman" w:hAnsi="Times New Roman" w:cs="Times New Roman"/>
      <w:bCs/>
      <w:noProof/>
      <w:color w:val="E55493" w:themeColor="accent6" w:themeTint="99"/>
      <w:spacing w:val="-5"/>
      <w:sz w:val="6"/>
      <w:szCs w:val="23"/>
    </w:rPr>
  </w:style>
  <w:style w:type="character" w:styleId="PlaceholderText">
    <w:name w:val="Placeholder Text"/>
    <w:basedOn w:val="DefaultParagraphFont"/>
    <w:uiPriority w:val="99"/>
    <w:semiHidden/>
    <w:rsid w:val="00C6447C"/>
    <w:rPr>
      <w:color w:val="808080"/>
    </w:rPr>
  </w:style>
  <w:style w:type="paragraph" w:customStyle="1" w:styleId="Source">
    <w:name w:val="Source"/>
    <w:basedOn w:val="Normal"/>
    <w:next w:val="Normal"/>
    <w:qFormat/>
    <w:rsid w:val="00AF2783"/>
    <w:pPr>
      <w:spacing w:before="120" w:after="120"/>
    </w:pPr>
    <w:rPr>
      <w:sz w:val="18"/>
      <w:szCs w:val="18"/>
    </w:rPr>
  </w:style>
  <w:style w:type="paragraph" w:styleId="MacroText">
    <w:name w:val="macro"/>
    <w:link w:val="MacroTextChar"/>
    <w:uiPriority w:val="99"/>
    <w:unhideWhenUsed/>
    <w:rsid w:val="00AF2783"/>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rsid w:val="00AF2783"/>
    <w:rPr>
      <w:rFonts w:ascii="Consolas" w:hAnsi="Consolas"/>
      <w:sz w:val="20"/>
      <w:szCs w:val="20"/>
    </w:rPr>
  </w:style>
  <w:style w:type="table" w:customStyle="1" w:styleId="JSATable1">
    <w:name w:val="JSA Table 1"/>
    <w:basedOn w:val="TableNormal"/>
    <w:uiPriority w:val="99"/>
    <w:rsid w:val="00D73EA4"/>
    <w:pPr>
      <w:spacing w:after="0" w:line="240" w:lineRule="auto"/>
    </w:pPr>
    <w:tblPr>
      <w:tblStyleRowBandSize w:val="1"/>
      <w:tblBorders>
        <w:bottom w:val="single" w:sz="4" w:space="0" w:color="4B0885"/>
      </w:tblBorders>
    </w:tblPr>
    <w:tblStylePr w:type="firstRow">
      <w:tblPr/>
      <w:tcPr>
        <w:shd w:val="clear" w:color="auto" w:fill="2F005F"/>
      </w:tcPr>
    </w:tblStylePr>
    <w:tblStylePr w:type="band2Horz">
      <w:tblPr/>
      <w:tcPr>
        <w:shd w:val="clear" w:color="auto" w:fill="E6E6E6"/>
      </w:tcPr>
    </w:tblStylePr>
  </w:style>
  <w:style w:type="table" w:customStyle="1" w:styleId="JSATable2">
    <w:name w:val="JSA Table 2"/>
    <w:basedOn w:val="TableNormal"/>
    <w:uiPriority w:val="99"/>
    <w:rsid w:val="00A74E0F"/>
    <w:pPr>
      <w:spacing w:after="0" w:line="240" w:lineRule="auto"/>
    </w:pPr>
    <w:tblPr>
      <w:tblStyleRowBandSize w:val="1"/>
      <w:tblBorders>
        <w:bottom w:val="single" w:sz="4" w:space="0" w:color="A584C2"/>
      </w:tblBorders>
    </w:tblPr>
    <w:tblStylePr w:type="firstRow">
      <w:rPr>
        <w:rFonts w:asciiTheme="majorHAnsi" w:hAnsiTheme="majorHAnsi"/>
        <w:color w:val="FFFFFF" w:themeColor="background1"/>
        <w:sz w:val="22"/>
      </w:rPr>
      <w:tblPr/>
      <w:tcPr>
        <w:shd w:val="clear" w:color="auto" w:fill="012749" w:themeFill="accent3"/>
      </w:tcPr>
    </w:tblStylePr>
    <w:tblStylePr w:type="band2Horz">
      <w:tblPr/>
      <w:tcPr>
        <w:shd w:val="clear" w:color="auto" w:fill="E6E6E6"/>
      </w:tcPr>
    </w:tblStylePr>
  </w:style>
  <w:style w:type="paragraph" w:styleId="Index7">
    <w:name w:val="index 7"/>
    <w:basedOn w:val="Normal"/>
    <w:next w:val="Normal"/>
    <w:autoRedefine/>
    <w:uiPriority w:val="99"/>
    <w:semiHidden/>
    <w:unhideWhenUsed/>
    <w:rsid w:val="00244550"/>
    <w:pPr>
      <w:spacing w:before="240" w:after="0" w:line="240" w:lineRule="auto"/>
      <w:ind w:left="1542" w:hanging="221"/>
    </w:pPr>
  </w:style>
  <w:style w:type="character" w:customStyle="1" w:styleId="Heading8Char">
    <w:name w:val="Heading 8 Char"/>
    <w:basedOn w:val="DefaultParagraphFont"/>
    <w:link w:val="Heading8"/>
    <w:uiPriority w:val="9"/>
    <w:semiHidden/>
    <w:rsid w:val="00642A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2A9A"/>
    <w:rPr>
      <w:rFonts w:asciiTheme="majorHAnsi" w:eastAsiaTheme="majorEastAsia" w:hAnsiTheme="majorHAnsi" w:cstheme="majorBidi"/>
      <w:i/>
      <w:iCs/>
      <w:color w:val="272727" w:themeColor="text1" w:themeTint="D8"/>
      <w:sz w:val="21"/>
      <w:szCs w:val="21"/>
    </w:rPr>
  </w:style>
  <w:style w:type="character" w:customStyle="1" w:styleId="StrongandEmphasis">
    <w:name w:val="Strong and Emphasis"/>
    <w:basedOn w:val="DefaultParagraphFont"/>
    <w:uiPriority w:val="1"/>
    <w:qFormat/>
    <w:rsid w:val="00D12938"/>
    <w:rPr>
      <w:rFonts w:ascii="Arial" w:hAnsi="Arial"/>
      <w:b/>
      <w:i/>
      <w:sz w:val="22"/>
    </w:rPr>
  </w:style>
  <w:style w:type="character" w:styleId="Emphasis">
    <w:name w:val="Emphasis"/>
    <w:basedOn w:val="DefaultParagraphFont"/>
    <w:qFormat/>
    <w:rsid w:val="002927DB"/>
    <w:rPr>
      <w:rFonts w:ascii="Arial" w:hAnsi="Arial"/>
      <w:i/>
      <w:iCs/>
      <w:sz w:val="22"/>
    </w:rPr>
  </w:style>
  <w:style w:type="character" w:styleId="Strong">
    <w:name w:val="Strong"/>
    <w:basedOn w:val="DefaultParagraphFont"/>
    <w:uiPriority w:val="22"/>
    <w:qFormat/>
    <w:rsid w:val="00DB0916"/>
    <w:rPr>
      <w:rFonts w:ascii="Arial" w:hAnsi="Arial"/>
      <w:b/>
      <w:bCs/>
      <w:sz w:val="22"/>
    </w:rPr>
  </w:style>
  <w:style w:type="paragraph" w:styleId="Quote">
    <w:name w:val="Quote"/>
    <w:basedOn w:val="Normal"/>
    <w:next w:val="Normal"/>
    <w:link w:val="QuoteChar"/>
    <w:uiPriority w:val="29"/>
    <w:qFormat/>
    <w:rsid w:val="00DB091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B0916"/>
    <w:rPr>
      <w:rFonts w:ascii="Arial" w:hAnsi="Arial"/>
      <w:i/>
      <w:iCs/>
      <w:color w:val="404040" w:themeColor="text1" w:themeTint="BF"/>
    </w:rPr>
  </w:style>
  <w:style w:type="paragraph" w:customStyle="1" w:styleId="Sub">
    <w:name w:val="Sub"/>
    <w:basedOn w:val="Heading2"/>
    <w:link w:val="SubChar"/>
    <w:qFormat/>
    <w:rsid w:val="00AA3BB9"/>
    <w:pPr>
      <w:spacing w:before="360" w:after="240"/>
    </w:pPr>
    <w:rPr>
      <w:sz w:val="40"/>
    </w:rPr>
  </w:style>
  <w:style w:type="character" w:customStyle="1" w:styleId="SubChar">
    <w:name w:val="Sub Char"/>
    <w:basedOn w:val="Heading2Char"/>
    <w:link w:val="Sub"/>
    <w:rsid w:val="00AA3BB9"/>
    <w:rPr>
      <w:rFonts w:ascii="Arial" w:eastAsiaTheme="majorEastAsia" w:hAnsi="Arial" w:cstheme="majorBidi"/>
      <w:b/>
      <w:sz w:val="40"/>
      <w:szCs w:val="26"/>
    </w:rPr>
  </w:style>
  <w:style w:type="table" w:styleId="PlainTable3">
    <w:name w:val="Plain Table 3"/>
    <w:basedOn w:val="TableNormal"/>
    <w:uiPriority w:val="43"/>
    <w:rsid w:val="006F76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114BC9"/>
    <w:pPr>
      <w:spacing w:after="0" w:line="240" w:lineRule="auto"/>
    </w:pPr>
    <w:tblPr>
      <w:tblStyleRowBandSize w:val="1"/>
      <w:tblStyleColBandSize w:val="1"/>
      <w:tblBorders>
        <w:top w:val="single" w:sz="4" w:space="0" w:color="C2A4EC" w:themeColor="accent1" w:themeTint="66"/>
        <w:left w:val="single" w:sz="4" w:space="0" w:color="C2A4EC" w:themeColor="accent1" w:themeTint="66"/>
        <w:bottom w:val="single" w:sz="4" w:space="0" w:color="C2A4EC" w:themeColor="accent1" w:themeTint="66"/>
        <w:right w:val="single" w:sz="4" w:space="0" w:color="C2A4EC" w:themeColor="accent1" w:themeTint="66"/>
        <w:insideH w:val="single" w:sz="4" w:space="0" w:color="C2A4EC" w:themeColor="accent1" w:themeTint="66"/>
        <w:insideV w:val="single" w:sz="4" w:space="0" w:color="C2A4EC" w:themeColor="accent1" w:themeTint="66"/>
      </w:tblBorders>
    </w:tblPr>
    <w:tblStylePr w:type="firstRow">
      <w:rPr>
        <w:b/>
        <w:bCs/>
      </w:rPr>
      <w:tblPr/>
      <w:tcPr>
        <w:tcBorders>
          <w:bottom w:val="single" w:sz="12" w:space="0" w:color="A377E2" w:themeColor="accent1" w:themeTint="99"/>
        </w:tcBorders>
      </w:tcPr>
    </w:tblStylePr>
    <w:tblStylePr w:type="lastRow">
      <w:rPr>
        <w:b/>
        <w:bCs/>
      </w:rPr>
      <w:tblPr/>
      <w:tcPr>
        <w:tcBorders>
          <w:top w:val="double" w:sz="2" w:space="0" w:color="A377E2"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3C333B"/>
    <w:rPr>
      <w:color w:val="4B0885" w:themeColor="followedHyperlink"/>
      <w:u w:val="single"/>
    </w:rPr>
  </w:style>
  <w:style w:type="table" w:styleId="PlainTable1">
    <w:name w:val="Plain Table 1"/>
    <w:basedOn w:val="TableNormal"/>
    <w:uiPriority w:val="41"/>
    <w:rsid w:val="009D069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3C6A66"/>
    <w:pPr>
      <w:spacing w:before="100" w:beforeAutospacing="1" w:afterAutospacing="1" w:line="240" w:lineRule="auto"/>
    </w:pPr>
    <w:rPr>
      <w:rFonts w:ascii="Times New Roman" w:eastAsia="Times New Roman" w:hAnsi="Times New Roman" w:cs="Times New Roman"/>
      <w:sz w:val="24"/>
      <w:szCs w:val="24"/>
      <w:lang w:eastAsia="en-AU"/>
    </w:rPr>
  </w:style>
  <w:style w:type="paragraph" w:styleId="Revision">
    <w:name w:val="Revision"/>
    <w:hidden/>
    <w:uiPriority w:val="99"/>
    <w:semiHidden/>
    <w:rsid w:val="000F7E89"/>
    <w:pPr>
      <w:spacing w:after="0" w:line="240" w:lineRule="auto"/>
    </w:pPr>
    <w:rPr>
      <w:rFonts w:ascii="Arial" w:hAnsi="Arial"/>
    </w:rPr>
  </w:style>
  <w:style w:type="character" w:customStyle="1" w:styleId="StrongEmphasis">
    <w:name w:val="Strong Emphasis"/>
    <w:qFormat/>
    <w:rsid w:val="00BF24DC"/>
    <w:rPr>
      <w:b/>
      <w:bCs/>
    </w:rPr>
  </w:style>
  <w:style w:type="character" w:customStyle="1" w:styleId="SourceText">
    <w:name w:val="Source Text"/>
    <w:qFormat/>
    <w:rsid w:val="00BF24DC"/>
    <w:rPr>
      <w:rFonts w:ascii="Liberation Mono" w:eastAsia="Noto Sans Mono CJK SC" w:hAnsi="Liberation Mono" w:cs="Liberation Mono"/>
    </w:rPr>
  </w:style>
  <w:style w:type="paragraph" w:styleId="BodyText">
    <w:name w:val="Body Text"/>
    <w:basedOn w:val="Normal"/>
    <w:link w:val="BodyTextChar"/>
    <w:rsid w:val="00BF24DC"/>
    <w:pPr>
      <w:suppressAutoHyphens/>
      <w:spacing w:after="140" w:line="276" w:lineRule="auto"/>
    </w:pPr>
    <w:rPr>
      <w:rFonts w:ascii="Liberation Serif" w:eastAsia="Noto Serif CJK SC" w:hAnsi="Liberation Serif" w:cs="Lohit Devanagari"/>
      <w:kern w:val="2"/>
      <w:sz w:val="24"/>
      <w:szCs w:val="24"/>
      <w:lang w:eastAsia="zh-CN" w:bidi="hi-IN"/>
    </w:rPr>
  </w:style>
  <w:style w:type="character" w:customStyle="1" w:styleId="BodyTextChar">
    <w:name w:val="Body Text Char"/>
    <w:basedOn w:val="DefaultParagraphFont"/>
    <w:link w:val="BodyText"/>
    <w:rsid w:val="00BF24DC"/>
    <w:rPr>
      <w:rFonts w:ascii="Liberation Serif" w:eastAsia="Noto Serif CJK SC" w:hAnsi="Liberation Serif" w:cs="Lohit Devanagari"/>
      <w:kern w:val="2"/>
      <w:sz w:val="24"/>
      <w:szCs w:val="24"/>
      <w:lang w:eastAsia="zh-CN" w:bidi="hi-IN"/>
    </w:rPr>
  </w:style>
  <w:style w:type="paragraph" w:customStyle="1" w:styleId="PreformattedText">
    <w:name w:val="Preformatted Text"/>
    <w:basedOn w:val="Normal"/>
    <w:qFormat/>
    <w:rsid w:val="00BF24DC"/>
    <w:pPr>
      <w:suppressAutoHyphens/>
      <w:spacing w:after="0" w:line="240" w:lineRule="auto"/>
    </w:pPr>
    <w:rPr>
      <w:rFonts w:ascii="Liberation Mono" w:eastAsia="Noto Sans Mono CJK SC" w:hAnsi="Liberation Mono" w:cs="Liberation Mono"/>
      <w:kern w:val="2"/>
      <w:sz w:val="20"/>
      <w:szCs w:val="20"/>
      <w:lang w:eastAsia="zh-CN" w:bidi="hi-IN"/>
    </w:rPr>
  </w:style>
  <w:style w:type="paragraph" w:customStyle="1" w:styleId="TableContents">
    <w:name w:val="Table Contents"/>
    <w:basedOn w:val="Normal"/>
    <w:qFormat/>
    <w:rsid w:val="00BF24DC"/>
    <w:pPr>
      <w:widowControl w:val="0"/>
      <w:suppressLineNumbers/>
      <w:suppressAutoHyphens/>
      <w:spacing w:after="0" w:line="240" w:lineRule="auto"/>
    </w:pPr>
    <w:rPr>
      <w:rFonts w:ascii="Liberation Serif" w:eastAsia="Noto Serif CJK SC" w:hAnsi="Liberation Serif" w:cs="Lohit Devanagari"/>
      <w:kern w:val="2"/>
      <w:sz w:val="24"/>
      <w:szCs w:val="24"/>
      <w:lang w:eastAsia="zh-CN" w:bidi="hi-IN"/>
    </w:rPr>
  </w:style>
  <w:style w:type="paragraph" w:customStyle="1" w:styleId="TableHeading">
    <w:name w:val="Table Heading"/>
    <w:basedOn w:val="TableContents"/>
    <w:qFormat/>
    <w:rsid w:val="00BF24DC"/>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2338">
      <w:bodyDiv w:val="1"/>
      <w:marLeft w:val="0"/>
      <w:marRight w:val="0"/>
      <w:marTop w:val="0"/>
      <w:marBottom w:val="0"/>
      <w:divBdr>
        <w:top w:val="none" w:sz="0" w:space="0" w:color="auto"/>
        <w:left w:val="none" w:sz="0" w:space="0" w:color="auto"/>
        <w:bottom w:val="none" w:sz="0" w:space="0" w:color="auto"/>
        <w:right w:val="none" w:sz="0" w:space="0" w:color="auto"/>
      </w:divBdr>
    </w:div>
    <w:div w:id="163327440">
      <w:bodyDiv w:val="1"/>
      <w:marLeft w:val="0"/>
      <w:marRight w:val="0"/>
      <w:marTop w:val="0"/>
      <w:marBottom w:val="0"/>
      <w:divBdr>
        <w:top w:val="none" w:sz="0" w:space="0" w:color="auto"/>
        <w:left w:val="none" w:sz="0" w:space="0" w:color="auto"/>
        <w:bottom w:val="none" w:sz="0" w:space="0" w:color="auto"/>
        <w:right w:val="none" w:sz="0" w:space="0" w:color="auto"/>
      </w:divBdr>
    </w:div>
    <w:div w:id="430667725">
      <w:bodyDiv w:val="1"/>
      <w:marLeft w:val="0"/>
      <w:marRight w:val="0"/>
      <w:marTop w:val="0"/>
      <w:marBottom w:val="0"/>
      <w:divBdr>
        <w:top w:val="none" w:sz="0" w:space="0" w:color="auto"/>
        <w:left w:val="none" w:sz="0" w:space="0" w:color="auto"/>
        <w:bottom w:val="none" w:sz="0" w:space="0" w:color="auto"/>
        <w:right w:val="none" w:sz="0" w:space="0" w:color="auto"/>
      </w:divBdr>
    </w:div>
    <w:div w:id="940991614">
      <w:bodyDiv w:val="1"/>
      <w:marLeft w:val="0"/>
      <w:marRight w:val="0"/>
      <w:marTop w:val="0"/>
      <w:marBottom w:val="0"/>
      <w:divBdr>
        <w:top w:val="none" w:sz="0" w:space="0" w:color="auto"/>
        <w:left w:val="none" w:sz="0" w:space="0" w:color="auto"/>
        <w:bottom w:val="none" w:sz="0" w:space="0" w:color="auto"/>
        <w:right w:val="none" w:sz="0" w:space="0" w:color="auto"/>
      </w:divBdr>
    </w:div>
    <w:div w:id="980037202">
      <w:bodyDiv w:val="1"/>
      <w:marLeft w:val="0"/>
      <w:marRight w:val="0"/>
      <w:marTop w:val="0"/>
      <w:marBottom w:val="0"/>
      <w:divBdr>
        <w:top w:val="none" w:sz="0" w:space="0" w:color="auto"/>
        <w:left w:val="none" w:sz="0" w:space="0" w:color="auto"/>
        <w:bottom w:val="none" w:sz="0" w:space="0" w:color="auto"/>
        <w:right w:val="none" w:sz="0" w:space="0" w:color="auto"/>
      </w:divBdr>
    </w:div>
    <w:div w:id="1141313000">
      <w:bodyDiv w:val="1"/>
      <w:marLeft w:val="0"/>
      <w:marRight w:val="0"/>
      <w:marTop w:val="0"/>
      <w:marBottom w:val="0"/>
      <w:divBdr>
        <w:top w:val="none" w:sz="0" w:space="0" w:color="auto"/>
        <w:left w:val="none" w:sz="0" w:space="0" w:color="auto"/>
        <w:bottom w:val="none" w:sz="0" w:space="0" w:color="auto"/>
        <w:right w:val="none" w:sz="0" w:space="0" w:color="auto"/>
      </w:divBdr>
    </w:div>
    <w:div w:id="1169367505">
      <w:bodyDiv w:val="1"/>
      <w:marLeft w:val="0"/>
      <w:marRight w:val="0"/>
      <w:marTop w:val="0"/>
      <w:marBottom w:val="0"/>
      <w:divBdr>
        <w:top w:val="none" w:sz="0" w:space="0" w:color="auto"/>
        <w:left w:val="none" w:sz="0" w:space="0" w:color="auto"/>
        <w:bottom w:val="none" w:sz="0" w:space="0" w:color="auto"/>
        <w:right w:val="none" w:sz="0" w:space="0" w:color="auto"/>
      </w:divBdr>
    </w:div>
    <w:div w:id="1279412563">
      <w:bodyDiv w:val="1"/>
      <w:marLeft w:val="0"/>
      <w:marRight w:val="0"/>
      <w:marTop w:val="0"/>
      <w:marBottom w:val="0"/>
      <w:divBdr>
        <w:top w:val="none" w:sz="0" w:space="0" w:color="auto"/>
        <w:left w:val="none" w:sz="0" w:space="0" w:color="auto"/>
        <w:bottom w:val="none" w:sz="0" w:space="0" w:color="auto"/>
        <w:right w:val="none" w:sz="0" w:space="0" w:color="auto"/>
      </w:divBdr>
    </w:div>
    <w:div w:id="1463158771">
      <w:bodyDiv w:val="1"/>
      <w:marLeft w:val="0"/>
      <w:marRight w:val="0"/>
      <w:marTop w:val="0"/>
      <w:marBottom w:val="0"/>
      <w:divBdr>
        <w:top w:val="none" w:sz="0" w:space="0" w:color="auto"/>
        <w:left w:val="none" w:sz="0" w:space="0" w:color="auto"/>
        <w:bottom w:val="none" w:sz="0" w:space="0" w:color="auto"/>
        <w:right w:val="none" w:sz="0" w:space="0" w:color="auto"/>
      </w:divBdr>
    </w:div>
    <w:div w:id="1471559117">
      <w:bodyDiv w:val="1"/>
      <w:marLeft w:val="0"/>
      <w:marRight w:val="0"/>
      <w:marTop w:val="0"/>
      <w:marBottom w:val="0"/>
      <w:divBdr>
        <w:top w:val="none" w:sz="0" w:space="0" w:color="auto"/>
        <w:left w:val="none" w:sz="0" w:space="0" w:color="auto"/>
        <w:bottom w:val="none" w:sz="0" w:space="0" w:color="auto"/>
        <w:right w:val="none" w:sz="0" w:space="0" w:color="auto"/>
      </w:divBdr>
    </w:div>
    <w:div w:id="1743218818">
      <w:bodyDiv w:val="1"/>
      <w:marLeft w:val="0"/>
      <w:marRight w:val="0"/>
      <w:marTop w:val="0"/>
      <w:marBottom w:val="0"/>
      <w:divBdr>
        <w:top w:val="none" w:sz="0" w:space="0" w:color="auto"/>
        <w:left w:val="none" w:sz="0" w:space="0" w:color="auto"/>
        <w:bottom w:val="none" w:sz="0" w:space="0" w:color="auto"/>
        <w:right w:val="none" w:sz="0" w:space="0" w:color="auto"/>
      </w:divBdr>
    </w:div>
    <w:div w:id="1743289650">
      <w:bodyDiv w:val="1"/>
      <w:marLeft w:val="0"/>
      <w:marRight w:val="0"/>
      <w:marTop w:val="0"/>
      <w:marBottom w:val="0"/>
      <w:divBdr>
        <w:top w:val="none" w:sz="0" w:space="0" w:color="auto"/>
        <w:left w:val="none" w:sz="0" w:space="0" w:color="auto"/>
        <w:bottom w:val="none" w:sz="0" w:space="0" w:color="auto"/>
        <w:right w:val="none" w:sz="0" w:space="0" w:color="auto"/>
      </w:divBdr>
    </w:div>
    <w:div w:id="2047488005">
      <w:bodyDiv w:val="1"/>
      <w:marLeft w:val="0"/>
      <w:marRight w:val="0"/>
      <w:marTop w:val="0"/>
      <w:marBottom w:val="0"/>
      <w:divBdr>
        <w:top w:val="none" w:sz="0" w:space="0" w:color="auto"/>
        <w:left w:val="none" w:sz="0" w:space="0" w:color="auto"/>
        <w:bottom w:val="none" w:sz="0" w:space="0" w:color="auto"/>
        <w:right w:val="none" w:sz="0" w:space="0" w:color="auto"/>
      </w:divBdr>
    </w:div>
    <w:div w:id="210306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sv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DB317D2DA340B1AF9BACDEE3AB05B6"/>
        <w:category>
          <w:name w:val="General"/>
          <w:gallery w:val="placeholder"/>
        </w:category>
        <w:types>
          <w:type w:val="bbPlcHdr"/>
        </w:types>
        <w:behaviors>
          <w:behavior w:val="content"/>
        </w:behaviors>
        <w:guid w:val="{46A77693-D3E8-468C-B253-5FB8596E7280}"/>
      </w:docPartPr>
      <w:docPartBody>
        <w:p w:rsidR="00C337DD" w:rsidRDefault="00C337DD">
          <w:r w:rsidRPr="00322167">
            <w:rPr>
              <w:rStyle w:val="PlaceholderText"/>
            </w:rPr>
            <w:t>[Title]</w:t>
          </w:r>
        </w:p>
      </w:docPartBody>
    </w:docPart>
    <w:docPart>
      <w:docPartPr>
        <w:name w:val="2D2D024BDF304EF58EB26857CD7A9952"/>
        <w:category>
          <w:name w:val="General"/>
          <w:gallery w:val="placeholder"/>
        </w:category>
        <w:types>
          <w:type w:val="bbPlcHdr"/>
        </w:types>
        <w:behaviors>
          <w:behavior w:val="content"/>
        </w:behaviors>
        <w:guid w:val="{0ACB7B68-71CD-44C4-B04C-91E1C95D966F}"/>
      </w:docPartPr>
      <w:docPartBody>
        <w:p w:rsidR="00EC6E4F" w:rsidRDefault="00AA5C14" w:rsidP="00AA5C14">
          <w:pPr>
            <w:pStyle w:val="2D2D024BDF304EF58EB26857CD7A9952"/>
          </w:pPr>
          <w:r w:rsidRPr="0032216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B81"/>
    <w:rsid w:val="00070D8C"/>
    <w:rsid w:val="000A06C3"/>
    <w:rsid w:val="000E153A"/>
    <w:rsid w:val="0012162E"/>
    <w:rsid w:val="00166B52"/>
    <w:rsid w:val="001D03DD"/>
    <w:rsid w:val="00244BF6"/>
    <w:rsid w:val="002A7F11"/>
    <w:rsid w:val="00327D8C"/>
    <w:rsid w:val="00333799"/>
    <w:rsid w:val="003668FC"/>
    <w:rsid w:val="00435A0B"/>
    <w:rsid w:val="004435EA"/>
    <w:rsid w:val="00461E16"/>
    <w:rsid w:val="00475DED"/>
    <w:rsid w:val="00497932"/>
    <w:rsid w:val="00507084"/>
    <w:rsid w:val="00530E2B"/>
    <w:rsid w:val="00551830"/>
    <w:rsid w:val="005660C1"/>
    <w:rsid w:val="005A0B81"/>
    <w:rsid w:val="005B5F11"/>
    <w:rsid w:val="005D2C98"/>
    <w:rsid w:val="005F7F04"/>
    <w:rsid w:val="0060605B"/>
    <w:rsid w:val="00634F4C"/>
    <w:rsid w:val="00652F08"/>
    <w:rsid w:val="00657D92"/>
    <w:rsid w:val="0066452D"/>
    <w:rsid w:val="007625F0"/>
    <w:rsid w:val="007E4D95"/>
    <w:rsid w:val="008049B1"/>
    <w:rsid w:val="00804C10"/>
    <w:rsid w:val="00834CFC"/>
    <w:rsid w:val="00862C75"/>
    <w:rsid w:val="0088497B"/>
    <w:rsid w:val="00965981"/>
    <w:rsid w:val="00A24F4A"/>
    <w:rsid w:val="00A25448"/>
    <w:rsid w:val="00A27109"/>
    <w:rsid w:val="00A34D6F"/>
    <w:rsid w:val="00A418A0"/>
    <w:rsid w:val="00AA5C14"/>
    <w:rsid w:val="00AF5996"/>
    <w:rsid w:val="00BE10B5"/>
    <w:rsid w:val="00C01F25"/>
    <w:rsid w:val="00C337DD"/>
    <w:rsid w:val="00C46CFB"/>
    <w:rsid w:val="00CE5B7F"/>
    <w:rsid w:val="00D45FE7"/>
    <w:rsid w:val="00DA104D"/>
    <w:rsid w:val="00DA7D59"/>
    <w:rsid w:val="00E16680"/>
    <w:rsid w:val="00E962D2"/>
    <w:rsid w:val="00EA637B"/>
    <w:rsid w:val="00EC6E4F"/>
    <w:rsid w:val="00EC7A82"/>
    <w:rsid w:val="00EE6C65"/>
    <w:rsid w:val="00EF6149"/>
    <w:rsid w:val="00F80FA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60C1"/>
    <w:rPr>
      <w:color w:val="808080"/>
    </w:rPr>
  </w:style>
  <w:style w:type="paragraph" w:customStyle="1" w:styleId="2D2D024BDF304EF58EB26857CD7A9952">
    <w:name w:val="2D2D024BDF304EF58EB26857CD7A9952"/>
    <w:rsid w:val="00AA5C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ew JSA purple fix">
      <a:dk1>
        <a:sysClr val="windowText" lastClr="000000"/>
      </a:dk1>
      <a:lt1>
        <a:sysClr val="window" lastClr="FFFFFF"/>
      </a:lt1>
      <a:dk2>
        <a:srgbClr val="4B0885"/>
      </a:dk2>
      <a:lt2>
        <a:srgbClr val="D2DE5A"/>
      </a:lt2>
      <a:accent1>
        <a:srgbClr val="6929C4"/>
      </a:accent1>
      <a:accent2>
        <a:srgbClr val="009D9A"/>
      </a:accent2>
      <a:accent3>
        <a:srgbClr val="012749"/>
      </a:accent3>
      <a:accent4>
        <a:srgbClr val="EE538B"/>
      </a:accent4>
      <a:accent5>
        <a:srgbClr val="1192E8"/>
      </a:accent5>
      <a:accent6>
        <a:srgbClr val="9F1853"/>
      </a:accent6>
      <a:hlink>
        <a:srgbClr val="013D74"/>
      </a:hlink>
      <a:folHlink>
        <a:srgbClr val="4B0885"/>
      </a:folHlink>
    </a:clrScheme>
    <a:fontScheme name="JSA New">
      <a:majorFont>
        <a:latin typeface="Arial Nova"/>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7969768-62ab-487f-bc7f-8e9e347fcb75" xsi:nil="true"/>
    <lcf76f155ced4ddcb4097134ff3c332f xmlns="e6bf2c1d-728b-424e-a97d-9d92898636bc">
      <Terms xmlns="http://schemas.microsoft.com/office/infopath/2007/PartnerControls"/>
    </lcf76f155ced4ddcb4097134ff3c332f>
    <Datereceived xmlns="e6bf2c1d-728b-424e-a97d-9d92898636bc" xsi:nil="true"/>
    <Datecreated xmlns="e6bf2c1d-728b-424e-a97d-9d92898636b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956F3758DD80545AA4315279A62C891" ma:contentTypeVersion="22" ma:contentTypeDescription="Create a new document." ma:contentTypeScope="" ma:versionID="f10ce72e57e368e4c9863d2cf11f8cde">
  <xsd:schema xmlns:xsd="http://www.w3.org/2001/XMLSchema" xmlns:xs="http://www.w3.org/2001/XMLSchema" xmlns:p="http://schemas.microsoft.com/office/2006/metadata/properties" xmlns:ns2="27969768-62ab-487f-bc7f-8e9e347fcb75" xmlns:ns3="e6bf2c1d-728b-424e-a97d-9d92898636bc" targetNamespace="http://schemas.microsoft.com/office/2006/metadata/properties" ma:root="true" ma:fieldsID="5585ccd50ae92fdcf3f3c82dd75e16ed" ns2:_="" ns3:_="">
    <xsd:import namespace="27969768-62ab-487f-bc7f-8e9e347fcb75"/>
    <xsd:import namespace="e6bf2c1d-728b-424e-a97d-9d92898636b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Datereceived" minOccurs="0"/>
                <xsd:element ref="ns3:Datecreated"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969768-62ab-487f-bc7f-8e9e347fcb7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992c5d9-485d-48d0-933c-17dba4fde91a}" ma:internalName="TaxCatchAll" ma:showField="CatchAllData" ma:web="27969768-62ab-487f-bc7f-8e9e347fcb7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bf2c1d-728b-424e-a97d-9d92898636b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atereceived" ma:index="26" nillable="true" ma:displayName="Date received" ma:description="Date received from Nous." ma:format="DateOnly" ma:internalName="Datereceived">
      <xsd:simpleType>
        <xsd:restriction base="dms:DateTime"/>
      </xsd:simpleType>
    </xsd:element>
    <xsd:element name="Datecreated" ma:index="27" nillable="true" ma:displayName="Date created" ma:description="Date the document was first created. If unsure of exact day, use the 1st of that month." ma:format="DateOnly" ma:internalName="Datecreated">
      <xsd:simpleType>
        <xsd:restriction base="dms:DateTim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767044-9AD2-45C6-9990-EA8601577B6B}">
  <ds:schemaRefs>
    <ds:schemaRef ds:uri="http://schemas.microsoft.com/sharepoint/v3/contenttype/forms"/>
  </ds:schemaRefs>
</ds:datastoreItem>
</file>

<file path=customXml/itemProps2.xml><?xml version="1.0" encoding="utf-8"?>
<ds:datastoreItem xmlns:ds="http://schemas.openxmlformats.org/officeDocument/2006/customXml" ds:itemID="{44083749-92F8-4312-917A-7ED321D5BB6C}">
  <ds:schemaRefs>
    <ds:schemaRef ds:uri="http://schemas.microsoft.com/office/2006/metadata/properties"/>
    <ds:schemaRef ds:uri="http://schemas.microsoft.com/office/infopath/2007/PartnerControls"/>
    <ds:schemaRef ds:uri="27969768-62ab-487f-bc7f-8e9e347fcb75"/>
    <ds:schemaRef ds:uri="e6bf2c1d-728b-424e-a97d-9d92898636bc"/>
  </ds:schemaRefs>
</ds:datastoreItem>
</file>

<file path=customXml/itemProps3.xml><?xml version="1.0" encoding="utf-8"?>
<ds:datastoreItem xmlns:ds="http://schemas.openxmlformats.org/officeDocument/2006/customXml" ds:itemID="{03CD174A-DF8D-45B2-A472-5D93840213C4}">
  <ds:schemaRefs>
    <ds:schemaRef ds:uri="http://schemas.openxmlformats.org/officeDocument/2006/bibliography"/>
  </ds:schemaRefs>
</ds:datastoreItem>
</file>

<file path=customXml/itemProps4.xml><?xml version="1.0" encoding="utf-8"?>
<ds:datastoreItem xmlns:ds="http://schemas.openxmlformats.org/officeDocument/2006/customXml" ds:itemID="{6F56D6CC-6902-480C-95A3-C0E0D0EAAB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969768-62ab-487f-bc7f-8e9e347fcb75"/>
    <ds:schemaRef ds:uri="e6bf2c1d-728b-424e-a97d-9d9289863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6667</TotalTime>
  <Pages>10</Pages>
  <Words>2576</Words>
  <Characters>16746</Characters>
  <Application>Microsoft Office Word</Application>
  <DocSecurity>0</DocSecurity>
  <Lines>418</Lines>
  <Paragraphs>301</Paragraphs>
  <ScaleCrop>false</ScaleCrop>
  <HeadingPairs>
    <vt:vector size="2" baseType="variant">
      <vt:variant>
        <vt:lpstr>Title</vt:lpstr>
      </vt:variant>
      <vt:variant>
        <vt:i4>1</vt:i4>
      </vt:variant>
    </vt:vector>
  </HeadingPairs>
  <TitlesOfParts>
    <vt:vector size="1" baseType="lpstr">
      <vt:lpstr>VET to Uni rapid test</vt:lpstr>
    </vt:vector>
  </TitlesOfParts>
  <Company>JSA</Company>
  <LinksUpToDate>false</LinksUpToDate>
  <CharactersWithSpaces>19021</CharactersWithSpaces>
  <SharedDoc>false</SharedDoc>
  <HLinks>
    <vt:vector size="12" baseType="variant">
      <vt:variant>
        <vt:i4>2162787</vt:i4>
      </vt:variant>
      <vt:variant>
        <vt:i4>3</vt:i4>
      </vt:variant>
      <vt:variant>
        <vt:i4>0</vt:i4>
      </vt:variant>
      <vt:variant>
        <vt:i4>5</vt:i4>
      </vt:variant>
      <vt:variant>
        <vt:lpwstr>https://www.canberra.edu.au/course/933AA/4/2026</vt:lpwstr>
      </vt:variant>
      <vt:variant>
        <vt:lpwstr/>
      </vt:variant>
      <vt:variant>
        <vt:i4>1572892</vt:i4>
      </vt:variant>
      <vt:variant>
        <vt:i4>0</vt:i4>
      </vt:variant>
      <vt:variant>
        <vt:i4>0</vt:i4>
      </vt:variant>
      <vt:variant>
        <vt:i4>5</vt:i4>
      </vt:variant>
      <vt:variant>
        <vt:lpwstr>https://training.gov.au/training/details/BSB50120/qualdetails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 to Uni rapid test</dc:title>
  <dc:subject>Report</dc:subject>
  <dc:creator>JSA</dc:creator>
  <cp:keywords>JSA report template</cp:keywords>
  <dc:description>Use this template to create a JSA report</dc:description>
  <cp:lastModifiedBy>MOHEBI,Ehsan</cp:lastModifiedBy>
  <cp:revision>54</cp:revision>
  <cp:lastPrinted>2025-05-03T03:26:00Z</cp:lastPrinted>
  <dcterms:created xsi:type="dcterms:W3CDTF">2025-10-13T01:46:00Z</dcterms:created>
  <dcterms:modified xsi:type="dcterms:W3CDTF">2026-02-20T01:41:00Z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2022-09-15T23:55:34Z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f75a6c9c-2dc5-4226-aa17-a78cb4793ba6</vt:lpwstr>
  </property>
  <property fmtid="{D5CDD505-2E9C-101B-9397-08002B2CF9AE}" pid="8" name="MSIP_Label_79d889eb-932f-4752-8739-64d25806ef64_ContentBits">
    <vt:lpwstr>0</vt:lpwstr>
  </property>
  <property fmtid="{D5CDD505-2E9C-101B-9397-08002B2CF9AE}" pid="9" name="MediaServiceImageTags">
    <vt:lpwstr/>
  </property>
  <property fmtid="{D5CDD505-2E9C-101B-9397-08002B2CF9AE}" pid="10" name="ContentTypeId">
    <vt:lpwstr>0x0101006956F3758DD80545AA4315279A62C891</vt:lpwstr>
  </property>
  <property fmtid="{D5CDD505-2E9C-101B-9397-08002B2CF9AE}" pid="11" name="docLang">
    <vt:lpwstr>en</vt:lpwstr>
  </property>
</Properties>
</file>