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CHEM 58103 Biochemistry I</w:t>
      </w:r>
    </w:p>
    <w:p>
      <w:pPr>
        <w:spacing w:after="220"/>
        <w:jc w:val="center"/>
      </w:pPr>
      <w:r>
        <w:rPr>
          <w:b/>
          <w:sz w:val="26"/>
        </w:rPr>
        <w:t>Fall 2026 Syllabus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088"/>
            <w:vAlign w:val="center"/>
            <w:tcMar>
              <w:top w:w="95" w:type="dxa"/>
              <w:start w:w="110" w:type="dxa"/>
              <w:bottom w:w="95" w:type="dxa"/>
              <w:end w:w="110" w:type="dxa"/>
            </w:tcMar>
            <w:shd w:fill="E8EEF4"/>
          </w:tcPr>
          <w:p>
            <w:pPr>
              <w:keepLines/>
              <w:spacing w:after="0" w:before="0" w:line="259" w:lineRule="auto"/>
              <w:jc w:val="left"/>
            </w:pPr>
            <w:r>
              <w:rPr>
                <w:rFonts w:ascii="Aptos" w:hAnsi="Aptos"/>
                <w:b/>
                <w:color w:val="000000"/>
                <w:sz w:val="19"/>
              </w:rPr>
              <w:t>Course listing</w:t>
            </w:r>
          </w:p>
        </w:tc>
        <w:tc>
          <w:tcPr>
            <w:tcW w:type="dxa" w:w="7992"/>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9"/>
              </w:rPr>
              <w:t>CHEM 58103 and CHEM 481H3</w:t>
            </w:r>
          </w:p>
        </w:tc>
      </w:tr>
      <w:tr>
        <w:trPr>
          <w:cantSplit/>
        </w:trPr>
        <w:tc>
          <w:tcPr>
            <w:tcW w:type="dxa" w:w="2088"/>
            <w:vAlign w:val="center"/>
            <w:tcMar>
              <w:top w:w="95" w:type="dxa"/>
              <w:start w:w="110" w:type="dxa"/>
              <w:bottom w:w="95" w:type="dxa"/>
              <w:end w:w="110" w:type="dxa"/>
            </w:tcMar>
            <w:shd w:fill="E8EEF4"/>
          </w:tcPr>
          <w:p>
            <w:pPr>
              <w:keepLines/>
              <w:spacing w:after="0" w:before="0" w:line="259" w:lineRule="auto"/>
              <w:jc w:val="left"/>
            </w:pPr>
            <w:r>
              <w:rPr>
                <w:rFonts w:ascii="Aptos" w:hAnsi="Aptos"/>
                <w:b/>
                <w:color w:val="000000"/>
                <w:sz w:val="19"/>
              </w:rPr>
              <w:t>Instructor</w:t>
            </w:r>
          </w:p>
        </w:tc>
        <w:tc>
          <w:tcPr>
            <w:tcW w:type="dxa" w:w="7992"/>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9"/>
              </w:rPr>
              <w:t>Yizhi Sun, Assistant Professor of Biochemistry</w:t>
            </w:r>
          </w:p>
        </w:tc>
      </w:tr>
      <w:tr>
        <w:trPr>
          <w:cantSplit/>
        </w:trPr>
        <w:tc>
          <w:tcPr>
            <w:tcW w:type="dxa" w:w="2088"/>
            <w:vAlign w:val="center"/>
            <w:tcMar>
              <w:top w:w="95" w:type="dxa"/>
              <w:start w:w="110" w:type="dxa"/>
              <w:bottom w:w="95" w:type="dxa"/>
              <w:end w:w="110" w:type="dxa"/>
            </w:tcMar>
            <w:shd w:fill="E8EEF4"/>
          </w:tcPr>
          <w:p>
            <w:pPr>
              <w:keepLines/>
              <w:spacing w:after="0" w:before="0" w:line="259" w:lineRule="auto"/>
              <w:jc w:val="left"/>
            </w:pPr>
            <w:r>
              <w:rPr>
                <w:rFonts w:ascii="Aptos" w:hAnsi="Aptos"/>
                <w:b/>
                <w:color w:val="000000"/>
                <w:sz w:val="19"/>
              </w:rPr>
              <w:t>Email</w:t>
            </w:r>
          </w:p>
        </w:tc>
        <w:tc>
          <w:tcPr>
            <w:tcW w:type="dxa" w:w="7992"/>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9"/>
              </w:rPr>
              <w:t>yizhis@uark.edu</w:t>
            </w:r>
          </w:p>
        </w:tc>
      </w:tr>
      <w:tr>
        <w:trPr>
          <w:cantSplit/>
        </w:trPr>
        <w:tc>
          <w:tcPr>
            <w:tcW w:type="dxa" w:w="2088"/>
            <w:vAlign w:val="center"/>
            <w:tcMar>
              <w:top w:w="95" w:type="dxa"/>
              <w:start w:w="110" w:type="dxa"/>
              <w:bottom w:w="95" w:type="dxa"/>
              <w:end w:w="110" w:type="dxa"/>
            </w:tcMar>
            <w:shd w:fill="E8EEF4"/>
          </w:tcPr>
          <w:p>
            <w:pPr>
              <w:keepLines/>
              <w:spacing w:after="0" w:before="0" w:line="259" w:lineRule="auto"/>
              <w:jc w:val="left"/>
            </w:pPr>
            <w:r>
              <w:rPr>
                <w:rFonts w:ascii="Aptos" w:hAnsi="Aptos"/>
                <w:b/>
                <w:color w:val="000000"/>
                <w:sz w:val="19"/>
              </w:rPr>
              <w:t>Class schedule</w:t>
            </w:r>
          </w:p>
        </w:tc>
        <w:tc>
          <w:tcPr>
            <w:tcW w:type="dxa" w:w="7992"/>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9"/>
              </w:rPr>
              <w:t>Monday, Wednesday, and Friday, 2:00-2:50 p.m.</w:t>
            </w:r>
          </w:p>
        </w:tc>
      </w:tr>
      <w:tr>
        <w:trPr>
          <w:cantSplit/>
        </w:trPr>
        <w:tc>
          <w:tcPr>
            <w:tcW w:type="dxa" w:w="2088"/>
            <w:vAlign w:val="center"/>
            <w:tcMar>
              <w:top w:w="95" w:type="dxa"/>
              <w:start w:w="110" w:type="dxa"/>
              <w:bottom w:w="95" w:type="dxa"/>
              <w:end w:w="110" w:type="dxa"/>
            </w:tcMar>
            <w:shd w:fill="E8EEF4"/>
          </w:tcPr>
          <w:p>
            <w:pPr>
              <w:keepLines/>
              <w:spacing w:after="0" w:before="0" w:line="259" w:lineRule="auto"/>
              <w:jc w:val="left"/>
            </w:pPr>
            <w:r>
              <w:rPr>
                <w:rFonts w:ascii="Aptos" w:hAnsi="Aptos"/>
                <w:b/>
                <w:color w:val="000000"/>
                <w:sz w:val="19"/>
              </w:rPr>
              <w:t>Location</w:t>
            </w:r>
          </w:p>
        </w:tc>
        <w:tc>
          <w:tcPr>
            <w:tcW w:type="dxa" w:w="7992"/>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9"/>
              </w:rPr>
              <w:t>SCEN 402</w:t>
            </w:r>
          </w:p>
        </w:tc>
      </w:tr>
    </w:tbl>
    <w:p>
      <w:pPr>
        <w:spacing w:before="160" w:after="140" w:line="269" w:lineRule="auto"/>
      </w:pPr>
      <w:r>
        <w:t>This syllabus uses CHEM 58103 as the primary course title. The instructor's paper syllabus lists the combined CHEM 481H3 and CHEM 58103 offering.</w:t>
      </w:r>
    </w:p>
    <w:p>
      <w:pPr>
        <w:pStyle w:val="Heading1"/>
        <w:keepNext/>
        <w:spacing w:before="220" w:after="80"/>
      </w:pPr>
      <w:r>
        <w:rPr>
          <w:color w:val="000000"/>
        </w:rPr>
        <w:t>Course Description</w:t>
      </w:r>
    </w:p>
    <w:p>
      <w:pPr>
        <w:spacing w:after="120" w:line="269" w:lineRule="auto"/>
      </w:pPr>
      <w:r>
        <w:t>Biochemistry is the study of the chemistry of life processes. This course explores the basic molecules in biochemistry, including proteins, enzymes, DNA, RNA, carbohydrates, and lipids, as well as their association with human health.</w:t>
      </w:r>
    </w:p>
    <w:p>
      <w:pPr>
        <w:pStyle w:val="Heading1"/>
        <w:keepNext/>
        <w:spacing w:before="220" w:after="80"/>
      </w:pPr>
      <w:r>
        <w:rPr>
          <w:color w:val="000000"/>
        </w:rPr>
        <w:t>Textbook</w:t>
      </w:r>
    </w:p>
    <w:p>
      <w:pPr>
        <w:spacing w:after="120" w:line="269" w:lineRule="auto"/>
      </w:pPr>
      <w:r>
        <w:t>Berg, Tymoczko, Gatto, and Stryer, Biochemistry, 9th edition.</w:t>
      </w:r>
    </w:p>
    <w:p>
      <w:pPr>
        <w:pStyle w:val="Heading1"/>
        <w:keepNext/>
        <w:spacing w:before="220" w:after="80"/>
      </w:pPr>
      <w:r>
        <w:rPr>
          <w:color w:val="000000"/>
        </w:rPr>
        <w:t>Grading Plan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8064"/>
            <w:vAlign w:val="center"/>
            <w:tcMar>
              <w:top w:w="95" w:type="dxa"/>
              <w:start w:w="110" w:type="dxa"/>
              <w:bottom w:w="95" w:type="dxa"/>
              <w:end w:w="110" w:type="dxa"/>
            </w:tcMar>
            <w:shd w:fill="333F50"/>
          </w:tcPr>
          <w:p>
            <w:pPr>
              <w:keepLines/>
              <w:spacing w:after="0" w:before="0" w:line="259" w:lineRule="auto"/>
              <w:jc w:val="left"/>
            </w:pPr>
            <w:r>
              <w:rPr>
                <w:rFonts w:ascii="Aptos" w:hAnsi="Aptos"/>
                <w:b/>
                <w:color w:val="FFFFFF"/>
                <w:sz w:val="19"/>
              </w:rPr>
              <w:t>Course component</w:t>
            </w:r>
          </w:p>
        </w:tc>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Weight</w:t>
            </w:r>
          </w:p>
        </w:tc>
      </w:tr>
      <w:tr>
        <w:trPr>
          <w:cantSplit/>
        </w:trPr>
        <w:tc>
          <w:tcPr>
            <w:tcW w:type="dxa" w:w="806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9"/>
              </w:rPr>
              <w:t>Attendance</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color w:val="000000"/>
                <w:sz w:val="19"/>
              </w:rPr>
              <w:t>10%</w:t>
            </w:r>
          </w:p>
        </w:tc>
      </w:tr>
      <w:tr>
        <w:trPr>
          <w:cantSplit/>
        </w:trPr>
        <w:tc>
          <w:tcPr>
            <w:tcW w:type="dxa" w:w="806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9"/>
              </w:rPr>
              <w:t>Exam I</w:t>
            </w:r>
          </w:p>
        </w:tc>
        <w:tc>
          <w:tcPr>
            <w:tcW w:type="dxa" w:w="2016"/>
            <w:vAlign w:val="center"/>
            <w:tcMar>
              <w:top w:w="95" w:type="dxa"/>
              <w:start w:w="110" w:type="dxa"/>
              <w:bottom w:w="95" w:type="dxa"/>
              <w:end w:w="110" w:type="dxa"/>
            </w:tcMar>
            <w:shd w:fill="F3F6F9"/>
          </w:tcPr>
          <w:p>
            <w:pPr>
              <w:keepLines/>
              <w:spacing w:after="0" w:before="0" w:line="259" w:lineRule="auto"/>
              <w:jc w:val="center"/>
            </w:pPr>
            <w:r>
              <w:rPr>
                <w:rFonts w:ascii="Aptos" w:hAnsi="Aptos"/>
                <w:b/>
                <w:color w:val="000000"/>
                <w:sz w:val="19"/>
              </w:rPr>
              <w:t>20%</w:t>
            </w:r>
          </w:p>
        </w:tc>
      </w:tr>
      <w:tr>
        <w:trPr>
          <w:cantSplit/>
        </w:trPr>
        <w:tc>
          <w:tcPr>
            <w:tcW w:type="dxa" w:w="806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9"/>
              </w:rPr>
              <w:t>Exam II</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color w:val="000000"/>
                <w:sz w:val="19"/>
              </w:rPr>
              <w:t>20%</w:t>
            </w:r>
          </w:p>
        </w:tc>
      </w:tr>
      <w:tr>
        <w:trPr>
          <w:cantSplit/>
        </w:trPr>
        <w:tc>
          <w:tcPr>
            <w:tcW w:type="dxa" w:w="806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9"/>
              </w:rPr>
              <w:t>Exam III</w:t>
            </w:r>
          </w:p>
        </w:tc>
        <w:tc>
          <w:tcPr>
            <w:tcW w:type="dxa" w:w="2016"/>
            <w:vAlign w:val="center"/>
            <w:tcMar>
              <w:top w:w="95" w:type="dxa"/>
              <w:start w:w="110" w:type="dxa"/>
              <w:bottom w:w="95" w:type="dxa"/>
              <w:end w:w="110" w:type="dxa"/>
            </w:tcMar>
            <w:shd w:fill="F3F6F9"/>
          </w:tcPr>
          <w:p>
            <w:pPr>
              <w:keepLines/>
              <w:spacing w:after="0" w:before="0" w:line="259" w:lineRule="auto"/>
              <w:jc w:val="center"/>
            </w:pPr>
            <w:r>
              <w:rPr>
                <w:rFonts w:ascii="Aptos" w:hAnsi="Aptos"/>
                <w:b/>
                <w:color w:val="000000"/>
                <w:sz w:val="19"/>
              </w:rPr>
              <w:t>20%</w:t>
            </w:r>
          </w:p>
        </w:tc>
      </w:tr>
      <w:tr>
        <w:trPr>
          <w:cantSplit/>
        </w:trPr>
        <w:tc>
          <w:tcPr>
            <w:tcW w:type="dxa" w:w="806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9"/>
              </w:rPr>
              <w:t>Final Exam</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color w:val="000000"/>
                <w:sz w:val="19"/>
              </w:rPr>
              <w:t>30%</w:t>
            </w:r>
          </w:p>
        </w:tc>
      </w:tr>
    </w:tbl>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A</w:t>
            </w:r>
          </w:p>
        </w:tc>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B</w:t>
            </w:r>
          </w:p>
        </w:tc>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C</w:t>
            </w:r>
          </w:p>
        </w:tc>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D</w:t>
            </w:r>
          </w:p>
        </w:tc>
        <w:tc>
          <w:tcPr>
            <w:tcW w:type="dxa" w:w="2016"/>
            <w:vAlign w:val="center"/>
            <w:tcMar>
              <w:top w:w="95" w:type="dxa"/>
              <w:start w:w="110" w:type="dxa"/>
              <w:bottom w:w="95" w:type="dxa"/>
              <w:end w:w="110" w:type="dxa"/>
            </w:tcMar>
            <w:shd w:fill="333F50"/>
          </w:tcPr>
          <w:p>
            <w:pPr>
              <w:keepLines/>
              <w:spacing w:after="0" w:before="0" w:line="259" w:lineRule="auto"/>
              <w:jc w:val="center"/>
            </w:pPr>
            <w:r>
              <w:rPr>
                <w:rFonts w:ascii="Aptos" w:hAnsi="Aptos"/>
                <w:b/>
                <w:color w:val="FFFFFF"/>
                <w:sz w:val="19"/>
              </w:rPr>
              <w:t>F</w:t>
            </w:r>
          </w:p>
        </w:tc>
      </w:tr>
      <w:tr>
        <w:trPr>
          <w:cantSplit/>
        </w:trPr>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9"/>
              </w:rPr>
              <w:t>90-100%</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9"/>
              </w:rPr>
              <w:t>75-89.9%</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9"/>
              </w:rPr>
              <w:t>60-74.9%</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9"/>
              </w:rPr>
              <w:t>40-59.9%</w:t>
            </w:r>
          </w:p>
        </w:tc>
        <w:tc>
          <w:tcPr>
            <w:tcW w:type="dxa" w:w="2016"/>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9"/>
              </w:rPr>
              <w:t>Below 40%</w:t>
            </w:r>
          </w:p>
        </w:tc>
      </w:tr>
    </w:tbl>
    <w:p>
      <w:pPr>
        <w:pStyle w:val="Heading1"/>
        <w:keepNext/>
        <w:spacing w:before="220" w:after="80"/>
      </w:pPr>
      <w:r>
        <w:rPr>
          <w:color w:val="000000"/>
        </w:rPr>
        <w:t>Examination Policy</w:t>
      </w:r>
    </w:p>
    <w:p>
      <w:pPr>
        <w:spacing w:after="120" w:line="269" w:lineRule="auto"/>
      </w:pPr>
      <w:r>
        <w:t>Exams will be given during the regular class time. Makeup exams are available only to students who have a legitimate excuse for missing an exam, such as illness, a university-sanctioned event out of town, or a death in the immediate family. Keep documentation to support an anticipated absence and notify the instructor before the exam. If an exam is missed unexpectedly because of a last-minute illness or accident, retain the necessary documentation.</w:t>
      </w:r>
    </w:p>
    <w:p>
      <w:pPr>
        <w:pStyle w:val="Heading1"/>
        <w:keepNext/>
        <w:spacing w:before="220" w:after="80"/>
      </w:pPr>
      <w:r>
        <w:rPr>
          <w:color w:val="000000"/>
        </w:rPr>
        <w:t>Academic Integrity</w:t>
      </w:r>
    </w:p>
    <w:p>
      <w:pPr>
        <w:spacing w:after="120" w:line="269" w:lineRule="auto"/>
      </w:pPr>
      <w:r>
        <w:t>As a core part of its mission, the University of Arkansas provides students with the opportunity to further their educational goals through programs of study and research in an environment that promotes freedom of inquiry and academic responsibility. Accomplishing this mission is only possible when intellectual honesty and individual integrity prevail. Each University of Arkansas student is required to be familiar with and abide by the University Academic Integrity Policy at http://honesty.uark.edu/policy.</w:t>
      </w:r>
    </w:p>
    <w:p>
      <w:r>
        <w:br w:type="page"/>
      </w:r>
    </w:p>
    <w:p>
      <w:pPr>
        <w:pStyle w:val="Heading1"/>
        <w:keepNext/>
        <w:spacing w:before="220" w:after="80"/>
      </w:pPr>
      <w:r>
        <w:rPr>
          <w:color w:val="000000"/>
        </w:rPr>
        <w:t>Tentative and Actual Course Progress</w:t>
      </w:r>
    </w:p>
    <w:p>
      <w:pPr>
        <w:spacing w:after="160"/>
      </w:pPr>
      <w:r>
        <w:t>The instructor may revise this schedule. The Actual Topics column will be updated from class records. Until a class meeting is documented, it remains marked Not yet recorded; no deviation is inferred.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20"/>
            <w:vAlign w:val="center"/>
            <w:tcMar>
              <w:top w:w="95" w:type="dxa"/>
              <w:start w:w="110" w:type="dxa"/>
              <w:bottom w:w="95" w:type="dxa"/>
              <w:end w:w="110" w:type="dxa"/>
            </w:tcMar>
            <w:shd w:fill="333F50"/>
          </w:tcPr>
          <w:p>
            <w:pPr>
              <w:keepLines/>
              <w:spacing w:after="0" w:before="0" w:line="259" w:lineRule="auto"/>
              <w:jc w:val="left"/>
            </w:pPr>
            <w:r>
              <w:rPr>
                <w:rFonts w:ascii="Aptos" w:hAnsi="Aptos"/>
                <w:b/>
                <w:color w:val="FFFFFF"/>
                <w:sz w:val="18"/>
              </w:rPr>
              <w:t>Week (Dates)</w:t>
            </w:r>
          </w:p>
        </w:tc>
        <w:tc>
          <w:tcPr>
            <w:tcW w:type="dxa" w:w="1080"/>
            <w:vAlign w:val="center"/>
            <w:tcMar>
              <w:top w:w="95" w:type="dxa"/>
              <w:start w:w="110" w:type="dxa"/>
              <w:bottom w:w="95" w:type="dxa"/>
              <w:end w:w="110" w:type="dxa"/>
            </w:tcMar>
            <w:shd w:fill="333F50"/>
          </w:tcPr>
          <w:p>
            <w:pPr>
              <w:keepLines/>
              <w:spacing w:after="0" w:before="0" w:line="259" w:lineRule="auto"/>
              <w:jc w:val="left"/>
            </w:pPr>
            <w:r>
              <w:rPr>
                <w:rFonts w:ascii="Aptos" w:hAnsi="Aptos"/>
                <w:b/>
                <w:color w:val="FFFFFF"/>
                <w:sz w:val="18"/>
              </w:rPr>
              <w:t>Chapters</w:t>
            </w:r>
          </w:p>
        </w:tc>
        <w:tc>
          <w:tcPr>
            <w:tcW w:type="dxa" w:w="3384"/>
            <w:vAlign w:val="center"/>
            <w:tcMar>
              <w:top w:w="95" w:type="dxa"/>
              <w:start w:w="110" w:type="dxa"/>
              <w:bottom w:w="95" w:type="dxa"/>
              <w:end w:w="110" w:type="dxa"/>
            </w:tcMar>
            <w:shd w:fill="333F50"/>
          </w:tcPr>
          <w:p>
            <w:pPr>
              <w:keepLines/>
              <w:spacing w:after="0" w:before="0" w:line="259" w:lineRule="auto"/>
              <w:jc w:val="left"/>
            </w:pPr>
            <w:r>
              <w:rPr>
                <w:rFonts w:ascii="Aptos" w:hAnsi="Aptos"/>
                <w:b/>
                <w:color w:val="FFFFFF"/>
                <w:sz w:val="18"/>
              </w:rPr>
              <w:t>Tentative Topics</w:t>
            </w:r>
          </w:p>
        </w:tc>
        <w:tc>
          <w:tcPr>
            <w:tcW w:type="dxa" w:w="3096"/>
            <w:vAlign w:val="center"/>
            <w:tcMar>
              <w:top w:w="95" w:type="dxa"/>
              <w:start w:w="110" w:type="dxa"/>
              <w:bottom w:w="95" w:type="dxa"/>
              <w:end w:w="110" w:type="dxa"/>
            </w:tcMar>
            <w:shd w:fill="333F50"/>
          </w:tcPr>
          <w:p>
            <w:pPr>
              <w:keepLines/>
              <w:spacing w:after="0" w:before="0" w:line="259" w:lineRule="auto"/>
              <w:jc w:val="left"/>
            </w:pPr>
            <w:r>
              <w:rPr>
                <w:rFonts w:ascii="Aptos" w:hAnsi="Aptos"/>
                <w:b/>
                <w:color w:val="FFFFFF"/>
                <w:sz w:val="18"/>
              </w:rPr>
              <w:t>Actual Topics</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1 (Aug. 17-21)</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1 and 2</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Introduction; amino acids and proteins</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2 (Aug. 24-28)</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3</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Protein analysis</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3 (Aug. 31-Sept. 4)</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4</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DNA and RNA</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4 (Sept. 7-11)</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5 and 6</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Gene and bioinformatics</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 (Sept. 11, 2:00-2:50 p.m.)</w:t>
            </w:r>
          </w:p>
        </w:tc>
        <w:tc>
          <w:tcPr>
            <w:tcW w:type="dxa" w:w="1080"/>
            <w:vAlign w:val="center"/>
            <w:tcMar>
              <w:top w:w="95" w:type="dxa"/>
              <w:start w:w="110" w:type="dxa"/>
              <w:bottom w:w="95" w:type="dxa"/>
              <w:end w:w="110" w:type="dxa"/>
            </w:tcMar>
            <w:shd w:fill="FCE8E6"/>
          </w:tcPr>
          <w:p>
            <w:pPr>
              <w:keepLines/>
              <w:spacing w:after="0" w:before="0" w:line="259" w:lineRule="auto"/>
              <w:jc w:val="center"/>
            </w:pPr>
            <w:r>
              <w:rPr>
                <w:rFonts w:ascii="Aptos" w:hAnsi="Aptos"/>
                <w:b/>
                <w:color w:val="000000"/>
                <w:sz w:val="16"/>
              </w:rPr>
              <w:t>2-6</w:t>
            </w:r>
          </w:p>
        </w:tc>
        <w:tc>
          <w:tcPr>
            <w:tcW w:type="dxa" w:w="3384"/>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 covering Chapters 2-6</w:t>
            </w:r>
          </w:p>
        </w:tc>
        <w:tc>
          <w:tcPr>
            <w:tcW w:type="dxa" w:w="3096"/>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Assessment</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5 (Sept. 14-18)</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7</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Hemoglobin</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6 (Sept. 21-25)</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8</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Enzymes: kinetics</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7 (Sept. 28-Oct. 2)</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9</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Enzymes: mechanism</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8 (Oct. 5-9)</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10</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Enzymes: regulation</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II (Oct. 9, 2:00-2:50 p.m.)</w:t>
            </w:r>
          </w:p>
        </w:tc>
        <w:tc>
          <w:tcPr>
            <w:tcW w:type="dxa" w:w="1080"/>
            <w:vAlign w:val="center"/>
            <w:tcMar>
              <w:top w:w="95" w:type="dxa"/>
              <w:start w:w="110" w:type="dxa"/>
              <w:bottom w:w="95" w:type="dxa"/>
              <w:end w:w="110" w:type="dxa"/>
            </w:tcMar>
            <w:shd w:fill="FCE8E6"/>
          </w:tcPr>
          <w:p>
            <w:pPr>
              <w:keepLines/>
              <w:spacing w:after="0" w:before="0" w:line="259" w:lineRule="auto"/>
              <w:jc w:val="center"/>
            </w:pPr>
            <w:r>
              <w:rPr>
                <w:rFonts w:ascii="Aptos" w:hAnsi="Aptos"/>
                <w:b/>
                <w:color w:val="000000"/>
                <w:sz w:val="16"/>
              </w:rPr>
              <w:t>7-10</w:t>
            </w:r>
          </w:p>
        </w:tc>
        <w:tc>
          <w:tcPr>
            <w:tcW w:type="dxa" w:w="3384"/>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II covering Chapters 7-10</w:t>
            </w:r>
          </w:p>
        </w:tc>
        <w:tc>
          <w:tcPr>
            <w:tcW w:type="dxa" w:w="3096"/>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Assessment</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9 (Oct. 12-16)</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11</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Carbohydrates</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10 (Oct. 19-23)</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12</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Lipid and membrane</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11 (Oct. 26-30)</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13</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Channels and pumps</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III (Oct. 30, 2:00-2:50 p.m.)</w:t>
            </w:r>
          </w:p>
        </w:tc>
        <w:tc>
          <w:tcPr>
            <w:tcW w:type="dxa" w:w="1080"/>
            <w:vAlign w:val="center"/>
            <w:tcMar>
              <w:top w:w="95" w:type="dxa"/>
              <w:start w:w="110" w:type="dxa"/>
              <w:bottom w:w="95" w:type="dxa"/>
              <w:end w:w="110" w:type="dxa"/>
            </w:tcMar>
            <w:shd w:fill="FCE8E6"/>
          </w:tcPr>
          <w:p>
            <w:pPr>
              <w:keepLines/>
              <w:spacing w:after="0" w:before="0" w:line="259" w:lineRule="auto"/>
              <w:jc w:val="center"/>
            </w:pPr>
            <w:r>
              <w:rPr>
                <w:rFonts w:ascii="Aptos" w:hAnsi="Aptos"/>
                <w:b/>
                <w:color w:val="000000"/>
                <w:sz w:val="16"/>
              </w:rPr>
              <w:t>11-13</w:t>
            </w:r>
          </w:p>
        </w:tc>
        <w:tc>
          <w:tcPr>
            <w:tcW w:type="dxa" w:w="3384"/>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Exam III covering Chapters 11-13</w:t>
            </w:r>
          </w:p>
        </w:tc>
        <w:tc>
          <w:tcPr>
            <w:tcW w:type="dxa" w:w="3096"/>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Assessment</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12 (Nov. 2-6)</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28</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DNA replication</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13 (Nov. 9-13)</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29</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RNA synthesis and processing</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14 (Nov. 16-20)</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30</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Protein synthesis</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Week 15 (Nov. 23-27)</w:t>
            </w:r>
          </w:p>
        </w:tc>
        <w:tc>
          <w:tcPr>
            <w:tcW w:type="dxa" w:w="1080"/>
            <w:vAlign w:val="center"/>
            <w:tcMar>
              <w:top w:w="95" w:type="dxa"/>
              <w:start w:w="110" w:type="dxa"/>
              <w:bottom w:w="95" w:type="dxa"/>
              <w:end w:w="110" w:type="dxa"/>
            </w:tcMar>
            <w:shd w:fill="F3F6F9"/>
          </w:tcPr>
          <w:p>
            <w:pPr>
              <w:keepLines/>
              <w:spacing w:after="0" w:before="0" w:line="259" w:lineRule="auto"/>
              <w:jc w:val="center"/>
            </w:pPr>
            <w:r>
              <w:rPr>
                <w:rFonts w:ascii="Aptos" w:hAnsi="Aptos"/>
                <w:b w:val="0"/>
                <w:color w:val="000000"/>
                <w:sz w:val="16"/>
              </w:rPr>
              <w:t>-</w:t>
            </w:r>
          </w:p>
        </w:tc>
        <w:tc>
          <w:tcPr>
            <w:tcW w:type="dxa" w:w="3384"/>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No class</w:t>
            </w:r>
          </w:p>
        </w:tc>
        <w:tc>
          <w:tcPr>
            <w:tcW w:type="dxa" w:w="3096"/>
            <w:vAlign w:val="center"/>
            <w:tcMar>
              <w:top w:w="95" w:type="dxa"/>
              <w:start w:w="110" w:type="dxa"/>
              <w:bottom w:w="95" w:type="dxa"/>
              <w:end w:w="110" w:type="dxa"/>
            </w:tcMar>
            <w:shd w:fill="F3F6F9"/>
          </w:tcPr>
          <w:p>
            <w:pPr>
              <w:keepLines/>
              <w:spacing w:after="0" w:before="0" w:line="259" w:lineRule="auto"/>
              <w:jc w:val="left"/>
            </w:pPr>
            <w:r>
              <w:rPr>
                <w:rFonts w:ascii="Aptos" w:hAnsi="Aptos"/>
                <w:b w:val="0"/>
                <w:color w:val="000000"/>
                <w:sz w:val="16"/>
              </w:rPr>
              <w:t>-</w:t>
            </w:r>
          </w:p>
        </w:tc>
      </w:tr>
      <w:tr>
        <w:trPr>
          <w:cantSplit/>
        </w:trPr>
        <w:tc>
          <w:tcPr>
            <w:tcW w:type="dxa" w:w="2520"/>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Week 16 (Nov. 30-Dec. 4)</w:t>
            </w:r>
          </w:p>
        </w:tc>
        <w:tc>
          <w:tcPr>
            <w:tcW w:type="dxa" w:w="1080"/>
            <w:vAlign w:val="center"/>
            <w:tcMar>
              <w:top w:w="95" w:type="dxa"/>
              <w:start w:w="110" w:type="dxa"/>
              <w:bottom w:w="95" w:type="dxa"/>
              <w:end w:w="110" w:type="dxa"/>
            </w:tcMar>
          </w:tcPr>
          <w:p>
            <w:pPr>
              <w:keepLines/>
              <w:spacing w:after="0" w:before="0" w:line="259" w:lineRule="auto"/>
              <w:jc w:val="center"/>
            </w:pPr>
            <w:r>
              <w:rPr>
                <w:rFonts w:ascii="Aptos" w:hAnsi="Aptos"/>
                <w:b w:val="0"/>
                <w:color w:val="000000"/>
                <w:sz w:val="16"/>
              </w:rPr>
              <w:t>-</w:t>
            </w:r>
          </w:p>
        </w:tc>
        <w:tc>
          <w:tcPr>
            <w:tcW w:type="dxa" w:w="3384"/>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Class review</w:t>
            </w:r>
          </w:p>
        </w:tc>
        <w:tc>
          <w:tcPr>
            <w:tcW w:type="dxa" w:w="3096"/>
            <w:vAlign w:val="center"/>
            <w:tcMar>
              <w:top w:w="95" w:type="dxa"/>
              <w:start w:w="110" w:type="dxa"/>
              <w:bottom w:w="95" w:type="dxa"/>
              <w:end w:w="110" w:type="dxa"/>
            </w:tcMar>
          </w:tcPr>
          <w:p>
            <w:pPr>
              <w:keepLines/>
              <w:spacing w:after="0" w:before="0" w:line="259" w:lineRule="auto"/>
              <w:jc w:val="left"/>
            </w:pPr>
            <w:r>
              <w:rPr>
                <w:rFonts w:ascii="Aptos" w:hAnsi="Aptos"/>
                <w:b w:val="0"/>
                <w:color w:val="000000"/>
                <w:sz w:val="16"/>
              </w:rPr>
              <w:t>Not yet recorded</w:t>
            </w:r>
          </w:p>
        </w:tc>
      </w:tr>
      <w:tr>
        <w:trPr>
          <w:cantSplit/>
        </w:trPr>
        <w:tc>
          <w:tcPr>
            <w:tcW w:type="dxa" w:w="2520"/>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Final Exam (Dec. 7-11, time TBD)</w:t>
            </w:r>
          </w:p>
        </w:tc>
        <w:tc>
          <w:tcPr>
            <w:tcW w:type="dxa" w:w="1080"/>
            <w:vAlign w:val="center"/>
            <w:tcMar>
              <w:top w:w="95" w:type="dxa"/>
              <w:start w:w="110" w:type="dxa"/>
              <w:bottom w:w="95" w:type="dxa"/>
              <w:end w:w="110" w:type="dxa"/>
            </w:tcMar>
            <w:shd w:fill="FCE8E6"/>
          </w:tcPr>
          <w:p>
            <w:pPr>
              <w:keepLines/>
              <w:spacing w:after="0" w:before="0" w:line="259" w:lineRule="auto"/>
              <w:jc w:val="center"/>
            </w:pPr>
            <w:r>
              <w:rPr>
                <w:rFonts w:ascii="Aptos" w:hAnsi="Aptos"/>
                <w:b/>
                <w:color w:val="000000"/>
                <w:sz w:val="16"/>
              </w:rPr>
              <w:t>All</w:t>
            </w:r>
          </w:p>
        </w:tc>
        <w:tc>
          <w:tcPr>
            <w:tcW w:type="dxa" w:w="3384"/>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Final Exam covering all chapters</w:t>
            </w:r>
          </w:p>
        </w:tc>
        <w:tc>
          <w:tcPr>
            <w:tcW w:type="dxa" w:w="3096"/>
            <w:vAlign w:val="center"/>
            <w:tcMar>
              <w:top w:w="95" w:type="dxa"/>
              <w:start w:w="110" w:type="dxa"/>
              <w:bottom w:w="95" w:type="dxa"/>
              <w:end w:w="110" w:type="dxa"/>
            </w:tcMar>
            <w:shd w:fill="FCE8E6"/>
          </w:tcPr>
          <w:p>
            <w:pPr>
              <w:keepLines/>
              <w:spacing w:after="0" w:before="0" w:line="259" w:lineRule="auto"/>
              <w:jc w:val="left"/>
            </w:pPr>
            <w:r>
              <w:rPr>
                <w:rFonts w:ascii="Aptos" w:hAnsi="Aptos"/>
                <w:b/>
                <w:color w:val="000000"/>
                <w:sz w:val="16"/>
              </w:rPr>
              <w:t>Assessment</w:t>
            </w:r>
          </w:p>
        </w:tc>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A5A5A"/>
        <w:sz w:val="16"/>
      </w:rPr>
      <w:t>CHEM 58103  |  Biochemistry I  |  Fall 2026  |  Also offered as CHEM 481H3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 58103 Biochemistry I Fall 2026 Syllabus</dc:title>
  <dc:subject>Digitized course syllabus</dc:subject>
  <dc:creator>Yizhi Sun</dc:creator>
  <cp:keywords>CHEM 481H3, CHEM 58103, Biochemistry I, Fall 2026</cp:keywords>
  <dc:description>generated by python-docx</dc:description>
  <cp:lastModifiedBy/>
  <cp:revision>1</cp:revision>
  <dcterms:created xsi:type="dcterms:W3CDTF">2013-12-23T23:15:00Z</dcterms:created>
  <dcterms:modified xsi:type="dcterms:W3CDTF">2013-12-23T23:15:00Z</dcterms:modified>
  <cp:category/>
</cp:coreProperties>
</file>