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28F" w:rsidRDefault="0025228F" w:rsidP="0025228F">
      <w:pPr>
        <w:rPr>
          <w:b/>
          <w:u w:val="single"/>
        </w:rPr>
      </w:pPr>
      <w:r w:rsidRPr="00BF48F8">
        <w:rPr>
          <w:b/>
          <w:u w:val="single"/>
        </w:rPr>
        <w:t>PROBLEM DESCRIPTION</w:t>
      </w:r>
    </w:p>
    <w:p w:rsidR="00DC4CFE" w:rsidRDefault="00DC4CFE" w:rsidP="0025228F">
      <w:r>
        <w:t xml:space="preserve">Predicting stock market prices has been an age old problem in financial data analysis. Though there are several </w:t>
      </w:r>
      <w:r w:rsidR="00D422DA">
        <w:t>parameters</w:t>
      </w:r>
      <w:r>
        <w:t xml:space="preserve"> that can be predicted for each share, for the purpose of this competition, we limit ourselves to predicting the open and close prices of </w:t>
      </w:r>
      <w:r w:rsidR="002C25F7">
        <w:t>fifty</w:t>
      </w:r>
      <w:r>
        <w:t xml:space="preserve"> randomly chosen shares from the National Stock Exchange. The objective of the challenge is to utilize the data provided and come up with predictions of open and close prices for one week in advance. </w:t>
      </w:r>
    </w:p>
    <w:p w:rsidR="0025228F" w:rsidRDefault="00FB2859" w:rsidP="0025228F">
      <w:r>
        <w:t>T</w:t>
      </w:r>
      <w:r w:rsidR="0025228F">
        <w:t>his competition is being organized as a pre-runner to the Deloitte USI An</w:t>
      </w:r>
      <w:r w:rsidR="00234F2F">
        <w:t>alytics Summit, 201</w:t>
      </w:r>
      <w:r w:rsidR="00DC4CFE">
        <w:t>7</w:t>
      </w:r>
      <w:r w:rsidR="0025228F">
        <w:t xml:space="preserve"> and will be active from </w:t>
      </w:r>
      <w:r w:rsidR="009F13BA">
        <w:t>2</w:t>
      </w:r>
      <w:r w:rsidR="009F13BA" w:rsidRPr="009F13BA">
        <w:rPr>
          <w:vertAlign w:val="superscript"/>
        </w:rPr>
        <w:t>nd</w:t>
      </w:r>
      <w:r w:rsidR="009F13BA">
        <w:t xml:space="preserve"> May</w:t>
      </w:r>
      <w:r w:rsidR="00DC4CFE">
        <w:t xml:space="preserve"> 2017</w:t>
      </w:r>
      <w:r w:rsidR="0025228F">
        <w:t xml:space="preserve">. </w:t>
      </w:r>
      <w:r w:rsidR="00DC4CFE">
        <w:t xml:space="preserve">Top finishers on the leaderboard will be invited for a live data hackathon on the hackathon D-Day in one of the Deloitte campuses.  </w:t>
      </w:r>
      <w:r w:rsidR="0025228F">
        <w:t xml:space="preserve">The winners will be decided </w:t>
      </w:r>
      <w:r w:rsidR="00DC4CFE">
        <w:t xml:space="preserve">based on the results of the hackathon D-Day </w:t>
      </w:r>
      <w:r w:rsidR="0025228F">
        <w:t xml:space="preserve">and </w:t>
      </w:r>
      <w:r w:rsidR="00DC4CFE">
        <w:t xml:space="preserve">final results </w:t>
      </w:r>
      <w:r w:rsidR="0025228F">
        <w:t>announced during the Summit.</w:t>
      </w:r>
    </w:p>
    <w:p w:rsidR="00E258F4" w:rsidRPr="005E1CF6" w:rsidRDefault="005E1CF6">
      <w:pPr>
        <w:rPr>
          <w:b/>
          <w:u w:val="single"/>
        </w:rPr>
      </w:pPr>
      <w:r w:rsidRPr="005E1CF6">
        <w:rPr>
          <w:b/>
          <w:u w:val="single"/>
        </w:rPr>
        <w:t>DATA</w:t>
      </w:r>
    </w:p>
    <w:p w:rsidR="00DC4CFE" w:rsidRDefault="00DC4CFE">
      <w:r>
        <w:t xml:space="preserve">One consolidated file is available </w:t>
      </w:r>
      <w:r w:rsidR="00D422DA">
        <w:t>for download. This file contains:</w:t>
      </w:r>
    </w:p>
    <w:tbl>
      <w:tblPr>
        <w:tblStyle w:val="TableGrid"/>
        <w:tblW w:w="0" w:type="auto"/>
        <w:tblLook w:val="04A0" w:firstRow="1" w:lastRow="0" w:firstColumn="1" w:lastColumn="0" w:noHBand="0" w:noVBand="1"/>
      </w:tblPr>
      <w:tblGrid>
        <w:gridCol w:w="4675"/>
        <w:gridCol w:w="4675"/>
      </w:tblGrid>
      <w:tr w:rsidR="00DC4CFE" w:rsidTr="00DC4CFE">
        <w:tc>
          <w:tcPr>
            <w:tcW w:w="4675" w:type="dxa"/>
          </w:tcPr>
          <w:p w:rsidR="00DC4CFE" w:rsidRDefault="00DC4CFE">
            <w:r>
              <w:t>Symbol</w:t>
            </w:r>
          </w:p>
        </w:tc>
        <w:tc>
          <w:tcPr>
            <w:tcW w:w="4675" w:type="dxa"/>
          </w:tcPr>
          <w:p w:rsidR="00DC4CFE" w:rsidRDefault="00DC4CFE">
            <w:r>
              <w:t>Share name</w:t>
            </w:r>
          </w:p>
        </w:tc>
      </w:tr>
      <w:tr w:rsidR="00DC4CFE" w:rsidTr="00DC4CFE">
        <w:tc>
          <w:tcPr>
            <w:tcW w:w="4675" w:type="dxa"/>
          </w:tcPr>
          <w:p w:rsidR="00DC4CFE" w:rsidRDefault="00DC4CFE">
            <w:r>
              <w:t>Date</w:t>
            </w:r>
          </w:p>
        </w:tc>
        <w:tc>
          <w:tcPr>
            <w:tcW w:w="4675" w:type="dxa"/>
          </w:tcPr>
          <w:p w:rsidR="00DC4CFE" w:rsidRDefault="00DC4CFE">
            <w:r>
              <w:t>The trade date</w:t>
            </w:r>
          </w:p>
        </w:tc>
      </w:tr>
      <w:tr w:rsidR="00DC4CFE" w:rsidTr="00DC4CFE">
        <w:tc>
          <w:tcPr>
            <w:tcW w:w="4675" w:type="dxa"/>
          </w:tcPr>
          <w:p w:rsidR="00DC4CFE" w:rsidRDefault="00DC4CFE">
            <w:proofErr w:type="spellStart"/>
            <w:r>
              <w:t>Prev</w:t>
            </w:r>
            <w:proofErr w:type="spellEnd"/>
            <w:r>
              <w:t xml:space="preserve"> Close</w:t>
            </w:r>
          </w:p>
        </w:tc>
        <w:tc>
          <w:tcPr>
            <w:tcW w:w="4675" w:type="dxa"/>
          </w:tcPr>
          <w:p w:rsidR="00DC4CFE" w:rsidRDefault="00DC4CFE">
            <w:r>
              <w:t>Previous day’s closing rate of the share</w:t>
            </w:r>
          </w:p>
        </w:tc>
      </w:tr>
      <w:tr w:rsidR="00DC4CFE" w:rsidTr="00DC4CFE">
        <w:tc>
          <w:tcPr>
            <w:tcW w:w="4675" w:type="dxa"/>
          </w:tcPr>
          <w:p w:rsidR="00DC4CFE" w:rsidRDefault="00DC4CFE">
            <w:r>
              <w:t>Open Price</w:t>
            </w:r>
          </w:p>
        </w:tc>
        <w:tc>
          <w:tcPr>
            <w:tcW w:w="4675" w:type="dxa"/>
          </w:tcPr>
          <w:p w:rsidR="00DC4CFE" w:rsidRDefault="00DC4CFE">
            <w:r>
              <w:t>opening rate of the share for the trade date</w:t>
            </w:r>
          </w:p>
        </w:tc>
      </w:tr>
      <w:tr w:rsidR="00DC4CFE" w:rsidTr="00DC4CFE">
        <w:tc>
          <w:tcPr>
            <w:tcW w:w="4675" w:type="dxa"/>
          </w:tcPr>
          <w:p w:rsidR="00DC4CFE" w:rsidRDefault="00DC4CFE">
            <w:r>
              <w:t>High Price</w:t>
            </w:r>
          </w:p>
        </w:tc>
        <w:tc>
          <w:tcPr>
            <w:tcW w:w="4675" w:type="dxa"/>
          </w:tcPr>
          <w:p w:rsidR="00DC4CFE" w:rsidRDefault="00DC4CFE">
            <w:r>
              <w:t>Highest traded price for the trade date</w:t>
            </w:r>
          </w:p>
        </w:tc>
      </w:tr>
      <w:tr w:rsidR="00DC4CFE" w:rsidTr="00DC4CFE">
        <w:tc>
          <w:tcPr>
            <w:tcW w:w="4675" w:type="dxa"/>
          </w:tcPr>
          <w:p w:rsidR="00DC4CFE" w:rsidRDefault="00DC4CFE">
            <w:r>
              <w:t>Low Price</w:t>
            </w:r>
          </w:p>
        </w:tc>
        <w:tc>
          <w:tcPr>
            <w:tcW w:w="4675" w:type="dxa"/>
          </w:tcPr>
          <w:p w:rsidR="00DC4CFE" w:rsidRDefault="00DC4CFE">
            <w:r>
              <w:t>Lowest traded price for the trade date</w:t>
            </w:r>
          </w:p>
        </w:tc>
      </w:tr>
      <w:tr w:rsidR="00DC4CFE" w:rsidTr="00DC4CFE">
        <w:tc>
          <w:tcPr>
            <w:tcW w:w="4675" w:type="dxa"/>
          </w:tcPr>
          <w:p w:rsidR="00DC4CFE" w:rsidRDefault="00DC4CFE">
            <w:r>
              <w:t>Last Price</w:t>
            </w:r>
          </w:p>
        </w:tc>
        <w:tc>
          <w:tcPr>
            <w:tcW w:w="4675" w:type="dxa"/>
          </w:tcPr>
          <w:p w:rsidR="00DC4CFE" w:rsidRDefault="00DC4CFE">
            <w:r>
              <w:t>Last traded price for the trade date</w:t>
            </w:r>
          </w:p>
        </w:tc>
      </w:tr>
      <w:tr w:rsidR="00DC4CFE" w:rsidTr="00DC4CFE">
        <w:tc>
          <w:tcPr>
            <w:tcW w:w="4675" w:type="dxa"/>
          </w:tcPr>
          <w:p w:rsidR="00DC4CFE" w:rsidRDefault="00DC4CFE">
            <w:r>
              <w:t>Close Price</w:t>
            </w:r>
          </w:p>
        </w:tc>
        <w:tc>
          <w:tcPr>
            <w:tcW w:w="4675" w:type="dxa"/>
          </w:tcPr>
          <w:p w:rsidR="00DC4CFE" w:rsidRDefault="00DC4CFE">
            <w:r>
              <w:t>Closing price for the trade date</w:t>
            </w:r>
          </w:p>
        </w:tc>
      </w:tr>
      <w:tr w:rsidR="00DC4CFE" w:rsidTr="00DC4CFE">
        <w:tc>
          <w:tcPr>
            <w:tcW w:w="4675" w:type="dxa"/>
          </w:tcPr>
          <w:p w:rsidR="00DC4CFE" w:rsidRDefault="00DC4CFE">
            <w:r>
              <w:t>Average Price</w:t>
            </w:r>
          </w:p>
        </w:tc>
        <w:tc>
          <w:tcPr>
            <w:tcW w:w="4675" w:type="dxa"/>
          </w:tcPr>
          <w:p w:rsidR="00DC4CFE" w:rsidRDefault="00DC4CFE">
            <w:r>
              <w:t>Average traded price for the trade date</w:t>
            </w:r>
          </w:p>
        </w:tc>
      </w:tr>
      <w:tr w:rsidR="00DC4CFE" w:rsidTr="00DC4CFE">
        <w:tc>
          <w:tcPr>
            <w:tcW w:w="4675" w:type="dxa"/>
          </w:tcPr>
          <w:p w:rsidR="00DC4CFE" w:rsidRDefault="00DC4CFE">
            <w:r>
              <w:t>Total Traded Quantity</w:t>
            </w:r>
          </w:p>
        </w:tc>
        <w:tc>
          <w:tcPr>
            <w:tcW w:w="4675" w:type="dxa"/>
          </w:tcPr>
          <w:p w:rsidR="00DC4CFE" w:rsidRDefault="00DC4CFE">
            <w:r>
              <w:t>Total quantity of shares traded on the trade date</w:t>
            </w:r>
          </w:p>
        </w:tc>
      </w:tr>
      <w:tr w:rsidR="00DC4CFE" w:rsidTr="00DC4CFE">
        <w:tc>
          <w:tcPr>
            <w:tcW w:w="4675" w:type="dxa"/>
          </w:tcPr>
          <w:p w:rsidR="00DC4CFE" w:rsidRDefault="00DC4CFE">
            <w:r>
              <w:t>Turnover in Lacs</w:t>
            </w:r>
          </w:p>
        </w:tc>
        <w:tc>
          <w:tcPr>
            <w:tcW w:w="4675" w:type="dxa"/>
          </w:tcPr>
          <w:p w:rsidR="00DC4CFE" w:rsidRDefault="00DC4CFE">
            <w:r>
              <w:t>Turnover in Lacs (of rupees) on the trade date</w:t>
            </w:r>
          </w:p>
        </w:tc>
      </w:tr>
      <w:tr w:rsidR="0046576D" w:rsidTr="00DC4CFE">
        <w:tc>
          <w:tcPr>
            <w:tcW w:w="4675" w:type="dxa"/>
          </w:tcPr>
          <w:p w:rsidR="0046576D" w:rsidRDefault="0046576D">
            <w:r>
              <w:t xml:space="preserve">Deliverable </w:t>
            </w:r>
            <w:proofErr w:type="spellStart"/>
            <w:r>
              <w:t>Qty</w:t>
            </w:r>
            <w:proofErr w:type="spellEnd"/>
          </w:p>
        </w:tc>
        <w:tc>
          <w:tcPr>
            <w:tcW w:w="4675" w:type="dxa"/>
          </w:tcPr>
          <w:p w:rsidR="0046576D" w:rsidRDefault="0046576D">
            <w:r>
              <w:t>Number of shares delivered on the trade date</w:t>
            </w:r>
          </w:p>
        </w:tc>
      </w:tr>
      <w:tr w:rsidR="0046576D" w:rsidTr="00DC4CFE">
        <w:tc>
          <w:tcPr>
            <w:tcW w:w="4675" w:type="dxa"/>
          </w:tcPr>
          <w:p w:rsidR="0046576D" w:rsidRDefault="0046576D">
            <w:r>
              <w:t xml:space="preserve">% </w:t>
            </w:r>
            <w:proofErr w:type="spellStart"/>
            <w:r>
              <w:t>Dly</w:t>
            </w:r>
            <w:proofErr w:type="spellEnd"/>
            <w:r>
              <w:t xml:space="preserve"> </w:t>
            </w:r>
            <w:proofErr w:type="spellStart"/>
            <w:r>
              <w:t>Qt</w:t>
            </w:r>
            <w:proofErr w:type="spellEnd"/>
            <w:r>
              <w:t xml:space="preserve"> to Traded </w:t>
            </w:r>
            <w:proofErr w:type="spellStart"/>
            <w:r>
              <w:t>Qty</w:t>
            </w:r>
            <w:proofErr w:type="spellEnd"/>
          </w:p>
        </w:tc>
        <w:tc>
          <w:tcPr>
            <w:tcW w:w="4675" w:type="dxa"/>
          </w:tcPr>
          <w:p w:rsidR="0046576D" w:rsidRDefault="0046576D">
            <w:r>
              <w:t>Percentage of shares delivered as a percentage of total traded shares on the trade date</w:t>
            </w:r>
          </w:p>
        </w:tc>
      </w:tr>
      <w:tr w:rsidR="0046576D" w:rsidTr="00DC4CFE">
        <w:tc>
          <w:tcPr>
            <w:tcW w:w="4675" w:type="dxa"/>
          </w:tcPr>
          <w:p w:rsidR="0046576D" w:rsidRDefault="0046576D"/>
        </w:tc>
        <w:tc>
          <w:tcPr>
            <w:tcW w:w="4675" w:type="dxa"/>
          </w:tcPr>
          <w:p w:rsidR="0046576D" w:rsidRDefault="0046576D"/>
        </w:tc>
      </w:tr>
    </w:tbl>
    <w:p w:rsidR="00DC4CFE" w:rsidRDefault="00DC4CFE"/>
    <w:p w:rsidR="005E1CF6" w:rsidRDefault="0046576D" w:rsidP="005E1CF6">
      <w:pPr>
        <w:pStyle w:val="ListParagraph"/>
        <w:numPr>
          <w:ilvl w:val="0"/>
          <w:numId w:val="1"/>
        </w:numPr>
      </w:pPr>
      <w:r>
        <w:t xml:space="preserve">The consolidated file contains information provided in the above table for </w:t>
      </w:r>
      <w:r w:rsidR="00172B71">
        <w:t>5</w:t>
      </w:r>
      <w:r>
        <w:t xml:space="preserve">0 shares. </w:t>
      </w:r>
    </w:p>
    <w:p w:rsidR="005E1CF6" w:rsidRDefault="005E1CF6" w:rsidP="005E1CF6">
      <w:pPr>
        <w:pStyle w:val="ListParagraph"/>
        <w:numPr>
          <w:ilvl w:val="0"/>
          <w:numId w:val="1"/>
        </w:numPr>
      </w:pPr>
      <w:r>
        <w:t>sample_submission.csv: This is a sample submission file. Any submissions made should exactly be the same as this file. Some points to note:</w:t>
      </w:r>
    </w:p>
    <w:p w:rsidR="005E1CF6" w:rsidRDefault="005E1CF6" w:rsidP="005E1CF6">
      <w:pPr>
        <w:pStyle w:val="ListParagraph"/>
        <w:numPr>
          <w:ilvl w:val="1"/>
          <w:numId w:val="1"/>
        </w:numPr>
      </w:pPr>
      <w:r>
        <w:t>The file should be comma-separated ‘csv’ file</w:t>
      </w:r>
    </w:p>
    <w:p w:rsidR="005E1CF6" w:rsidRDefault="0046576D" w:rsidP="005E1CF6">
      <w:pPr>
        <w:pStyle w:val="ListParagraph"/>
        <w:numPr>
          <w:ilvl w:val="1"/>
          <w:numId w:val="1"/>
        </w:numPr>
      </w:pPr>
      <w:r>
        <w:t>The header should be ‘Date’</w:t>
      </w:r>
      <w:r w:rsidR="005E1CF6">
        <w:t xml:space="preserve">, </w:t>
      </w:r>
      <w:r>
        <w:t>‘Share</w:t>
      </w:r>
      <w:r w:rsidR="005E1CF6">
        <w:t>’</w:t>
      </w:r>
      <w:r>
        <w:t>, ‘Open’, ‘Close’</w:t>
      </w:r>
      <w:bookmarkStart w:id="0" w:name="_GoBack"/>
      <w:bookmarkEnd w:id="0"/>
    </w:p>
    <w:p w:rsidR="00E61C3E" w:rsidRDefault="005E1CF6" w:rsidP="00574211">
      <w:pPr>
        <w:pStyle w:val="ListParagraph"/>
        <w:numPr>
          <w:ilvl w:val="1"/>
          <w:numId w:val="1"/>
        </w:numPr>
      </w:pPr>
      <w:r>
        <w:t>The column ‘</w:t>
      </w:r>
      <w:r w:rsidR="0046576D">
        <w:t>share</w:t>
      </w:r>
      <w:r>
        <w:t xml:space="preserve">’ should be sorted in ascending order, from </w:t>
      </w:r>
      <w:r w:rsidR="009F13BA">
        <w:t xml:space="preserve">1 to </w:t>
      </w:r>
      <w:r w:rsidR="007C0779">
        <w:t>5</w:t>
      </w:r>
      <w:r w:rsidR="0046576D">
        <w:t>0 (as seen in the sample submission file).</w:t>
      </w:r>
    </w:p>
    <w:p w:rsidR="005E1CF6" w:rsidRDefault="00A04E91" w:rsidP="00574211">
      <w:pPr>
        <w:pStyle w:val="ListParagraph"/>
        <w:numPr>
          <w:ilvl w:val="1"/>
          <w:numId w:val="1"/>
        </w:numPr>
      </w:pPr>
      <w:r>
        <w:t>The column</w:t>
      </w:r>
      <w:r w:rsidR="0046576D">
        <w:t>s</w:t>
      </w:r>
      <w:r>
        <w:t xml:space="preserve"> ‘</w:t>
      </w:r>
      <w:r w:rsidR="0046576D">
        <w:t>Open</w:t>
      </w:r>
      <w:r>
        <w:t>’</w:t>
      </w:r>
      <w:r w:rsidR="0046576D">
        <w:t xml:space="preserve"> and ‘Close’</w:t>
      </w:r>
      <w:r>
        <w:t xml:space="preserve"> can be any real number</w:t>
      </w:r>
    </w:p>
    <w:p w:rsidR="005E1CF6" w:rsidRDefault="00BA59E5" w:rsidP="005E1CF6">
      <w:pPr>
        <w:pStyle w:val="ListParagraph"/>
        <w:numPr>
          <w:ilvl w:val="1"/>
          <w:numId w:val="1"/>
        </w:numPr>
      </w:pPr>
      <w:r>
        <w:t xml:space="preserve">There should be a total of </w:t>
      </w:r>
      <w:r w:rsidR="003410A3">
        <w:t>10</w:t>
      </w:r>
      <w:r w:rsidR="0046576D">
        <w:t xml:space="preserve">1 </w:t>
      </w:r>
      <w:r w:rsidR="005E1CF6">
        <w:t>rows</w:t>
      </w:r>
      <w:r w:rsidR="0046576D">
        <w:t xml:space="preserve"> (including the headers). </w:t>
      </w:r>
    </w:p>
    <w:p w:rsidR="005E1CF6" w:rsidRDefault="005E1CF6" w:rsidP="005E1CF6">
      <w:pPr>
        <w:ind w:left="1080"/>
      </w:pPr>
      <w:r>
        <w:t>If any of these points are not followed, it will result in a submi</w:t>
      </w:r>
      <w:r w:rsidR="00D51631">
        <w:t>ssion error.</w:t>
      </w:r>
    </w:p>
    <w:p w:rsidR="000828C4" w:rsidRDefault="000828C4" w:rsidP="00EB380B"/>
    <w:p w:rsidR="00E73943" w:rsidRDefault="00E73943" w:rsidP="00EB380B"/>
    <w:p w:rsidR="008B61F9" w:rsidRDefault="008B61F9" w:rsidP="008B61F9">
      <w:pPr>
        <w:rPr>
          <w:b/>
        </w:rPr>
      </w:pPr>
      <w:r w:rsidRPr="008B61F9">
        <w:rPr>
          <w:b/>
        </w:rPr>
        <w:lastRenderedPageBreak/>
        <w:t>PREDICTIONS</w:t>
      </w:r>
    </w:p>
    <w:p w:rsidR="00D422DA" w:rsidRDefault="008B61F9" w:rsidP="00D422DA">
      <w:r>
        <w:t>Participants are to predict the opening and close prices of the given stocks for the 18</w:t>
      </w:r>
      <w:r w:rsidRPr="008B61F9">
        <w:rPr>
          <w:vertAlign w:val="superscript"/>
        </w:rPr>
        <w:t>th</w:t>
      </w:r>
      <w:r>
        <w:t xml:space="preserve"> and 19</w:t>
      </w:r>
      <w:r w:rsidRPr="008B61F9">
        <w:rPr>
          <w:vertAlign w:val="superscript"/>
        </w:rPr>
        <w:t>th</w:t>
      </w:r>
      <w:r>
        <w:t xml:space="preserve"> of May 2017. </w:t>
      </w:r>
      <w:r w:rsidR="00D422DA">
        <w:t xml:space="preserve">No data apart from the data provided can be used for the purpose of this challenge.  Make special note of the fact that the data provided </w:t>
      </w:r>
      <w:r w:rsidR="00221D3F">
        <w:t>is till the 28</w:t>
      </w:r>
      <w:r w:rsidR="00D422DA" w:rsidRPr="0046576D">
        <w:rPr>
          <w:vertAlign w:val="superscript"/>
        </w:rPr>
        <w:t>th</w:t>
      </w:r>
      <w:r w:rsidR="00D422DA">
        <w:t xml:space="preserve"> of April and the modelling has to </w:t>
      </w:r>
      <w:r w:rsidR="00221D3F">
        <w:t>be done only on data till the 28</w:t>
      </w:r>
      <w:r w:rsidR="00D422DA" w:rsidRPr="0046576D">
        <w:rPr>
          <w:vertAlign w:val="superscript"/>
        </w:rPr>
        <w:t>th</w:t>
      </w:r>
      <w:r w:rsidR="00D422DA">
        <w:t xml:space="preserve"> of April. Particip</w:t>
      </w:r>
      <w:r w:rsidR="00FC34BB">
        <w:t>ants cannot use data post the 28</w:t>
      </w:r>
      <w:r w:rsidR="00D422DA" w:rsidRPr="0046576D">
        <w:rPr>
          <w:vertAlign w:val="superscript"/>
        </w:rPr>
        <w:t>th</w:t>
      </w:r>
      <w:r w:rsidR="00D422DA">
        <w:t xml:space="preserve"> of April to tune parameters of the model. It is compulsory to submit codes used for making the leaderboard submissions. Any hardcoding of parameters that look suspicious will invite disqualifications of the team. If at any point of time, the participating teams are fou</w:t>
      </w:r>
      <w:r w:rsidR="00D3523B">
        <w:t>nd to be using data after the 28</w:t>
      </w:r>
      <w:r w:rsidR="00D422DA" w:rsidRPr="000828C4">
        <w:rPr>
          <w:vertAlign w:val="superscript"/>
        </w:rPr>
        <w:t>th</w:t>
      </w:r>
      <w:r w:rsidR="00D422DA">
        <w:t xml:space="preserve"> of April, the organizers reserve all rights to disqualify these teams in spirit of the competition. </w:t>
      </w:r>
    </w:p>
    <w:p w:rsidR="00D422DA" w:rsidRPr="008B61F9" w:rsidRDefault="00D422DA" w:rsidP="00D422DA">
      <w:pPr>
        <w:pStyle w:val="Heading2"/>
        <w:numPr>
          <w:ilvl w:val="0"/>
          <w:numId w:val="0"/>
        </w:numPr>
        <w:rPr>
          <w:rFonts w:asciiTheme="minorHAnsi" w:hAnsiTheme="minorHAnsi"/>
          <w:color w:val="auto"/>
          <w:sz w:val="22"/>
          <w:szCs w:val="22"/>
        </w:rPr>
      </w:pPr>
      <w:bookmarkStart w:id="1" w:name="_Toc411263178"/>
      <w:r w:rsidRPr="008B61F9">
        <w:rPr>
          <w:rFonts w:asciiTheme="minorHAnsi" w:hAnsiTheme="minorHAnsi"/>
          <w:color w:val="auto"/>
          <w:sz w:val="22"/>
          <w:szCs w:val="22"/>
        </w:rPr>
        <w:t>EVALUATION CRITERIA</w:t>
      </w:r>
      <w:bookmarkEnd w:id="1"/>
    </w:p>
    <w:p w:rsidR="00EB380B" w:rsidRDefault="00D422DA" w:rsidP="00EB380B">
      <w:r>
        <w:t>The models are being assessed on their performance on real-life data. The participants are allowed to use the provided d</w:t>
      </w:r>
      <w:r w:rsidR="005059D1">
        <w:t>ataset for modelling till the 17</w:t>
      </w:r>
      <w:r w:rsidRPr="008B61F9">
        <w:rPr>
          <w:vertAlign w:val="superscript"/>
        </w:rPr>
        <w:t>th</w:t>
      </w:r>
      <w:r>
        <w:t xml:space="preserve"> of May. The submission portal would be open from </w:t>
      </w:r>
      <w:r w:rsidR="005059D1">
        <w:t>the 2</w:t>
      </w:r>
      <w:r w:rsidR="005059D1" w:rsidRPr="005059D1">
        <w:rPr>
          <w:vertAlign w:val="superscript"/>
        </w:rPr>
        <w:t>nd</w:t>
      </w:r>
      <w:r w:rsidR="005059D1">
        <w:t xml:space="preserve"> of May and closes on the 17</w:t>
      </w:r>
      <w:r w:rsidRPr="008B61F9">
        <w:rPr>
          <w:vertAlign w:val="superscript"/>
        </w:rPr>
        <w:t>th</w:t>
      </w:r>
      <w:r>
        <w:t xml:space="preserve"> of May. Participants can make only one submission. No request for re-submissions will be entertained.  On the 20</w:t>
      </w:r>
      <w:r w:rsidRPr="00D422DA">
        <w:rPr>
          <w:vertAlign w:val="superscript"/>
        </w:rPr>
        <w:t>th</w:t>
      </w:r>
      <w:r>
        <w:t xml:space="preserve"> of May, a leaderboard would be active, which will show the rankings of the participating teams, calculated based on the Mean Absolute Percentage Error (MAPE) values of the submission, found from the real-life stock open and close prices for the 1</w:t>
      </w:r>
      <w:r w:rsidR="00EF797F">
        <w:t>8</w:t>
      </w:r>
      <w:r w:rsidRPr="00D422DA">
        <w:rPr>
          <w:vertAlign w:val="superscript"/>
        </w:rPr>
        <w:t>th</w:t>
      </w:r>
      <w:r w:rsidR="00EF797F">
        <w:t xml:space="preserve"> and </w:t>
      </w:r>
      <w:r>
        <w:t>19</w:t>
      </w:r>
      <w:r w:rsidRPr="00D422DA">
        <w:rPr>
          <w:vertAlign w:val="superscript"/>
        </w:rPr>
        <w:t>th</w:t>
      </w:r>
      <w:r>
        <w:t xml:space="preserve"> of May, 2017. </w:t>
      </w:r>
    </w:p>
    <w:p w:rsidR="00D422DA" w:rsidRPr="00D422DA" w:rsidRDefault="00D422DA" w:rsidP="00EB380B">
      <w:pPr>
        <w:rPr>
          <w:b/>
        </w:rPr>
      </w:pPr>
      <w:r w:rsidRPr="00D422DA">
        <w:rPr>
          <w:b/>
        </w:rPr>
        <w:t>SHORTLISTING</w:t>
      </w:r>
    </w:p>
    <w:p w:rsidR="004B7307" w:rsidRPr="004B7307" w:rsidRDefault="00D422DA" w:rsidP="00BF48F8">
      <w:r>
        <w:t>Based on the leaderboard positions on the 20</w:t>
      </w:r>
      <w:r w:rsidRPr="00D422DA">
        <w:rPr>
          <w:vertAlign w:val="superscript"/>
        </w:rPr>
        <w:t>th</w:t>
      </w:r>
      <w:r>
        <w:t xml:space="preserve"> of May, 2017, top teams will be invited for a live Hackathon </w:t>
      </w:r>
      <w:proofErr w:type="gramStart"/>
      <w:r>
        <w:t>D-Day</w:t>
      </w:r>
      <w:proofErr w:type="gramEnd"/>
      <w:r>
        <w:t xml:space="preserve"> to be held on the 22</w:t>
      </w:r>
      <w:r w:rsidRPr="00D422DA">
        <w:rPr>
          <w:vertAlign w:val="superscript"/>
        </w:rPr>
        <w:t>nd</w:t>
      </w:r>
      <w:r>
        <w:t xml:space="preserve"> of May, 2017.  Final results of the data hackathon will be announced during the awards ceremony of the analytics summit. </w:t>
      </w:r>
    </w:p>
    <w:sectPr w:rsidR="004B7307" w:rsidRPr="004B7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9522E"/>
    <w:multiLevelType w:val="multilevel"/>
    <w:tmpl w:val="C3EE1DC6"/>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279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 w15:restartNumberingAfterBreak="0">
    <w:nsid w:val="3B4F06F9"/>
    <w:multiLevelType w:val="hybridMultilevel"/>
    <w:tmpl w:val="14C07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7BB"/>
    <w:rsid w:val="00010E0A"/>
    <w:rsid w:val="000506A5"/>
    <w:rsid w:val="000828C4"/>
    <w:rsid w:val="00085706"/>
    <w:rsid w:val="000B151B"/>
    <w:rsid w:val="001268CD"/>
    <w:rsid w:val="00172B71"/>
    <w:rsid w:val="00174D35"/>
    <w:rsid w:val="001E23ED"/>
    <w:rsid w:val="002217B1"/>
    <w:rsid w:val="00221D3F"/>
    <w:rsid w:val="00234F2F"/>
    <w:rsid w:val="0025228F"/>
    <w:rsid w:val="00280DCD"/>
    <w:rsid w:val="002C25F7"/>
    <w:rsid w:val="003410A3"/>
    <w:rsid w:val="003854B4"/>
    <w:rsid w:val="004262C8"/>
    <w:rsid w:val="0046576D"/>
    <w:rsid w:val="00485FA8"/>
    <w:rsid w:val="004B7307"/>
    <w:rsid w:val="004C05FC"/>
    <w:rsid w:val="004D1B46"/>
    <w:rsid w:val="004E0B0F"/>
    <w:rsid w:val="004F6F87"/>
    <w:rsid w:val="005059D1"/>
    <w:rsid w:val="00516B69"/>
    <w:rsid w:val="00533FB5"/>
    <w:rsid w:val="005E1CF6"/>
    <w:rsid w:val="00651A60"/>
    <w:rsid w:val="006F420D"/>
    <w:rsid w:val="007241E9"/>
    <w:rsid w:val="007C0779"/>
    <w:rsid w:val="007D59D2"/>
    <w:rsid w:val="00884ED2"/>
    <w:rsid w:val="008A7D29"/>
    <w:rsid w:val="008B61F9"/>
    <w:rsid w:val="0092429B"/>
    <w:rsid w:val="00946D94"/>
    <w:rsid w:val="00983E49"/>
    <w:rsid w:val="009F13BA"/>
    <w:rsid w:val="009F3B76"/>
    <w:rsid w:val="00A04E91"/>
    <w:rsid w:val="00AA2A6A"/>
    <w:rsid w:val="00AB0A2F"/>
    <w:rsid w:val="00AC5D10"/>
    <w:rsid w:val="00AC705B"/>
    <w:rsid w:val="00B3072D"/>
    <w:rsid w:val="00B307BB"/>
    <w:rsid w:val="00B63FAD"/>
    <w:rsid w:val="00BA59E5"/>
    <w:rsid w:val="00BF48F8"/>
    <w:rsid w:val="00C1147D"/>
    <w:rsid w:val="00C41BBB"/>
    <w:rsid w:val="00C44A8A"/>
    <w:rsid w:val="00C72D3A"/>
    <w:rsid w:val="00CA2959"/>
    <w:rsid w:val="00CA56EA"/>
    <w:rsid w:val="00D1565A"/>
    <w:rsid w:val="00D3523B"/>
    <w:rsid w:val="00D422DA"/>
    <w:rsid w:val="00D51631"/>
    <w:rsid w:val="00D62F3A"/>
    <w:rsid w:val="00D75128"/>
    <w:rsid w:val="00DC4CFE"/>
    <w:rsid w:val="00DC6D4A"/>
    <w:rsid w:val="00DE7812"/>
    <w:rsid w:val="00E00CA4"/>
    <w:rsid w:val="00E258F4"/>
    <w:rsid w:val="00E33A82"/>
    <w:rsid w:val="00E61C3E"/>
    <w:rsid w:val="00E73943"/>
    <w:rsid w:val="00E833E7"/>
    <w:rsid w:val="00EB380B"/>
    <w:rsid w:val="00EE33AF"/>
    <w:rsid w:val="00EF797F"/>
    <w:rsid w:val="00F3782F"/>
    <w:rsid w:val="00F4221E"/>
    <w:rsid w:val="00F70D27"/>
    <w:rsid w:val="00FA6480"/>
    <w:rsid w:val="00FB2859"/>
    <w:rsid w:val="00FC34BB"/>
    <w:rsid w:val="00FD1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4F288-9C6E-4C14-BEEF-A5A84321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61F9"/>
    <w:pPr>
      <w:keepNext/>
      <w:keepLines/>
      <w:numPr>
        <w:numId w:val="2"/>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B61F9"/>
    <w:pPr>
      <w:keepNext/>
      <w:keepLines/>
      <w:numPr>
        <w:ilvl w:val="1"/>
        <w:numId w:val="2"/>
      </w:numPr>
      <w:spacing w:before="200" w:after="0" w:line="276" w:lineRule="auto"/>
      <w:ind w:left="72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B61F9"/>
    <w:pPr>
      <w:keepNext/>
      <w:keepLines/>
      <w:numPr>
        <w:ilvl w:val="2"/>
        <w:numId w:val="2"/>
      </w:numPr>
      <w:spacing w:before="200"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B61F9"/>
    <w:pPr>
      <w:keepNext/>
      <w:keepLines/>
      <w:numPr>
        <w:ilvl w:val="3"/>
        <w:numId w:val="2"/>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B61F9"/>
    <w:pPr>
      <w:keepNext/>
      <w:keepLines/>
      <w:numPr>
        <w:ilvl w:val="4"/>
        <w:numId w:val="2"/>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B61F9"/>
    <w:pPr>
      <w:keepNext/>
      <w:keepLines/>
      <w:numPr>
        <w:ilvl w:val="5"/>
        <w:numId w:val="2"/>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B61F9"/>
    <w:pPr>
      <w:keepNext/>
      <w:keepLines/>
      <w:numPr>
        <w:ilvl w:val="6"/>
        <w:numId w:val="2"/>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61F9"/>
    <w:pPr>
      <w:keepNext/>
      <w:keepLines/>
      <w:numPr>
        <w:ilvl w:val="7"/>
        <w:numId w:val="2"/>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61F9"/>
    <w:pPr>
      <w:keepNext/>
      <w:keepLines/>
      <w:numPr>
        <w:ilvl w:val="8"/>
        <w:numId w:val="2"/>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CF6"/>
    <w:pPr>
      <w:ind w:left="720"/>
      <w:contextualSpacing/>
    </w:pPr>
  </w:style>
  <w:style w:type="character" w:styleId="Hyperlink">
    <w:name w:val="Hyperlink"/>
    <w:basedOn w:val="DefaultParagraphFont"/>
    <w:uiPriority w:val="99"/>
    <w:unhideWhenUsed/>
    <w:rsid w:val="00D62F3A"/>
    <w:rPr>
      <w:color w:val="0563C1" w:themeColor="hyperlink"/>
      <w:u w:val="single"/>
    </w:rPr>
  </w:style>
  <w:style w:type="character" w:styleId="FollowedHyperlink">
    <w:name w:val="FollowedHyperlink"/>
    <w:basedOn w:val="DefaultParagraphFont"/>
    <w:uiPriority w:val="99"/>
    <w:semiHidden/>
    <w:unhideWhenUsed/>
    <w:rsid w:val="00F4221E"/>
    <w:rPr>
      <w:color w:val="954F72" w:themeColor="followedHyperlink"/>
      <w:u w:val="single"/>
    </w:rPr>
  </w:style>
  <w:style w:type="table" w:styleId="TableGrid">
    <w:name w:val="Table Grid"/>
    <w:basedOn w:val="TableNormal"/>
    <w:uiPriority w:val="39"/>
    <w:rsid w:val="00DC4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B61F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B61F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B61F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B61F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B61F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B61F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B61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61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61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0917">
      <w:bodyDiv w:val="1"/>
      <w:marLeft w:val="0"/>
      <w:marRight w:val="0"/>
      <w:marTop w:val="0"/>
      <w:marBottom w:val="0"/>
      <w:divBdr>
        <w:top w:val="none" w:sz="0" w:space="0" w:color="auto"/>
        <w:left w:val="none" w:sz="0" w:space="0" w:color="auto"/>
        <w:bottom w:val="none" w:sz="0" w:space="0" w:color="auto"/>
        <w:right w:val="none" w:sz="0" w:space="0" w:color="auto"/>
      </w:divBdr>
    </w:div>
    <w:div w:id="19211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Balakrishnan, Pramod</dc:creator>
  <cp:keywords/>
  <dc:description/>
  <cp:lastModifiedBy>G, Karthikeyan</cp:lastModifiedBy>
  <cp:revision>11</cp:revision>
  <dcterms:created xsi:type="dcterms:W3CDTF">2017-04-28T12:07:00Z</dcterms:created>
  <dcterms:modified xsi:type="dcterms:W3CDTF">2017-05-02T11:42:00Z</dcterms:modified>
</cp:coreProperties>
</file>