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24406" w14:textId="77777777" w:rsidR="00E01E78" w:rsidRPr="004F6D63" w:rsidRDefault="00B272D1" w:rsidP="00B272D1">
      <w:pPr>
        <w:jc w:val="right"/>
        <w:rPr>
          <w:rFonts w:ascii="Arial" w:hAnsi="Arial" w:cs="Arial"/>
          <w:lang w:val="en-US"/>
        </w:rPr>
      </w:pPr>
      <w:r w:rsidRPr="004F6D63">
        <w:rPr>
          <w:noProof/>
          <w:lang w:eastAsia="de-DE"/>
        </w:rPr>
        <w:drawing>
          <wp:inline distT="0" distB="0" distL="0" distR="0" wp14:anchorId="21D4C021" wp14:editId="79DB7139">
            <wp:extent cx="1662113" cy="729205"/>
            <wp:effectExtent l="0" t="0" r="0" b="0"/>
            <wp:docPr id="2" name="Picture 2" descr="Resultado de imagen para pi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ik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4804" cy="734773"/>
                    </a:xfrm>
                    <a:prstGeom prst="rect">
                      <a:avLst/>
                    </a:prstGeom>
                    <a:noFill/>
                    <a:ln>
                      <a:noFill/>
                    </a:ln>
                  </pic:spPr>
                </pic:pic>
              </a:graphicData>
            </a:graphic>
          </wp:inline>
        </w:drawing>
      </w:r>
      <w:r w:rsidRPr="004F6D63">
        <w:rPr>
          <w:rFonts w:ascii="Arial" w:hAnsi="Arial" w:cs="Arial"/>
          <w:lang w:val="en-US"/>
        </w:rPr>
        <w:t xml:space="preserve">                                                                         </w:t>
      </w:r>
      <w:r w:rsidRPr="004F6D63">
        <w:rPr>
          <w:noProof/>
          <w:lang w:eastAsia="de-DE"/>
        </w:rPr>
        <w:drawing>
          <wp:inline distT="0" distB="0" distL="0" distR="0" wp14:anchorId="7293A398" wp14:editId="24F80338">
            <wp:extent cx="1219347" cy="810043"/>
            <wp:effectExtent l="0" t="0" r="0" b="9525"/>
            <wp:docPr id="3" name="Picture 3" descr="Resultado de imagen para leibniz associ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leibniz association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6217" cy="827893"/>
                    </a:xfrm>
                    <a:prstGeom prst="rect">
                      <a:avLst/>
                    </a:prstGeom>
                    <a:noFill/>
                    <a:ln>
                      <a:noFill/>
                    </a:ln>
                  </pic:spPr>
                </pic:pic>
              </a:graphicData>
            </a:graphic>
          </wp:inline>
        </w:drawing>
      </w:r>
    </w:p>
    <w:p w14:paraId="12088B1A" w14:textId="77777777" w:rsidR="00E01E78" w:rsidRPr="004F6D63" w:rsidRDefault="00E01E78" w:rsidP="001B7FA5">
      <w:pPr>
        <w:jc w:val="right"/>
        <w:rPr>
          <w:rFonts w:ascii="Arial" w:hAnsi="Arial" w:cs="Arial"/>
          <w:lang w:val="en-US"/>
        </w:rPr>
      </w:pPr>
    </w:p>
    <w:p w14:paraId="6CCD0DBA" w14:textId="77777777" w:rsidR="006252BC" w:rsidRPr="004F6D63" w:rsidRDefault="006252BC" w:rsidP="001B7FA5">
      <w:pPr>
        <w:jc w:val="right"/>
        <w:rPr>
          <w:rFonts w:ascii="Arial" w:hAnsi="Arial" w:cs="Arial"/>
          <w:lang w:val="en-US"/>
        </w:rPr>
      </w:pPr>
    </w:p>
    <w:p w14:paraId="11949BFF" w14:textId="77777777" w:rsidR="00455BB3" w:rsidRPr="004F6D63" w:rsidRDefault="00E01E78" w:rsidP="00E01E78">
      <w:pPr>
        <w:jc w:val="center"/>
        <w:rPr>
          <w:rFonts w:ascii="Arial" w:hAnsi="Arial" w:cs="Arial"/>
          <w:b/>
          <w:sz w:val="36"/>
          <w:lang w:val="en-US"/>
        </w:rPr>
      </w:pPr>
      <w:r w:rsidRPr="004F6D63">
        <w:rPr>
          <w:rFonts w:ascii="Arial" w:hAnsi="Arial" w:cs="Arial"/>
          <w:b/>
          <w:sz w:val="36"/>
          <w:lang w:val="en-US"/>
        </w:rPr>
        <w:t>Doctoral Thesis Exposé</w:t>
      </w:r>
    </w:p>
    <w:p w14:paraId="0D315032" w14:textId="77777777" w:rsidR="00E01E78" w:rsidRPr="004F6D63" w:rsidRDefault="00E01E78" w:rsidP="00E01E78">
      <w:pPr>
        <w:jc w:val="center"/>
        <w:rPr>
          <w:rFonts w:ascii="Arial" w:hAnsi="Arial" w:cs="Arial"/>
          <w:lang w:val="en-US"/>
        </w:rPr>
      </w:pPr>
    </w:p>
    <w:p w14:paraId="37DE3760" w14:textId="77777777" w:rsidR="006252BC" w:rsidRPr="004F6D63" w:rsidRDefault="006252BC" w:rsidP="00E01E78">
      <w:pPr>
        <w:jc w:val="center"/>
        <w:rPr>
          <w:rFonts w:ascii="Arial" w:hAnsi="Arial" w:cs="Arial"/>
          <w:lang w:val="en-US"/>
        </w:rPr>
      </w:pPr>
    </w:p>
    <w:p w14:paraId="62FF33F7" w14:textId="77777777" w:rsidR="006252BC" w:rsidRPr="004F6D63" w:rsidRDefault="006252BC" w:rsidP="00E01E78">
      <w:pPr>
        <w:jc w:val="center"/>
        <w:rPr>
          <w:rFonts w:ascii="Arial" w:hAnsi="Arial" w:cs="Arial"/>
          <w:lang w:val="en-US"/>
        </w:rPr>
      </w:pPr>
    </w:p>
    <w:p w14:paraId="73797F9E" w14:textId="77777777" w:rsidR="00E01E78" w:rsidRPr="004F6D63" w:rsidRDefault="00E01E78" w:rsidP="00E01E78">
      <w:pPr>
        <w:jc w:val="center"/>
        <w:rPr>
          <w:rFonts w:ascii="Arial" w:hAnsi="Arial" w:cs="Arial"/>
          <w:lang w:val="en-US"/>
        </w:rPr>
      </w:pPr>
    </w:p>
    <w:p w14:paraId="1721B807" w14:textId="77777777" w:rsidR="00E01E78" w:rsidRPr="004F6D63" w:rsidRDefault="00E01E78" w:rsidP="00E01E78">
      <w:pPr>
        <w:jc w:val="center"/>
        <w:rPr>
          <w:rFonts w:ascii="Arial" w:hAnsi="Arial" w:cs="Arial"/>
          <w:i/>
          <w:sz w:val="24"/>
          <w:lang w:val="en-US"/>
        </w:rPr>
      </w:pPr>
      <w:r w:rsidRPr="004F6D63">
        <w:rPr>
          <w:rFonts w:ascii="Arial" w:hAnsi="Arial" w:cs="Arial"/>
          <w:i/>
          <w:sz w:val="24"/>
          <w:lang w:val="en-US"/>
        </w:rPr>
        <w:t xml:space="preserve">Preliminary title: </w:t>
      </w:r>
    </w:p>
    <w:p w14:paraId="039DA01D" w14:textId="77777777" w:rsidR="00E01E78" w:rsidRPr="004F6D63" w:rsidRDefault="0039141B" w:rsidP="00E01E78">
      <w:pPr>
        <w:jc w:val="center"/>
        <w:rPr>
          <w:rFonts w:ascii="Arial" w:hAnsi="Arial" w:cs="Arial"/>
          <w:lang w:val="en-US"/>
        </w:rPr>
      </w:pPr>
      <w:r w:rsidRPr="004F6D63">
        <w:rPr>
          <w:rFonts w:ascii="Arial" w:hAnsi="Arial" w:cs="Arial"/>
          <w:lang w:val="en-US"/>
        </w:rPr>
        <w:t xml:space="preserve">Integrated assessment of the coherence of </w:t>
      </w:r>
      <w:r w:rsidR="00E43E96" w:rsidRPr="004F6D63">
        <w:rPr>
          <w:rFonts w:ascii="Arial" w:hAnsi="Arial" w:cs="Arial"/>
          <w:lang w:val="en-US"/>
        </w:rPr>
        <w:t xml:space="preserve">current </w:t>
      </w:r>
      <w:r w:rsidRPr="004F6D63">
        <w:rPr>
          <w:rFonts w:ascii="Arial" w:hAnsi="Arial" w:cs="Arial"/>
          <w:lang w:val="en-US"/>
        </w:rPr>
        <w:t>climate &amp; land</w:t>
      </w:r>
      <w:r w:rsidR="00454978">
        <w:rPr>
          <w:rFonts w:ascii="Arial" w:hAnsi="Arial" w:cs="Arial"/>
          <w:lang w:val="en-US"/>
        </w:rPr>
        <w:t xml:space="preserve"> </w:t>
      </w:r>
      <w:r w:rsidRPr="004F6D63">
        <w:rPr>
          <w:rFonts w:ascii="Arial" w:hAnsi="Arial" w:cs="Arial"/>
          <w:lang w:val="en-US"/>
        </w:rPr>
        <w:t>use policy mixes</w:t>
      </w:r>
      <w:r w:rsidR="0047617E">
        <w:rPr>
          <w:rFonts w:ascii="Arial" w:hAnsi="Arial" w:cs="Arial"/>
          <w:lang w:val="en-US"/>
        </w:rPr>
        <w:t xml:space="preserve"> at</w:t>
      </w:r>
      <w:r w:rsidR="005F2478">
        <w:rPr>
          <w:rFonts w:ascii="Arial" w:hAnsi="Arial" w:cs="Arial"/>
          <w:lang w:val="en-US"/>
        </w:rPr>
        <w:t xml:space="preserve"> different </w:t>
      </w:r>
      <w:r w:rsidR="0047617E">
        <w:rPr>
          <w:rFonts w:ascii="Arial" w:hAnsi="Arial" w:cs="Arial"/>
          <w:lang w:val="en-US"/>
        </w:rPr>
        <w:t>spatial</w:t>
      </w:r>
      <w:r w:rsidR="005F2478">
        <w:rPr>
          <w:rFonts w:ascii="Arial" w:hAnsi="Arial" w:cs="Arial"/>
          <w:lang w:val="en-US"/>
        </w:rPr>
        <w:t xml:space="preserve"> scales</w:t>
      </w:r>
    </w:p>
    <w:p w14:paraId="51143B85" w14:textId="77777777" w:rsidR="00B272D1" w:rsidRPr="004F6D63" w:rsidRDefault="00B272D1" w:rsidP="00E01E78">
      <w:pPr>
        <w:jc w:val="center"/>
        <w:rPr>
          <w:rFonts w:ascii="Arial" w:hAnsi="Arial" w:cs="Arial"/>
          <w:lang w:val="en-US"/>
        </w:rPr>
      </w:pPr>
    </w:p>
    <w:p w14:paraId="103C45FF" w14:textId="77777777" w:rsidR="006252BC" w:rsidRPr="004F6D63" w:rsidRDefault="006252BC" w:rsidP="00E01E78">
      <w:pPr>
        <w:jc w:val="center"/>
        <w:rPr>
          <w:rFonts w:ascii="Arial" w:hAnsi="Arial" w:cs="Arial"/>
          <w:lang w:val="en-US"/>
        </w:rPr>
      </w:pPr>
    </w:p>
    <w:p w14:paraId="7355F198" w14:textId="77777777" w:rsidR="006252BC" w:rsidRPr="004F6D63" w:rsidRDefault="006252BC" w:rsidP="00E01E78">
      <w:pPr>
        <w:jc w:val="center"/>
        <w:rPr>
          <w:rFonts w:ascii="Arial" w:hAnsi="Arial" w:cs="Arial"/>
          <w:lang w:val="en-US"/>
        </w:rPr>
      </w:pPr>
    </w:p>
    <w:p w14:paraId="432249A2" w14:textId="77777777" w:rsidR="006252BC" w:rsidRPr="004F6D63" w:rsidRDefault="006252BC" w:rsidP="00E01E78">
      <w:pPr>
        <w:jc w:val="center"/>
        <w:rPr>
          <w:rFonts w:ascii="Arial" w:hAnsi="Arial" w:cs="Arial"/>
          <w:lang w:val="en-US"/>
        </w:rPr>
      </w:pPr>
    </w:p>
    <w:p w14:paraId="156F979B" w14:textId="77777777" w:rsidR="00E01E78" w:rsidRPr="004F6D63" w:rsidRDefault="00B272D1" w:rsidP="00E01E78">
      <w:pPr>
        <w:jc w:val="center"/>
        <w:rPr>
          <w:rFonts w:ascii="Arial" w:hAnsi="Arial" w:cs="Arial"/>
          <w:lang w:val="en-US"/>
        </w:rPr>
      </w:pPr>
      <w:r w:rsidRPr="004F6D63">
        <w:rPr>
          <w:rFonts w:ascii="Arial" w:hAnsi="Arial" w:cs="Arial"/>
          <w:lang w:val="en-US"/>
        </w:rPr>
        <w:t xml:space="preserve">November </w:t>
      </w:r>
      <w:r w:rsidRPr="004F6D63">
        <w:rPr>
          <w:rFonts w:ascii="Arial" w:hAnsi="Arial" w:cs="Arial"/>
          <w:color w:val="FF0000"/>
          <w:lang w:val="en-US"/>
        </w:rPr>
        <w:t>xx</w:t>
      </w:r>
      <w:r w:rsidRPr="004F6D63">
        <w:rPr>
          <w:rFonts w:ascii="Arial" w:hAnsi="Arial" w:cs="Arial"/>
          <w:lang w:val="en-US"/>
        </w:rPr>
        <w:t>th, 2019</w:t>
      </w:r>
    </w:p>
    <w:p w14:paraId="7517E148" w14:textId="77777777" w:rsidR="00B272D1" w:rsidRPr="004F6D63" w:rsidRDefault="00B272D1" w:rsidP="00B272D1">
      <w:pPr>
        <w:rPr>
          <w:rFonts w:ascii="Arial" w:hAnsi="Arial" w:cs="Arial"/>
          <w:lang w:val="en-US"/>
        </w:rPr>
      </w:pPr>
    </w:p>
    <w:p w14:paraId="302A8E67" w14:textId="77777777" w:rsidR="00E01E78" w:rsidRPr="004F6D63" w:rsidRDefault="00B272D1" w:rsidP="00B272D1">
      <w:pPr>
        <w:rPr>
          <w:rFonts w:ascii="Arial" w:hAnsi="Arial" w:cs="Arial"/>
          <w:b/>
          <w:lang w:val="en-US"/>
        </w:rPr>
      </w:pPr>
      <w:r w:rsidRPr="004F6D63">
        <w:rPr>
          <w:rFonts w:ascii="Arial" w:hAnsi="Arial" w:cs="Arial"/>
          <w:b/>
          <w:lang w:val="en-US"/>
        </w:rPr>
        <w:t xml:space="preserve">                </w:t>
      </w:r>
      <w:r w:rsidR="00E01E78" w:rsidRPr="004F6D63">
        <w:rPr>
          <w:rFonts w:ascii="Arial" w:hAnsi="Arial" w:cs="Arial"/>
          <w:b/>
          <w:lang w:val="en-US"/>
        </w:rPr>
        <w:t>Submitted by:                                                Supervised by:</w:t>
      </w:r>
    </w:p>
    <w:p w14:paraId="6BA5DA02" w14:textId="77777777" w:rsidR="001B7FA5" w:rsidRPr="004F6D63" w:rsidRDefault="001B7FA5" w:rsidP="00B272D1">
      <w:pPr>
        <w:spacing w:after="0"/>
        <w:ind w:left="708"/>
        <w:rPr>
          <w:rFonts w:ascii="Arial" w:hAnsi="Arial" w:cs="Arial"/>
          <w:lang w:val="en-US"/>
        </w:rPr>
      </w:pPr>
      <w:r w:rsidRPr="004F6D63">
        <w:rPr>
          <w:rFonts w:ascii="Arial" w:hAnsi="Arial" w:cs="Arial"/>
          <w:lang w:val="en-US"/>
        </w:rPr>
        <w:t>Edna J. Molina Bacca</w:t>
      </w:r>
      <w:r w:rsidR="006252BC" w:rsidRPr="004F6D63">
        <w:rPr>
          <w:rFonts w:ascii="Arial" w:hAnsi="Arial" w:cs="Arial"/>
          <w:lang w:val="en-US"/>
        </w:rPr>
        <w:tab/>
        <w:t xml:space="preserve">              </w:t>
      </w:r>
      <w:r w:rsidR="00B272D1" w:rsidRPr="004F6D63">
        <w:rPr>
          <w:rFonts w:ascii="Arial" w:hAnsi="Arial" w:cs="Arial"/>
          <w:lang w:val="en-US"/>
        </w:rPr>
        <w:t>Prof. Dr. Hermann Lotze-Campen</w:t>
      </w:r>
    </w:p>
    <w:p w14:paraId="54A981B3" w14:textId="77777777" w:rsidR="00B272D1" w:rsidRPr="004F6D63" w:rsidRDefault="00B272D1" w:rsidP="00B272D1">
      <w:pPr>
        <w:spacing w:after="0"/>
        <w:ind w:left="708"/>
        <w:rPr>
          <w:rFonts w:ascii="Arial" w:hAnsi="Arial" w:cs="Arial"/>
          <w:lang w:val="en-US"/>
        </w:rPr>
      </w:pPr>
      <w:r w:rsidRPr="004F6D63">
        <w:rPr>
          <w:rFonts w:ascii="Arial" w:hAnsi="Arial" w:cs="Arial"/>
          <w:lang w:val="en-US"/>
        </w:rPr>
        <w:t xml:space="preserve">Taubenbogen 2 A2.19                         Potsdam Institute for Climate Impact Research </w:t>
      </w:r>
    </w:p>
    <w:p w14:paraId="05E19D5A" w14:textId="77777777" w:rsidR="00B272D1" w:rsidRPr="004F6D63" w:rsidRDefault="00B272D1" w:rsidP="00B272D1">
      <w:pPr>
        <w:spacing w:after="0"/>
        <w:ind w:left="708"/>
        <w:rPr>
          <w:rFonts w:ascii="Arial" w:hAnsi="Arial" w:cs="Arial"/>
          <w:lang w:val="en-US"/>
        </w:rPr>
      </w:pPr>
      <w:r w:rsidRPr="004F6D63">
        <w:rPr>
          <w:rFonts w:ascii="Arial" w:hAnsi="Arial" w:cs="Arial"/>
          <w:lang w:val="en-US"/>
        </w:rPr>
        <w:t>14476</w:t>
      </w:r>
      <w:r w:rsidR="006252BC" w:rsidRPr="004F6D63">
        <w:rPr>
          <w:rFonts w:ascii="Arial" w:hAnsi="Arial" w:cs="Arial"/>
          <w:lang w:val="en-US"/>
        </w:rPr>
        <w:t>.</w:t>
      </w:r>
      <w:r w:rsidRPr="004F6D63">
        <w:rPr>
          <w:rFonts w:ascii="Arial" w:hAnsi="Arial" w:cs="Arial"/>
          <w:lang w:val="en-US"/>
        </w:rPr>
        <w:t xml:space="preserve"> Potsdam</w:t>
      </w:r>
      <w:r w:rsidRPr="004F6D63">
        <w:rPr>
          <w:rFonts w:ascii="Arial" w:hAnsi="Arial" w:cs="Arial"/>
          <w:lang w:val="en-US"/>
        </w:rPr>
        <w:tab/>
      </w:r>
      <w:r w:rsidRPr="004F6D63">
        <w:rPr>
          <w:rFonts w:ascii="Arial" w:hAnsi="Arial" w:cs="Arial"/>
          <w:lang w:val="en-US"/>
        </w:rPr>
        <w:tab/>
      </w:r>
      <w:r w:rsidRPr="004F6D63">
        <w:rPr>
          <w:rFonts w:ascii="Arial" w:hAnsi="Arial" w:cs="Arial"/>
          <w:lang w:val="en-US"/>
        </w:rPr>
        <w:tab/>
        <w:t xml:space="preserve">   RD II –Climate Resilience</w:t>
      </w:r>
    </w:p>
    <w:p w14:paraId="3B5E39B2" w14:textId="77777777" w:rsidR="00B272D1" w:rsidRPr="004F6D63" w:rsidRDefault="00E5795D" w:rsidP="00B272D1">
      <w:pPr>
        <w:spacing w:after="0"/>
        <w:ind w:left="708"/>
        <w:rPr>
          <w:rFonts w:ascii="Arial" w:hAnsi="Arial" w:cs="Arial"/>
          <w:lang w:val="en-US"/>
        </w:rPr>
      </w:pPr>
      <w:hyperlink r:id="rId10" w:history="1">
        <w:r w:rsidR="00B272D1" w:rsidRPr="004F6D63">
          <w:rPr>
            <w:rStyle w:val="Hyperlink"/>
            <w:rFonts w:ascii="Arial" w:hAnsi="Arial" w:cs="Arial"/>
            <w:lang w:val="en-US"/>
          </w:rPr>
          <w:t>mbacca@pik-potsdam.de</w:t>
        </w:r>
      </w:hyperlink>
      <w:r w:rsidR="00B272D1" w:rsidRPr="004F6D63">
        <w:rPr>
          <w:rFonts w:ascii="Arial" w:hAnsi="Arial" w:cs="Arial"/>
          <w:lang w:val="en-US"/>
        </w:rPr>
        <w:t xml:space="preserve">                    Humboldt University, Berlin</w:t>
      </w:r>
    </w:p>
    <w:p w14:paraId="28D83DC1" w14:textId="77777777" w:rsidR="00B272D1" w:rsidRPr="004F6D63" w:rsidRDefault="00B272D1" w:rsidP="00B272D1">
      <w:pPr>
        <w:spacing w:after="0"/>
        <w:ind w:left="708"/>
        <w:rPr>
          <w:rFonts w:ascii="Arial" w:hAnsi="Arial" w:cs="Arial"/>
          <w:lang w:val="en-US"/>
        </w:rPr>
      </w:pPr>
      <w:r w:rsidRPr="004F6D63">
        <w:rPr>
          <w:rFonts w:ascii="Arial" w:hAnsi="Arial" w:cs="Arial"/>
          <w:lang w:val="en-US"/>
        </w:rPr>
        <w:tab/>
      </w:r>
      <w:r w:rsidRPr="004F6D63">
        <w:rPr>
          <w:rFonts w:ascii="Arial" w:hAnsi="Arial" w:cs="Arial"/>
          <w:lang w:val="en-US"/>
        </w:rPr>
        <w:tab/>
      </w:r>
      <w:r w:rsidRPr="004F6D63">
        <w:rPr>
          <w:rFonts w:ascii="Arial" w:hAnsi="Arial" w:cs="Arial"/>
          <w:lang w:val="en-US"/>
        </w:rPr>
        <w:tab/>
      </w:r>
      <w:r w:rsidRPr="004F6D63">
        <w:rPr>
          <w:rFonts w:ascii="Arial" w:hAnsi="Arial" w:cs="Arial"/>
          <w:lang w:val="en-US"/>
        </w:rPr>
        <w:tab/>
      </w:r>
      <w:r w:rsidRPr="004F6D63">
        <w:rPr>
          <w:rFonts w:ascii="Arial" w:hAnsi="Arial" w:cs="Arial"/>
          <w:lang w:val="en-US"/>
        </w:rPr>
        <w:tab/>
        <w:t xml:space="preserve">   Department of Agricultural Economics</w:t>
      </w:r>
    </w:p>
    <w:p w14:paraId="0AC5D1A9" w14:textId="77777777" w:rsidR="00E01E78" w:rsidRPr="004F6D63" w:rsidRDefault="00E01E78" w:rsidP="00E01E78">
      <w:pPr>
        <w:jc w:val="center"/>
        <w:rPr>
          <w:rFonts w:ascii="Arial" w:hAnsi="Arial" w:cs="Arial"/>
          <w:lang w:val="en-US"/>
        </w:rPr>
      </w:pPr>
    </w:p>
    <w:p w14:paraId="6208EAE1" w14:textId="77777777" w:rsidR="00E01E78" w:rsidRPr="004F6D63" w:rsidRDefault="00E01E78" w:rsidP="00E01E78">
      <w:pPr>
        <w:jc w:val="center"/>
        <w:rPr>
          <w:rFonts w:ascii="Arial" w:hAnsi="Arial" w:cs="Arial"/>
          <w:lang w:val="en-US"/>
        </w:rPr>
      </w:pPr>
    </w:p>
    <w:p w14:paraId="0B279335" w14:textId="77777777" w:rsidR="006252BC" w:rsidRPr="004F6D63" w:rsidRDefault="006252BC" w:rsidP="00E01E78">
      <w:pPr>
        <w:jc w:val="center"/>
        <w:rPr>
          <w:rFonts w:ascii="Arial" w:hAnsi="Arial" w:cs="Arial"/>
          <w:lang w:val="en-US"/>
        </w:rPr>
      </w:pPr>
    </w:p>
    <w:p w14:paraId="08470716" w14:textId="77777777" w:rsidR="00E01E78" w:rsidRPr="004F6D63" w:rsidRDefault="00E01E78" w:rsidP="00B272D1">
      <w:pPr>
        <w:rPr>
          <w:rFonts w:ascii="Arial" w:hAnsi="Arial" w:cs="Arial"/>
          <w:lang w:val="en-US"/>
        </w:rPr>
      </w:pPr>
      <w:r w:rsidRPr="004F6D63">
        <w:rPr>
          <w:rFonts w:ascii="Arial" w:hAnsi="Arial" w:cs="Arial"/>
          <w:lang w:val="en-US"/>
        </w:rPr>
        <w:tab/>
      </w:r>
      <w:r w:rsidRPr="004F6D63">
        <w:rPr>
          <w:rFonts w:ascii="Arial" w:hAnsi="Arial" w:cs="Arial"/>
          <w:lang w:val="en-US"/>
        </w:rPr>
        <w:tab/>
      </w:r>
      <w:r w:rsidRPr="004F6D63">
        <w:rPr>
          <w:rFonts w:ascii="Arial" w:hAnsi="Arial" w:cs="Arial"/>
          <w:lang w:val="en-US"/>
        </w:rPr>
        <w:tab/>
      </w:r>
    </w:p>
    <w:p w14:paraId="27E79EA0" w14:textId="77777777" w:rsidR="002D56F0" w:rsidRPr="004F6D63" w:rsidRDefault="00B272D1" w:rsidP="00E01E78">
      <w:pPr>
        <w:jc w:val="center"/>
        <w:rPr>
          <w:rFonts w:ascii="Arial" w:hAnsi="Arial" w:cs="Arial"/>
          <w:lang w:val="en-US"/>
        </w:rPr>
      </w:pPr>
      <w:r w:rsidRPr="004F6D63">
        <w:rPr>
          <w:noProof/>
          <w:lang w:eastAsia="de-DE"/>
        </w:rPr>
        <w:drawing>
          <wp:inline distT="0" distB="0" distL="0" distR="0" wp14:anchorId="59A03EB4" wp14:editId="7392648A">
            <wp:extent cx="1383175" cy="1383175"/>
            <wp:effectExtent l="0" t="0" r="7620" b="7620"/>
            <wp:docPr id="1" name="Picture 1" descr="Resultado de imagen para hu berl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hu berlin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88893" cy="1388893"/>
                    </a:xfrm>
                    <a:prstGeom prst="rect">
                      <a:avLst/>
                    </a:prstGeom>
                    <a:noFill/>
                    <a:ln>
                      <a:noFill/>
                    </a:ln>
                  </pic:spPr>
                </pic:pic>
              </a:graphicData>
            </a:graphic>
          </wp:inline>
        </w:drawing>
      </w:r>
    </w:p>
    <w:p w14:paraId="7BBD2C79" w14:textId="77777777" w:rsidR="002D56F0" w:rsidRPr="004F6D63" w:rsidRDefault="002D56F0" w:rsidP="00454978">
      <w:pPr>
        <w:pStyle w:val="Heading1"/>
        <w:rPr>
          <w:lang w:val="en-US"/>
        </w:rPr>
      </w:pPr>
      <w:r w:rsidRPr="00454978">
        <w:lastRenderedPageBreak/>
        <w:t>Motivation</w:t>
      </w:r>
      <w:r w:rsidR="004F6D63">
        <w:rPr>
          <w:lang w:val="en-US"/>
        </w:rPr>
        <w:t xml:space="preserve"> </w:t>
      </w:r>
    </w:p>
    <w:p w14:paraId="236021AF" w14:textId="77777777" w:rsidR="00F75CF3" w:rsidRDefault="00BA79F1" w:rsidP="00454978">
      <w:pPr>
        <w:pStyle w:val="ListParagraph"/>
        <w:numPr>
          <w:ilvl w:val="1"/>
          <w:numId w:val="1"/>
        </w:numPr>
        <w:ind w:left="426" w:hanging="426"/>
        <w:rPr>
          <w:rStyle w:val="SubtleEmphasis"/>
          <w:lang w:val="en-US"/>
        </w:rPr>
      </w:pPr>
      <w:r w:rsidRPr="004F6D63">
        <w:rPr>
          <w:rStyle w:val="SubtleEmphasis"/>
          <w:lang w:val="en-US"/>
        </w:rPr>
        <w:t>Land</w:t>
      </w:r>
      <w:r w:rsidR="00454978">
        <w:rPr>
          <w:rStyle w:val="SubtleEmphasis"/>
          <w:lang w:val="en-US"/>
        </w:rPr>
        <w:t xml:space="preserve"> </w:t>
      </w:r>
      <w:r w:rsidRPr="004F6D63">
        <w:rPr>
          <w:rStyle w:val="SubtleEmphasis"/>
          <w:lang w:val="en-US"/>
        </w:rPr>
        <w:t xml:space="preserve">use </w:t>
      </w:r>
      <w:r w:rsidR="00F75CF3" w:rsidRPr="004F6D63">
        <w:rPr>
          <w:rStyle w:val="SubtleEmphasis"/>
          <w:lang w:val="en-US"/>
        </w:rPr>
        <w:t>Global Outlook</w:t>
      </w:r>
      <w:r w:rsidR="00454978">
        <w:rPr>
          <w:rStyle w:val="SubtleEmphasis"/>
          <w:lang w:val="en-US"/>
        </w:rPr>
        <w:t xml:space="preserve"> and current </w:t>
      </w:r>
      <w:r w:rsidR="00454978" w:rsidRPr="00454978">
        <w:rPr>
          <w:rStyle w:val="SubtleEmphasis"/>
          <w:lang w:val="en-US"/>
        </w:rPr>
        <w:t>pressure</w:t>
      </w:r>
      <w:r w:rsidR="00454978">
        <w:rPr>
          <w:rStyle w:val="SubtleEmphasis"/>
          <w:lang w:val="en-US"/>
        </w:rPr>
        <w:t>s</w:t>
      </w:r>
    </w:p>
    <w:p w14:paraId="39F8F6A3" w14:textId="77777777" w:rsidR="009A683C" w:rsidRDefault="005C08FF" w:rsidP="00A87296">
      <w:pPr>
        <w:jc w:val="both"/>
        <w:rPr>
          <w:rFonts w:ascii="Arial" w:hAnsi="Arial" w:cs="Arial"/>
          <w:lang w:val="en-US"/>
        </w:rPr>
      </w:pPr>
      <w:r w:rsidRPr="005C08FF">
        <w:rPr>
          <w:rFonts w:ascii="Arial" w:hAnsi="Arial" w:cs="Arial"/>
          <w:lang w:val="en-US"/>
        </w:rPr>
        <w:t>Modern agriculture has reshaped our world in ways rarely seen before in history. The introduction of energy-intensive farming in the early 1900s made it possible for food production to keep up with the growing population. However, this intensification led to the coverage of half of the world's surface area by cultivated crops; pasture grazed by domestic animals and production forests. This, unprecedented, direct human alteration of ecosystems has been environmentally devastating at local, national and global scales</w:t>
      </w:r>
      <w:r w:rsidR="004C3D1D">
        <w:rPr>
          <w:rFonts w:ascii="Arial" w:hAnsi="Arial" w:cs="Arial"/>
          <w:lang w:val="en-US"/>
        </w:rPr>
        <w:t xml:space="preserve"> </w:t>
      </w:r>
      <w:r w:rsidR="004C3D1D">
        <w:rPr>
          <w:rFonts w:ascii="Arial" w:hAnsi="Arial" w:cs="Arial"/>
          <w:lang w:val="en-US"/>
        </w:rPr>
        <w:fldChar w:fldCharType="begin" w:fldLock="1"/>
      </w:r>
      <w:r w:rsidR="008646CC">
        <w:rPr>
          <w:rFonts w:ascii="Arial" w:hAnsi="Arial" w:cs="Arial"/>
          <w:lang w:val="en-US"/>
        </w:rPr>
        <w:instrText>ADDIN CSL_CITATION {"citationItems":[{"id":"ITEM-1","itemData":{"author":[{"dropping-particle":"","family":"UNCCD","given":"","non-dropping-particle":"","parse-names":false,"suffix":""}],"id":"ITEM-1","issued":{"date-parts":[["2017"]]},"publisher-place":"Bonn, Germany","title":"The Global Land Outlook, first Edition","type":"report"},"uris":["http://www.mendeley.com/documents/?uuid=428a0ae5-9627-4f05-a975-ec671223894d"]}],"mendeley":{"formattedCitation":"&lt;sup&gt;1&lt;/sup&gt;","plainTextFormattedCitation":"1","previouslyFormattedCitation":"&lt;sup&gt;1&lt;/sup&gt;"},"properties":{"noteIndex":0},"schema":"https://github.com/citation-style-language/schema/raw/master/csl-citation.json"}</w:instrText>
      </w:r>
      <w:r w:rsidR="004C3D1D">
        <w:rPr>
          <w:rFonts w:ascii="Arial" w:hAnsi="Arial" w:cs="Arial"/>
          <w:lang w:val="en-US"/>
        </w:rPr>
        <w:fldChar w:fldCharType="separate"/>
      </w:r>
      <w:r w:rsidR="004C3D1D" w:rsidRPr="004C3D1D">
        <w:rPr>
          <w:rFonts w:ascii="Arial" w:hAnsi="Arial" w:cs="Arial"/>
          <w:noProof/>
          <w:vertAlign w:val="superscript"/>
          <w:lang w:val="en-US"/>
        </w:rPr>
        <w:t>1</w:t>
      </w:r>
      <w:r w:rsidR="004C3D1D">
        <w:rPr>
          <w:rFonts w:ascii="Arial" w:hAnsi="Arial" w:cs="Arial"/>
          <w:lang w:val="en-US"/>
        </w:rPr>
        <w:fldChar w:fldCharType="end"/>
      </w:r>
      <w:r w:rsidR="001A2F3B">
        <w:rPr>
          <w:rFonts w:ascii="Arial" w:hAnsi="Arial" w:cs="Arial"/>
          <w:lang w:val="en-US"/>
        </w:rPr>
        <w:t>.</w:t>
      </w:r>
    </w:p>
    <w:p w14:paraId="1F1AB0AC" w14:textId="77777777" w:rsidR="005C08FF" w:rsidRDefault="005C08FF" w:rsidP="00AA7861">
      <w:pPr>
        <w:jc w:val="both"/>
        <w:rPr>
          <w:rFonts w:ascii="Arial" w:hAnsi="Arial" w:cs="Arial"/>
          <w:lang w:val="en-US"/>
        </w:rPr>
      </w:pPr>
      <w:r w:rsidRPr="005C08FF">
        <w:rPr>
          <w:rFonts w:ascii="Arial" w:hAnsi="Arial" w:cs="Arial"/>
          <w:lang w:val="en-US"/>
        </w:rPr>
        <w:t xml:space="preserve">The </w:t>
      </w:r>
      <w:r w:rsidR="006A0839">
        <w:rPr>
          <w:rFonts w:ascii="Arial" w:hAnsi="Arial" w:cs="Arial"/>
          <w:lang w:val="en-US"/>
        </w:rPr>
        <w:t xml:space="preserve">global </w:t>
      </w:r>
      <w:r w:rsidRPr="005C08FF">
        <w:rPr>
          <w:rFonts w:ascii="Arial" w:hAnsi="Arial" w:cs="Arial"/>
          <w:lang w:val="en-US"/>
        </w:rPr>
        <w:t xml:space="preserve">demand for land </w:t>
      </w:r>
      <w:r w:rsidR="006A0839">
        <w:rPr>
          <w:rFonts w:ascii="Arial" w:hAnsi="Arial" w:cs="Arial"/>
          <w:lang w:val="en-US"/>
        </w:rPr>
        <w:t>keeps</w:t>
      </w:r>
      <w:r w:rsidRPr="005C08FF">
        <w:rPr>
          <w:rFonts w:ascii="Arial" w:hAnsi="Arial" w:cs="Arial"/>
          <w:lang w:val="en-US"/>
        </w:rPr>
        <w:t xml:space="preserve"> continuously increas</w:t>
      </w:r>
      <w:r w:rsidR="006A0839">
        <w:rPr>
          <w:rFonts w:ascii="Arial" w:hAnsi="Arial" w:cs="Arial"/>
          <w:lang w:val="en-US"/>
        </w:rPr>
        <w:t>ing</w:t>
      </w:r>
      <w:r w:rsidRPr="005C08FF">
        <w:rPr>
          <w:rFonts w:ascii="Arial" w:hAnsi="Arial" w:cs="Arial"/>
          <w:lang w:val="en-US"/>
        </w:rPr>
        <w:t>. This growth is currently driven by land-intensive nutrition of a growing population; a shift back to crop-based bioenergy fuels; expansion of human settlements;  stabilization of ecosystems by biodiversity preservation; and carbon seques</w:t>
      </w:r>
      <w:r>
        <w:rPr>
          <w:rFonts w:ascii="Arial" w:hAnsi="Arial" w:cs="Arial"/>
          <w:lang w:val="en-US"/>
        </w:rPr>
        <w:t>tration through afforestation</w:t>
      </w:r>
      <w:r w:rsidRPr="005C08FF">
        <w:rPr>
          <w:rFonts w:ascii="Arial" w:hAnsi="Arial" w:cs="Arial"/>
          <w:lang w:val="en-US"/>
        </w:rPr>
        <w:t xml:space="preserve"> </w:t>
      </w:r>
      <w:r w:rsidR="00AA7861">
        <w:rPr>
          <w:rFonts w:ascii="Arial" w:hAnsi="Arial" w:cs="Arial"/>
          <w:lang w:val="en-US"/>
        </w:rPr>
        <w:fldChar w:fldCharType="begin" w:fldLock="1"/>
      </w:r>
      <w:r w:rsidR="008646CC">
        <w:rPr>
          <w:rFonts w:ascii="Arial" w:hAnsi="Arial" w:cs="Arial"/>
          <w:lang w:val="en-US"/>
        </w:rPr>
        <w:instrText>ADDIN CSL_CITATION {"citationItems":[{"id":"ITEM-1","itemData":{"DOI":"10.1017/sus.2018.15","ISSN":"2059-4798","abstract":"Global land is turning into an increasingly scarce resource. We here present a comprehensive assessment of co-occuring land-use change from 2000 until 2010, compiling existing spatially explicit data sources for different land uses, and building on a rich literature addressing specific land-use changes in all world regions. This review systematically categorizes patterns of land use, including regional urbanization and agricultural expansion but also globally telecoupled land-use change for all world regions. Managing land-use change patterns across the globe requires global governance.Here we present a comprehensive assessment of the extent and density of multiple drivers and impacts of land-use change. We combine and reanalyze spatially explicit data of global land-use change between 2000 and 2010 for population, livestock, cropland, terrestrial carbon and biodiversity. We find pervasive pressure on biodiversity but varying patterns of gross land-use changes across world regions. Our findings enable a classification of land-use patterns into three types. The ‘consumers’ type, displayed in Europe and North America, features high land footprints, reduced direct human pressures due to intensification of agriculture, and increased reliance on imports, enabling a partial recovery of terrestrial carbon and reducing pressure on biodiversity. In the ‘producer’ type, most clearly epitomized by Latin America, telecoupled land-use links drive biodiversity and carbon loss. In the ‘mover’ type, we find strong direct domestic pressures, but with a wide variety of outcomes, ranging from a concurrent expansion of population, livestock and croplands in Sub-Saharan Africa at the cost of natural habitats to strong pressure on cropland by urbanization in Eastern Asia. In addition, anthropogenic climate change has already left a distinct footprint on global land-use change. Our data- and literature-based assessment reveals region-specific opportunities for managing global land-use change.","author":[{"dropping-particle":"","family":"Creutzig","given":"Felix","non-dropping-particle":"","parse-names":false,"suffix":""},{"dropping-particle":"","family":"Bren d'Amour","given":"Christopher","non-dropping-particle":"","parse-names":false,"suffix":""},{"dropping-particle":"","family":"Weddige","given":"Ulf","non-dropping-particle":"","parse-names":false,"suffix":""},{"dropping-particle":"","family":"Fuss","given":"Sabine","non-dropping-particle":"","parse-names":false,"suffix":""},{"dropping-particle":"","family":"Beringer","given":"Tim","non-dropping-particle":"","parse-names":false,"suffix":""},{"dropping-particle":"","family":"Gläser","given":"Anne","non-dropping-particle":"","parse-names":false,"suffix":""},{"dropping-particle":"","family":"Kalkuhl","given":"Matthias","non-dropping-particle":"","parse-names":false,"suffix":""},{"dropping-particle":"","family":"Steckel","given":"Jan Christoph","non-dropping-particle":"","parse-names":false,"suffix":""},{"dropping-particle":"","family":"Radebach","given":"Alexander","non-dropping-particle":"","parse-names":false,"suffix":""},{"dropping-particle":"","family":"Edenhofer","given":"Ottmar","non-dropping-particle":"","parse-names":false,"suffix":""}],"container-title":"Global Sustainability","id":"ITEM-1","issued":{"date-parts":[["2019"]]},"page":"1-17","title":"Assessing human and environmental pressures of global land-use change 2000–2010","type":"article-journal","volume":"2"},"uris":["http://www.mendeley.com/documents/?uuid=dc00540d-437b-4618-b4c0-f0859679f653"]}],"mendeley":{"formattedCitation":"&lt;sup&gt;2&lt;/sup&gt;","plainTextFormattedCitation":"2","previouslyFormattedCitation":"&lt;sup&gt;2&lt;/sup&gt;"},"properties":{"noteIndex":0},"schema":"https://github.com/citation-style-language/schema/raw/master/csl-citation.json"}</w:instrText>
      </w:r>
      <w:r w:rsidR="00AA7861">
        <w:rPr>
          <w:rFonts w:ascii="Arial" w:hAnsi="Arial" w:cs="Arial"/>
          <w:lang w:val="en-US"/>
        </w:rPr>
        <w:fldChar w:fldCharType="separate"/>
      </w:r>
      <w:r w:rsidR="004C3D1D" w:rsidRPr="004C3D1D">
        <w:rPr>
          <w:rFonts w:ascii="Arial" w:hAnsi="Arial" w:cs="Arial"/>
          <w:noProof/>
          <w:vertAlign w:val="superscript"/>
          <w:lang w:val="en-US"/>
        </w:rPr>
        <w:t>2</w:t>
      </w:r>
      <w:r w:rsidR="00AA7861">
        <w:rPr>
          <w:rFonts w:ascii="Arial" w:hAnsi="Arial" w:cs="Arial"/>
          <w:lang w:val="en-US"/>
        </w:rPr>
        <w:fldChar w:fldCharType="end"/>
      </w:r>
      <w:r w:rsidR="00AA7861">
        <w:rPr>
          <w:rFonts w:ascii="Arial" w:hAnsi="Arial" w:cs="Arial"/>
          <w:lang w:val="en-US"/>
        </w:rPr>
        <w:t>.</w:t>
      </w:r>
    </w:p>
    <w:p w14:paraId="5DF867B6" w14:textId="77777777" w:rsidR="001B7FA5" w:rsidRDefault="001015ED" w:rsidP="00AA7861">
      <w:pPr>
        <w:jc w:val="both"/>
        <w:rPr>
          <w:rFonts w:ascii="Arial" w:hAnsi="Arial" w:cs="Arial"/>
          <w:lang w:val="en-US"/>
        </w:rPr>
      </w:pPr>
      <w:r>
        <w:rPr>
          <w:rFonts w:ascii="Arial" w:hAnsi="Arial" w:cs="Arial"/>
          <w:lang w:val="en-US"/>
        </w:rPr>
        <w:t xml:space="preserve"> </w:t>
      </w:r>
      <w:r w:rsidR="0079387F">
        <w:rPr>
          <w:rFonts w:ascii="Arial" w:hAnsi="Arial" w:cs="Arial"/>
          <w:lang w:val="en-US"/>
        </w:rPr>
        <w:t>Numbers land coverage</w:t>
      </w:r>
    </w:p>
    <w:p w14:paraId="1DAF97EC" w14:textId="77777777" w:rsidR="005C08FF" w:rsidRPr="004F6D63" w:rsidRDefault="0079387F" w:rsidP="00AA7861">
      <w:pPr>
        <w:jc w:val="both"/>
        <w:rPr>
          <w:rFonts w:ascii="Arial" w:hAnsi="Arial" w:cs="Arial"/>
          <w:lang w:val="en-US"/>
        </w:rPr>
      </w:pPr>
      <w:r>
        <w:rPr>
          <w:rFonts w:ascii="Arial" w:hAnsi="Arial" w:cs="Arial"/>
          <w:lang w:val="en-US"/>
        </w:rPr>
        <w:t>Pressures</w:t>
      </w:r>
    </w:p>
    <w:p w14:paraId="7463F44D" w14:textId="77777777" w:rsidR="00BA79F1" w:rsidRDefault="006A0839" w:rsidP="00454978">
      <w:pPr>
        <w:pStyle w:val="ListParagraph"/>
        <w:numPr>
          <w:ilvl w:val="1"/>
          <w:numId w:val="1"/>
        </w:numPr>
        <w:ind w:left="426" w:hanging="426"/>
        <w:rPr>
          <w:rStyle w:val="SubtleEmphasis"/>
          <w:lang w:val="en-US"/>
        </w:rPr>
      </w:pPr>
      <w:r>
        <w:rPr>
          <w:rStyle w:val="SubtleEmphasis"/>
          <w:lang w:val="en-US"/>
        </w:rPr>
        <w:t>Policy mixes</w:t>
      </w:r>
    </w:p>
    <w:p w14:paraId="39A01753" w14:textId="77777777" w:rsidR="0079387F" w:rsidRPr="0079387F" w:rsidRDefault="0079387F" w:rsidP="0079387F">
      <w:pPr>
        <w:jc w:val="both"/>
        <w:rPr>
          <w:rFonts w:ascii="Arial" w:hAnsi="Arial" w:cs="Arial"/>
          <w:lang w:val="en-US"/>
        </w:rPr>
      </w:pPr>
      <w:r w:rsidRPr="0079387F">
        <w:rPr>
          <w:rFonts w:ascii="Arial" w:hAnsi="Arial" w:cs="Arial"/>
          <w:lang w:val="en-US"/>
        </w:rPr>
        <w:t>The appropriate design and implementation of diverse climate and land-use policies, at regional and even continental scale, can contribute to climate adaptation and mitigation. Policies can potentially enhance the optimal management of resources, social resilience, and ecological restoration</w:t>
      </w:r>
      <w:r w:rsidR="007A224D">
        <w:rPr>
          <w:rFonts w:ascii="Arial" w:hAnsi="Arial" w:cs="Arial"/>
          <w:lang w:val="en-US"/>
        </w:rPr>
        <w:t xml:space="preserve"> </w:t>
      </w:r>
      <w:r w:rsidR="007A224D">
        <w:rPr>
          <w:rFonts w:ascii="Arial" w:hAnsi="Arial" w:cs="Arial"/>
          <w:lang w:val="en-US"/>
        </w:rPr>
        <w:fldChar w:fldCharType="begin" w:fldLock="1"/>
      </w:r>
      <w:r w:rsidR="0072327A">
        <w:rPr>
          <w:rFonts w:ascii="Arial" w:hAnsi="Arial" w:cs="Arial"/>
          <w:lang w:val="en-US"/>
        </w:rPr>
        <w:instrText>ADDIN CSL_CITATION {"citationItems":[{"id":"ITEM-1","itemData":{"DOI":"10.1175/BAMS-D-14-00221.1","ISSN":"00030007","abstract":"AbstractBoth observational and modeling studies clearly demonstrate that land-use and land-cover change (LULCC) play an important biogeophysical and biogeochemical role in the climate system from the landscape to regional and even continental scales. Without comprehensively considering these impacts, an adequate response to the threats posed by human intervention into the climate system will not be adequate.Public policy plays an important role in shaping local- to national-scale land-use practices. An array of national policies has been developed to influence the nature and spatial extent of LULCC. Observational evidence suggests that these policies, in addition to international trade treaties and protocols, have direct effects on LULCC and thus the climate system.However, these policies, agreements, and protocols fail to adequately recognize these impacts. To make these more effective and thus to minimize climatic impacts, we propose several recommendations: 1) translating international treaties and pro...","author":[{"dropping-particle":"","family":"Mahmood","given":"Rezaul","non-dropping-particle":"","parse-names":false,"suffix":""},{"dropping-particle":"","family":"Pielke","given":"Roger A.","non-dropping-particle":"","parse-names":false,"suffix":""},{"dropping-particle":"","family":"McAlpine","given":"Clive A.","non-dropping-particle":"","parse-names":false,"suffix":""}],"container-title":"Bulletin of the American Meteorological Society","id":"ITEM-1","issue":"2","issued":{"date-parts":[["2016"]]},"page":"195-202","title":"Climate-relevant land use and land cover change policies","type":"article-journal","volume":"97"},"uris":["http://www.mendeley.com/documents/?uuid=fe69a186-4785-4b64-95d4-7c638ba25ed4"]}],"mendeley":{"formattedCitation":"&lt;sup&gt;3&lt;/sup&gt;","plainTextFormattedCitation":"3","previouslyFormattedCitation":"&lt;sup&gt;3&lt;/sup&gt;"},"properties":{"noteIndex":0},"schema":"https://github.com/citation-style-language/schema/raw/master/csl-citation.json"}</w:instrText>
      </w:r>
      <w:r w:rsidR="007A224D">
        <w:rPr>
          <w:rFonts w:ascii="Arial" w:hAnsi="Arial" w:cs="Arial"/>
          <w:lang w:val="en-US"/>
        </w:rPr>
        <w:fldChar w:fldCharType="separate"/>
      </w:r>
      <w:r w:rsidR="007A224D" w:rsidRPr="007A224D">
        <w:rPr>
          <w:rFonts w:ascii="Arial" w:hAnsi="Arial" w:cs="Arial"/>
          <w:noProof/>
          <w:vertAlign w:val="superscript"/>
          <w:lang w:val="en-US"/>
        </w:rPr>
        <w:t>3</w:t>
      </w:r>
      <w:r w:rsidR="007A224D">
        <w:rPr>
          <w:rFonts w:ascii="Arial" w:hAnsi="Arial" w:cs="Arial"/>
          <w:lang w:val="en-US"/>
        </w:rPr>
        <w:fldChar w:fldCharType="end"/>
      </w:r>
      <w:r w:rsidRPr="0079387F">
        <w:rPr>
          <w:rFonts w:ascii="Arial" w:hAnsi="Arial" w:cs="Arial"/>
          <w:lang w:val="en-US"/>
        </w:rPr>
        <w:t>. With this in mind, policies should be mutually supportive and aim to bring together different stakeholders to reduce the risks and barriers to implementation.</w:t>
      </w:r>
    </w:p>
    <w:p w14:paraId="4DAB8D9D" w14:textId="77777777" w:rsidR="0079387F" w:rsidRPr="0079387F" w:rsidRDefault="0079387F" w:rsidP="0079387F">
      <w:pPr>
        <w:jc w:val="both"/>
        <w:rPr>
          <w:rFonts w:ascii="Arial" w:hAnsi="Arial" w:cs="Arial"/>
          <w:lang w:val="en-US"/>
        </w:rPr>
      </w:pPr>
      <w:r w:rsidRPr="0079387F">
        <w:rPr>
          <w:rFonts w:ascii="Arial" w:hAnsi="Arial" w:cs="Arial"/>
          <w:lang w:val="en-US"/>
        </w:rPr>
        <w:t>Policies relevant to climate and land-use usually address food security (availability, access, utilization, stability of food and social protection), land degradation and desertification (land degradation neutrality, land-use zoning, conservation of biodiversity and ecosystem services, standards and certification for sustainability of biomass and land-use sectors), sustainable land management, climate-related extremes (droughts, fires, floods), and GHG flux for climate change mitigation</w:t>
      </w:r>
      <w:r w:rsidR="0072327A">
        <w:rPr>
          <w:rFonts w:ascii="Arial" w:hAnsi="Arial" w:cs="Arial"/>
          <w:lang w:val="en-US"/>
        </w:rPr>
        <w:fldChar w:fldCharType="begin" w:fldLock="1"/>
      </w:r>
      <w:r w:rsidR="00116F02">
        <w:rPr>
          <w:rFonts w:ascii="Arial" w:hAnsi="Arial" w:cs="Arial"/>
          <w:lang w:val="en-US"/>
        </w:rPr>
        <w:instrText>ADDIN CSL_CITATION {"citationItems":[{"id":"ITEM-1","itemData":{"DOI":"10.1016/j.landusepol.2018.01.027","ISSN":"02648377","abstract":"Brazil has a great potential for ecosystem-based adaptation to climate change and to disaster risk reduction, leveraged by the commitment of restoring 12 million hectares until 2030. This commitment is legally backed by the Native Vegetation Protection Law (NVPL), which defines the situations in which landowners must recover native vegetation in their land. In this paper, we discuss the role of land use compliance as a driver for adaptation in the Brazilian Atlantic forest domain based on the case of the State of Rio de Janeiro. We used high resolution satellite imagery (5 m pixel) to map the state's land use and land cover, delineate Areas of Permanent Preservation and calculate the environmental debt, i.e. the areas required for restoration in order to comply to the NVPL. We also related the distribution of the environmental debt to the socioeconomic conditions of the municipalities and examined potential funding sources for economic incentives to enhance feasibility of restoration in private lands. The state has 31% of native vegetation cover, and an environmental debt of 412,876 ha, correlated to Human Development Index (R = −0.2952, p = 0.0043) and vulnerability to poverty (R = 0.3711, p = 0.0003). The north-northwestern region hosts the hotspots both for environmental debt and vulnerability to poverty, therefore it should constitute a priority target for environmental and social policies. Compliance to this large environmental debt to abide to the regulatory policy NVPL will demand incentive mechanisms. Oil royalties are a potential funding source for programs of payment for ecosystem services, as 3% of those annual revenues could pay the restoration of 39% of the state's environmental debt per year over 20 years. Thus, policy mixes that combine existing regulatory and incentive mechanisms should ensure low-cost landscape restoration in tandem with new job opportunities in a restoration chain, and might represent a significant opportunity for the State of Rio de Janeiro.","author":[{"dropping-particle":"","family":"Rezende","given":"Camila Linhares","non-dropping-particle":"","parse-names":false,"suffix":""},{"dropping-particle":"","family":"Fraga","given":"Joana Stingel","non-dropping-particle":"","parse-names":false,"suffix":""},{"dropping-particle":"","family":"Sessa","given":"Juliana Cabral","non-dropping-particle":"","parse-names":false,"suffix":""},{"dropping-particle":"","family":"Souza","given":"Gustavo Vinagre Pinto","non-dropping-particle":"de","parse-names":false,"suffix":""},{"dropping-particle":"","family":"Assad","given":"Eduardo Delgado","non-dropping-particle":"","parse-names":false,"suffix":""},{"dropping-particle":"","family":"Scarano","given":"Fabio Rubio","non-dropping-particle":"","parse-names":false,"suffix":""}],"container-title":"Land Use Policy","id":"ITEM-1","issue":"May 2017","issued":{"date-parts":[["2018"]]},"page":"563-569","publisher":"Elsevier","title":"Land use policy as a driver for climate change adaptation: A case in the domain of the Brazilian Atlantic forest","type":"article-journal","volume":"72"},"uris":["http://www.mendeley.com/documents/?uuid=fd50d84d-6e7b-4801-807e-10e37b0e5a0d"]}],"mendeley":{"formattedCitation":"&lt;sup&gt;4&lt;/sup&gt;","plainTextFormattedCitation":"4","previouslyFormattedCitation":"&lt;sup&gt;4&lt;/sup&gt;"},"properties":{"noteIndex":0},"schema":"https://github.com/citation-style-language/schema/raw/master/csl-citation.json"}</w:instrText>
      </w:r>
      <w:r w:rsidR="0072327A">
        <w:rPr>
          <w:rFonts w:ascii="Arial" w:hAnsi="Arial" w:cs="Arial"/>
          <w:lang w:val="en-US"/>
        </w:rPr>
        <w:fldChar w:fldCharType="separate"/>
      </w:r>
      <w:r w:rsidR="0072327A" w:rsidRPr="0072327A">
        <w:rPr>
          <w:rFonts w:ascii="Arial" w:hAnsi="Arial" w:cs="Arial"/>
          <w:noProof/>
          <w:vertAlign w:val="superscript"/>
          <w:lang w:val="en-US"/>
        </w:rPr>
        <w:t>4</w:t>
      </w:r>
      <w:r w:rsidR="0072327A">
        <w:rPr>
          <w:rFonts w:ascii="Arial" w:hAnsi="Arial" w:cs="Arial"/>
          <w:lang w:val="en-US"/>
        </w:rPr>
        <w:fldChar w:fldCharType="end"/>
      </w:r>
      <w:r w:rsidRPr="0079387F">
        <w:rPr>
          <w:rFonts w:ascii="Arial" w:hAnsi="Arial" w:cs="Arial"/>
          <w:lang w:val="en-US"/>
        </w:rPr>
        <w:t>.</w:t>
      </w:r>
    </w:p>
    <w:p w14:paraId="49649E4B" w14:textId="77777777" w:rsidR="0079387F" w:rsidRPr="0047617E" w:rsidRDefault="00DF74FE" w:rsidP="0047617E">
      <w:pPr>
        <w:jc w:val="both"/>
        <w:rPr>
          <w:rFonts w:ascii="Arial" w:hAnsi="Arial" w:cs="Arial"/>
          <w:lang w:val="en-US"/>
        </w:rPr>
      </w:pPr>
      <w:r w:rsidRPr="00DF74FE">
        <w:rPr>
          <w:rFonts w:ascii="Arial" w:hAnsi="Arial" w:cs="Arial"/>
          <w:lang w:val="en-US"/>
        </w:rPr>
        <w:t>Policy mixes have emerged as a dynamic way to achieve policy objectives. The design and assessment of the later involve a clear understanding of the objectives of the policy mix, the interplay of its components, its interac</w:t>
      </w:r>
      <w:r>
        <w:rPr>
          <w:rFonts w:ascii="Arial" w:hAnsi="Arial" w:cs="Arial"/>
          <w:lang w:val="en-US"/>
        </w:rPr>
        <w:t xml:space="preserve">tion with exogenous variables, </w:t>
      </w:r>
      <w:r w:rsidRPr="00DF74FE">
        <w:rPr>
          <w:rFonts w:ascii="Arial" w:hAnsi="Arial" w:cs="Arial"/>
          <w:lang w:val="en-US"/>
        </w:rPr>
        <w:t>its dynamic nature to solve complex problems, and the expected outcomes</w:t>
      </w:r>
      <w:r w:rsidR="0082646D">
        <w:rPr>
          <w:rFonts w:ascii="Arial" w:hAnsi="Arial" w:cs="Arial"/>
          <w:lang w:val="en-US"/>
        </w:rPr>
        <w:t xml:space="preserve"> (benefits and trade-offs) </w:t>
      </w:r>
      <w:r w:rsidR="00116F02">
        <w:rPr>
          <w:rFonts w:ascii="Arial" w:hAnsi="Arial" w:cs="Arial"/>
          <w:lang w:val="en-US"/>
        </w:rPr>
        <w:fldChar w:fldCharType="begin" w:fldLock="1"/>
      </w:r>
      <w:r w:rsidR="00BD0F43">
        <w:rPr>
          <w:rFonts w:ascii="Arial" w:hAnsi="Arial" w:cs="Arial"/>
          <w:lang w:val="en-US"/>
        </w:rPr>
        <w:instrText>ADDIN CSL_CITATION {"citationItems":[{"id":"ITEM-1","itemData":{"DOI":"10.1016/s1449-4035(07)70118-2","ISSN":"1449-4035","abstract":"New Governance Arrangements (NGAs) have emerged as a lively topic in comparative policy studies and are often proposed as solutions to complex policy problems like environmental or health protection. However, assessing the merits and demerits of particular arrangements or instrument mixes is difficult. The paper proposes a variety of tools to tackle the often-overlooked problem of identifying and inventorying the instruments found in instrument mixes and assessing their likelihood to produce optimal results. A framework is developed for evaluating the likelihood of successful implementation of NGA’s that exploits the fact that new policy development is almost always constrained by previous policy choices which have become institutionalized. The degree to which this institutionalization has occurred is seen as variable and the implementation to depend on a number of well-understood processes such as increasing returns and other kinds of positive feedback; sunk costs; and incremental policy learning. The applicability of the framework is demonstrated in the context of NGAs found in the forestry sector","author":[{"dropping-particle":"","family":"Howlett","given":"Michael","non-dropping-particle":"","parse-names":false,"suffix":""},{"dropping-particle":"","family":"Rayner","given":"Jeremy","non-dropping-particle":"","parse-names":false,"suffix":""}],"container-title":"Policy and Society","id":"ITEM-1","issue":"4","issued":{"date-parts":[["2007"]]},"page":"1-18","title":"Design Principles for Policy Mixes: Cohesion and Coherence in ‘New Governance Arrangements’","type":"article-journal","volume":"26"},"uris":["http://www.mendeley.com/documents/?uuid=45b7d921-c1ad-4351-b9da-a4db01047e08"]}],"mendeley":{"formattedCitation":"&lt;sup&gt;5&lt;/sup&gt;","plainTextFormattedCitation":"5","previouslyFormattedCitation":"&lt;sup&gt;5&lt;/sup&gt;"},"properties":{"noteIndex":0},"schema":"https://github.com/citation-style-language/schema/raw/master/csl-citation.json"}</w:instrText>
      </w:r>
      <w:r w:rsidR="00116F02">
        <w:rPr>
          <w:rFonts w:ascii="Arial" w:hAnsi="Arial" w:cs="Arial"/>
          <w:lang w:val="en-US"/>
        </w:rPr>
        <w:fldChar w:fldCharType="separate"/>
      </w:r>
      <w:r w:rsidR="00116F02" w:rsidRPr="00116F02">
        <w:rPr>
          <w:rFonts w:ascii="Arial" w:hAnsi="Arial" w:cs="Arial"/>
          <w:noProof/>
          <w:vertAlign w:val="superscript"/>
          <w:lang w:val="en-US"/>
        </w:rPr>
        <w:t>5</w:t>
      </w:r>
      <w:r w:rsidR="00116F02">
        <w:rPr>
          <w:rFonts w:ascii="Arial" w:hAnsi="Arial" w:cs="Arial"/>
          <w:lang w:val="en-US"/>
        </w:rPr>
        <w:fldChar w:fldCharType="end"/>
      </w:r>
      <w:r w:rsidRPr="00DF74FE">
        <w:rPr>
          <w:rFonts w:ascii="Arial" w:hAnsi="Arial" w:cs="Arial"/>
          <w:lang w:val="en-US"/>
        </w:rPr>
        <w:t xml:space="preserve">. </w:t>
      </w:r>
      <w:r w:rsidR="00D459C8">
        <w:rPr>
          <w:rFonts w:ascii="Arial" w:hAnsi="Arial" w:cs="Arial"/>
          <w:lang w:val="en-US"/>
        </w:rPr>
        <w:t>Even</w:t>
      </w:r>
      <w:r w:rsidR="0082646D">
        <w:rPr>
          <w:rFonts w:ascii="Arial" w:hAnsi="Arial" w:cs="Arial"/>
          <w:lang w:val="en-US"/>
        </w:rPr>
        <w:t xml:space="preserve"> though the benefits of policy mixes is very well know, </w:t>
      </w:r>
      <w:commentRangeStart w:id="0"/>
      <w:r w:rsidR="0082646D" w:rsidRPr="0047617E">
        <w:rPr>
          <w:rFonts w:ascii="Arial" w:hAnsi="Arial" w:cs="Arial"/>
          <w:b/>
          <w:i/>
          <w:lang w:val="en-US"/>
        </w:rPr>
        <w:t xml:space="preserve">there is still a gap in the integrated consideration </w:t>
      </w:r>
      <w:r w:rsidR="00B43553" w:rsidRPr="0047617E">
        <w:rPr>
          <w:rFonts w:ascii="Arial" w:hAnsi="Arial" w:cs="Arial"/>
          <w:b/>
          <w:i/>
          <w:lang w:val="en-US"/>
        </w:rPr>
        <w:t xml:space="preserve">and evaluation (trade-offs and synergies) </w:t>
      </w:r>
      <w:r w:rsidR="0082646D" w:rsidRPr="0047617E">
        <w:rPr>
          <w:rFonts w:ascii="Arial" w:hAnsi="Arial" w:cs="Arial"/>
          <w:b/>
          <w:i/>
          <w:lang w:val="en-US"/>
        </w:rPr>
        <w:t>of environmental, climate change</w:t>
      </w:r>
      <w:r w:rsidR="00B43553" w:rsidRPr="0047617E">
        <w:rPr>
          <w:rFonts w:ascii="Arial" w:hAnsi="Arial" w:cs="Arial"/>
          <w:b/>
          <w:i/>
          <w:lang w:val="en-US"/>
        </w:rPr>
        <w:t xml:space="preserve"> (adaptation and mitigation)</w:t>
      </w:r>
      <w:r w:rsidR="0082646D" w:rsidRPr="0047617E">
        <w:rPr>
          <w:rFonts w:ascii="Arial" w:hAnsi="Arial" w:cs="Arial"/>
          <w:b/>
          <w:i/>
          <w:lang w:val="en-US"/>
        </w:rPr>
        <w:t xml:space="preserve">, </w:t>
      </w:r>
      <w:r w:rsidR="0047617E">
        <w:rPr>
          <w:rFonts w:ascii="Arial" w:hAnsi="Arial" w:cs="Arial"/>
          <w:b/>
          <w:i/>
          <w:lang w:val="en-US"/>
        </w:rPr>
        <w:t>agriculture,</w:t>
      </w:r>
      <w:r w:rsidR="0082646D" w:rsidRPr="0047617E">
        <w:rPr>
          <w:rFonts w:ascii="Arial" w:hAnsi="Arial" w:cs="Arial"/>
          <w:b/>
          <w:i/>
          <w:lang w:val="en-US"/>
        </w:rPr>
        <w:t xml:space="preserve"> and </w:t>
      </w:r>
      <w:r w:rsidR="00B43553" w:rsidRPr="0047617E">
        <w:rPr>
          <w:rFonts w:ascii="Arial" w:hAnsi="Arial" w:cs="Arial"/>
          <w:b/>
          <w:i/>
          <w:lang w:val="en-US"/>
        </w:rPr>
        <w:t xml:space="preserve">sustainable </w:t>
      </w:r>
      <w:r w:rsidR="0082646D" w:rsidRPr="0047617E">
        <w:rPr>
          <w:rFonts w:ascii="Arial" w:hAnsi="Arial" w:cs="Arial"/>
          <w:b/>
          <w:i/>
          <w:lang w:val="en-US"/>
        </w:rPr>
        <w:t>development policies</w:t>
      </w:r>
      <w:r w:rsidR="00BD0F43">
        <w:rPr>
          <w:rFonts w:ascii="Arial" w:hAnsi="Arial" w:cs="Arial"/>
          <w:b/>
          <w:i/>
          <w:lang w:val="en-US"/>
        </w:rPr>
        <w:t xml:space="preserve"> </w:t>
      </w:r>
      <w:r w:rsidR="00BD0F43">
        <w:rPr>
          <w:rFonts w:ascii="Arial" w:hAnsi="Arial" w:cs="Arial"/>
          <w:b/>
          <w:i/>
          <w:lang w:val="en-US"/>
        </w:rPr>
        <w:fldChar w:fldCharType="begin" w:fldLock="1"/>
      </w:r>
      <w:r w:rsidR="00BD0F43">
        <w:rPr>
          <w:rFonts w:ascii="Arial" w:hAnsi="Arial" w:cs="Arial"/>
          <w:b/>
          <w:i/>
          <w:lang w:val="en-US"/>
        </w:rPr>
        <w:instrText>ADDIN CSL_CITATION {"citationItems":[{"id":"ITEM-1","itemData":{"DOI":"10.1016/j.landusepol.2019.104069","ISSN":"02648377","abstract":"Currently, 42% of the world's population depends on agriculture for its livelihood, and agriculture drives the economy of most developing countries. Therefore, human life on our planet depends on its sustainability. Research on sustainable land use in agriculture has been gaining increasing relevance since the term ‘sustainable development’ was coined with the Brundtland Report in 1987. The objective of this study is to analyse the evolution of this line of research worldwide to date. A bibliometric analysis of the existing articles from the period 1988–2017 was conducted. The results show that this topic has been gaining relevance in land use studies. Extensive cooperative networks and a high level of international collaboration exist between the different agents involved in land use studies. The analysis of key words has shown four main research lines of inquiry: agronomy, which focuses on soil processes and the study of different crops; sustainable water management for irrigation; the analysis of changes in land use, especially as related to the increase in population, the need for supplies, and the expansion of urban land; and sustainable development in new forms of agrarian management, such as organic farming, permaculture, and multifunctional systems. The regions serving as the object of these studies are mainly the Americas, Asia, Oceania, and Western Europe. This highlights a research gap in regions such as Russia, the Middle East, and Africa. Future research should examine the development of circular economic systems in agricultural activity, perceptions and preferences of stakeholders, inclusion of the sustainability objective in planning urban spaces, improvement in irrigation water use efficiency, use of nonconventional water sources in agriculture, and development of management practises and crops that can adapt to the impact of climate change.","author":[{"dropping-particle":"","family":"Aznar-Sánchez","given":"José A.","non-dropping-particle":"","parse-names":false,"suffix":""},{"dropping-particle":"","family":"Piquer-Rodríguez","given":"María","non-dropping-particle":"","parse-names":false,"suffix":""},{"dropping-particle":"","family":"Velasco-Muñoz","given":"Juan F.","non-dropping-particle":"","parse-names":false,"suffix":""},{"dropping-particle":"","family":"Manzano-Agugliaro","given":"Francisco","non-dropping-particle":"","parse-names":false,"suffix":""}],"container-title":"Land Use Policy","id":"ITEM-1","issue":"May","issued":{"date-parts":[["2019"]]},"page":"104069","publisher":"Elsevier","title":"Worldwide research trends on sustainable land use in agriculture","type":"article-journal","volume":"87"},"uris":["http://www.mendeley.com/documents/?uuid=1961f3b4-256e-4502-97d5-f50cfced98ea"]}],"mendeley":{"formattedCitation":"&lt;sup&gt;6&lt;/sup&gt;","plainTextFormattedCitation":"6"},"properties":{"noteIndex":0},"schema":"https://github.com/citation-style-language/schema/raw/master/csl-citation.json"}</w:instrText>
      </w:r>
      <w:r w:rsidR="00BD0F43">
        <w:rPr>
          <w:rFonts w:ascii="Arial" w:hAnsi="Arial" w:cs="Arial"/>
          <w:b/>
          <w:i/>
          <w:lang w:val="en-US"/>
        </w:rPr>
        <w:fldChar w:fldCharType="separate"/>
      </w:r>
      <w:r w:rsidR="00BD0F43" w:rsidRPr="00BD0F43">
        <w:rPr>
          <w:rFonts w:ascii="Arial" w:hAnsi="Arial" w:cs="Arial"/>
          <w:noProof/>
          <w:vertAlign w:val="superscript"/>
          <w:lang w:val="en-US"/>
        </w:rPr>
        <w:t>6</w:t>
      </w:r>
      <w:r w:rsidR="00BD0F43">
        <w:rPr>
          <w:rFonts w:ascii="Arial" w:hAnsi="Arial" w:cs="Arial"/>
          <w:b/>
          <w:i/>
          <w:lang w:val="en-US"/>
        </w:rPr>
        <w:fldChar w:fldCharType="end"/>
      </w:r>
      <w:r w:rsidR="0082646D">
        <w:rPr>
          <w:rFonts w:ascii="Arial" w:hAnsi="Arial" w:cs="Arial"/>
          <w:lang w:val="en-US"/>
        </w:rPr>
        <w:t>.</w:t>
      </w:r>
      <w:r w:rsidR="001B01E7">
        <w:rPr>
          <w:rFonts w:ascii="Arial" w:hAnsi="Arial" w:cs="Arial"/>
          <w:lang w:val="en-US"/>
        </w:rPr>
        <w:t xml:space="preserve"> </w:t>
      </w:r>
      <w:commentRangeEnd w:id="0"/>
      <w:r w:rsidR="001B01E7">
        <w:rPr>
          <w:rStyle w:val="CommentReference"/>
        </w:rPr>
        <w:commentReference w:id="0"/>
      </w:r>
    </w:p>
    <w:p w14:paraId="3419906B" w14:textId="77777777" w:rsidR="0079387F" w:rsidRDefault="0079387F" w:rsidP="0079387F">
      <w:pPr>
        <w:pStyle w:val="ListParagraph"/>
        <w:numPr>
          <w:ilvl w:val="1"/>
          <w:numId w:val="1"/>
        </w:numPr>
        <w:ind w:left="426" w:hanging="426"/>
        <w:rPr>
          <w:rStyle w:val="SubtleEmphasis"/>
          <w:lang w:val="en-US"/>
        </w:rPr>
      </w:pPr>
      <w:r w:rsidRPr="0079387F">
        <w:rPr>
          <w:rStyle w:val="SubtleEmphasis"/>
          <w:lang w:val="en-US"/>
        </w:rPr>
        <w:t>Sustainability in a telecoupled world</w:t>
      </w:r>
    </w:p>
    <w:p w14:paraId="53C6254C" w14:textId="77777777" w:rsidR="008646CC" w:rsidRPr="004F6D63" w:rsidRDefault="008646CC" w:rsidP="008646CC">
      <w:pPr>
        <w:pStyle w:val="ListParagraph"/>
        <w:ind w:left="426"/>
        <w:rPr>
          <w:rStyle w:val="SubtleEmphasis"/>
          <w:lang w:val="en-US"/>
        </w:rPr>
      </w:pPr>
    </w:p>
    <w:p w14:paraId="7391B8EF" w14:textId="77777777" w:rsidR="00A83E33" w:rsidRPr="0079387F" w:rsidRDefault="00A83E33" w:rsidP="005502F8">
      <w:pPr>
        <w:pStyle w:val="ListParagraph"/>
        <w:jc w:val="both"/>
        <w:rPr>
          <w:rFonts w:ascii="Arial" w:hAnsi="Arial" w:cs="Arial"/>
          <w:lang w:val="en-US"/>
        </w:rPr>
      </w:pPr>
    </w:p>
    <w:p w14:paraId="3870B158" w14:textId="77777777" w:rsidR="009A054D" w:rsidRDefault="005178E9" w:rsidP="00454978">
      <w:pPr>
        <w:pStyle w:val="Heading1"/>
        <w:rPr>
          <w:lang w:val="en-US"/>
        </w:rPr>
      </w:pPr>
      <w:r w:rsidRPr="004F6D63">
        <w:rPr>
          <w:lang w:val="en-US"/>
        </w:rPr>
        <w:t xml:space="preserve">Research </w:t>
      </w:r>
      <w:r w:rsidR="0009142E">
        <w:rPr>
          <w:lang w:val="en-US"/>
        </w:rPr>
        <w:t>Questions</w:t>
      </w:r>
      <w:r w:rsidRPr="004F6D63">
        <w:rPr>
          <w:lang w:val="en-US"/>
        </w:rPr>
        <w:t xml:space="preserve"> </w:t>
      </w:r>
      <w:bookmarkStart w:id="1" w:name="_GoBack"/>
      <w:bookmarkEnd w:id="1"/>
    </w:p>
    <w:p w14:paraId="56505502" w14:textId="77777777" w:rsidR="0079387F" w:rsidRDefault="0079387F" w:rsidP="0009142E">
      <w:pPr>
        <w:jc w:val="both"/>
        <w:rPr>
          <w:rFonts w:ascii="Arial" w:hAnsi="Arial" w:cs="Arial"/>
          <w:lang w:val="en-US"/>
        </w:rPr>
      </w:pPr>
    </w:p>
    <w:p w14:paraId="62DA17F9" w14:textId="77777777" w:rsidR="0009142E" w:rsidRPr="0009142E" w:rsidRDefault="005D50AF" w:rsidP="0009142E">
      <w:pPr>
        <w:jc w:val="both"/>
        <w:rPr>
          <w:rFonts w:ascii="Arial" w:hAnsi="Arial" w:cs="Arial"/>
          <w:lang w:val="en-US"/>
        </w:rPr>
      </w:pPr>
      <w:r w:rsidRPr="0009142E">
        <w:rPr>
          <w:rFonts w:ascii="Arial" w:hAnsi="Arial" w:cs="Arial"/>
          <w:lang w:val="en-US"/>
        </w:rPr>
        <w:t xml:space="preserve">Considering that a </w:t>
      </w:r>
      <w:r w:rsidR="0009142E" w:rsidRPr="0009142E">
        <w:rPr>
          <w:rFonts w:ascii="Arial" w:hAnsi="Arial" w:cs="Arial"/>
          <w:lang w:val="en-US"/>
        </w:rPr>
        <w:t xml:space="preserve">gap has been identified in the </w:t>
      </w:r>
      <w:r w:rsidRPr="0009142E">
        <w:rPr>
          <w:rFonts w:ascii="Arial" w:hAnsi="Arial" w:cs="Arial"/>
          <w:lang w:val="en-US"/>
        </w:rPr>
        <w:t xml:space="preserve">consideration of </w:t>
      </w:r>
      <w:r w:rsidR="0009142E" w:rsidRPr="0009142E">
        <w:rPr>
          <w:rFonts w:ascii="Arial" w:hAnsi="Arial" w:cs="Arial"/>
          <w:lang w:val="en-US"/>
        </w:rPr>
        <w:t>comprehensive climate</w:t>
      </w:r>
      <w:r w:rsidR="00207274" w:rsidRPr="0009142E">
        <w:rPr>
          <w:rFonts w:ascii="Arial" w:hAnsi="Arial" w:cs="Arial"/>
          <w:lang w:val="en-US"/>
        </w:rPr>
        <w:t>, land use</w:t>
      </w:r>
      <w:r w:rsidR="0009142E" w:rsidRPr="0009142E">
        <w:rPr>
          <w:rFonts w:ascii="Arial" w:hAnsi="Arial" w:cs="Arial"/>
          <w:lang w:val="en-US"/>
        </w:rPr>
        <w:t xml:space="preserve">, trading, and development </w:t>
      </w:r>
      <w:r w:rsidR="00207274" w:rsidRPr="0009142E">
        <w:rPr>
          <w:rFonts w:ascii="Arial" w:hAnsi="Arial" w:cs="Arial"/>
          <w:lang w:val="en-US"/>
        </w:rPr>
        <w:t>policy mix</w:t>
      </w:r>
      <w:r w:rsidR="0009142E" w:rsidRPr="0009142E">
        <w:rPr>
          <w:rFonts w:ascii="Arial" w:hAnsi="Arial" w:cs="Arial"/>
          <w:lang w:val="en-US"/>
        </w:rPr>
        <w:t>es, three main research questions have been identified:</w:t>
      </w:r>
    </w:p>
    <w:p w14:paraId="63D69B06" w14:textId="77777777" w:rsidR="0009142E" w:rsidRPr="0009142E" w:rsidRDefault="0009142E" w:rsidP="0009142E">
      <w:pPr>
        <w:pStyle w:val="ListParagraph"/>
        <w:numPr>
          <w:ilvl w:val="0"/>
          <w:numId w:val="3"/>
        </w:numPr>
        <w:jc w:val="both"/>
        <w:rPr>
          <w:rFonts w:ascii="Arial" w:hAnsi="Arial" w:cs="Arial"/>
          <w:lang w:val="en-US"/>
        </w:rPr>
      </w:pPr>
      <w:r w:rsidRPr="0009142E">
        <w:rPr>
          <w:rFonts w:ascii="Arial" w:hAnsi="Arial" w:cs="Arial"/>
          <w:lang w:val="en-US"/>
        </w:rPr>
        <w:lastRenderedPageBreak/>
        <w:t>How do the current policy instruments used to deal with climate, agricultural and development pressures interact with each other, and what is their coherence based on national and regional sustainability targets?</w:t>
      </w:r>
    </w:p>
    <w:p w14:paraId="3B0620C7" w14:textId="77777777" w:rsidR="00207274" w:rsidRPr="0009142E" w:rsidRDefault="00F70E20" w:rsidP="0009142E">
      <w:pPr>
        <w:pStyle w:val="ListParagraph"/>
        <w:numPr>
          <w:ilvl w:val="0"/>
          <w:numId w:val="3"/>
        </w:numPr>
        <w:jc w:val="both"/>
        <w:rPr>
          <w:rFonts w:ascii="Arial" w:hAnsi="Arial" w:cs="Arial"/>
          <w:lang w:val="en-US"/>
        </w:rPr>
      </w:pPr>
      <w:r>
        <w:rPr>
          <w:rFonts w:ascii="Arial" w:hAnsi="Arial" w:cs="Arial"/>
          <w:lang w:val="en-US"/>
        </w:rPr>
        <w:t>In the global market, w</w:t>
      </w:r>
      <w:r w:rsidR="0009142E" w:rsidRPr="0009142E">
        <w:rPr>
          <w:rFonts w:ascii="Arial" w:hAnsi="Arial" w:cs="Arial"/>
          <w:lang w:val="en-US"/>
        </w:rPr>
        <w:t xml:space="preserve">hat are the </w:t>
      </w:r>
      <w:r>
        <w:rPr>
          <w:rFonts w:ascii="Arial" w:hAnsi="Arial" w:cs="Arial"/>
          <w:lang w:val="en-US"/>
        </w:rPr>
        <w:t xml:space="preserve">current and projected </w:t>
      </w:r>
      <w:r w:rsidR="0009142E" w:rsidRPr="0009142E">
        <w:rPr>
          <w:rFonts w:ascii="Arial" w:hAnsi="Arial" w:cs="Arial"/>
          <w:lang w:val="en-US"/>
        </w:rPr>
        <w:t xml:space="preserve">local environmental and land-use impacts </w:t>
      </w:r>
      <w:r>
        <w:rPr>
          <w:rFonts w:ascii="Arial" w:hAnsi="Arial" w:cs="Arial"/>
          <w:lang w:val="en-US"/>
        </w:rPr>
        <w:t>due to</w:t>
      </w:r>
      <w:r w:rsidR="0009142E" w:rsidRPr="0009142E">
        <w:rPr>
          <w:rFonts w:ascii="Arial" w:hAnsi="Arial" w:cs="Arial"/>
          <w:lang w:val="en-US"/>
        </w:rPr>
        <w:t xml:space="preserve"> consumer-producer trading interactions?</w:t>
      </w:r>
    </w:p>
    <w:p w14:paraId="752445D6" w14:textId="77777777" w:rsidR="0009142E" w:rsidRPr="00F70E20" w:rsidRDefault="0009142E" w:rsidP="0009142E">
      <w:pPr>
        <w:pStyle w:val="ListParagraph"/>
        <w:numPr>
          <w:ilvl w:val="0"/>
          <w:numId w:val="3"/>
        </w:numPr>
        <w:jc w:val="both"/>
        <w:rPr>
          <w:rFonts w:ascii="Arial" w:hAnsi="Arial" w:cs="Arial"/>
          <w:lang w:val="en-US"/>
        </w:rPr>
      </w:pPr>
      <w:r w:rsidRPr="00F70E20">
        <w:rPr>
          <w:rFonts w:ascii="Arial" w:hAnsi="Arial" w:cs="Arial"/>
          <w:lang w:val="en-US"/>
        </w:rPr>
        <w:t xml:space="preserve">Which </w:t>
      </w:r>
      <w:r w:rsidR="00F70E20" w:rsidRPr="00F70E20">
        <w:rPr>
          <w:rFonts w:ascii="Arial" w:hAnsi="Arial" w:cs="Arial"/>
          <w:lang w:val="en-US"/>
        </w:rPr>
        <w:t xml:space="preserve">policy mix would be needed by an international coordination system to </w:t>
      </w:r>
      <w:r w:rsidR="009A6F0C">
        <w:rPr>
          <w:rFonts w:ascii="Arial" w:hAnsi="Arial" w:cs="Arial"/>
          <w:lang w:val="en-US"/>
        </w:rPr>
        <w:t xml:space="preserve">efficiently </w:t>
      </w:r>
      <w:r w:rsidR="00F70E20" w:rsidRPr="00F70E20">
        <w:rPr>
          <w:rFonts w:ascii="Arial" w:hAnsi="Arial" w:cs="Arial"/>
          <w:lang w:val="en-US"/>
        </w:rPr>
        <w:t xml:space="preserve">manage global land use </w:t>
      </w:r>
      <w:r w:rsidR="002E7BEE">
        <w:rPr>
          <w:rFonts w:ascii="Arial" w:hAnsi="Arial" w:cs="Arial"/>
          <w:lang w:val="en-US"/>
        </w:rPr>
        <w:t>based on</w:t>
      </w:r>
      <w:r w:rsidR="00F70E20" w:rsidRPr="00F70E20">
        <w:rPr>
          <w:rFonts w:ascii="Arial" w:hAnsi="Arial" w:cs="Arial"/>
          <w:lang w:val="en-US"/>
        </w:rPr>
        <w:t xml:space="preserve"> biodiversity, food security, and telecoupled land demand? </w:t>
      </w:r>
    </w:p>
    <w:p w14:paraId="0B9810E4" w14:textId="77777777" w:rsidR="005178E9" w:rsidRPr="004F6D63" w:rsidRDefault="005178E9" w:rsidP="00454978">
      <w:pPr>
        <w:pStyle w:val="Heading1"/>
        <w:rPr>
          <w:lang w:val="en-US"/>
        </w:rPr>
      </w:pPr>
      <w:r w:rsidRPr="004F6D63">
        <w:rPr>
          <w:lang w:val="en-US"/>
        </w:rPr>
        <w:t>Methodology</w:t>
      </w:r>
    </w:p>
    <w:p w14:paraId="63CCAEE7" w14:textId="77777777" w:rsidR="00BA79F1" w:rsidRPr="004F6D63" w:rsidRDefault="0047617E" w:rsidP="00BA79F1">
      <w:pPr>
        <w:ind w:left="360"/>
        <w:rPr>
          <w:rFonts w:ascii="Arial" w:hAnsi="Arial" w:cs="Arial"/>
          <w:lang w:val="en-US"/>
        </w:rPr>
      </w:pPr>
      <w:r w:rsidRPr="004F6D63">
        <w:rPr>
          <w:rFonts w:ascii="Arial" w:hAnsi="Arial" w:cs="Arial"/>
          <w:lang w:val="en-US"/>
        </w:rPr>
        <w:t>Mention</w:t>
      </w:r>
      <w:r w:rsidR="00BA79F1" w:rsidRPr="004F6D63">
        <w:rPr>
          <w:rFonts w:ascii="Arial" w:hAnsi="Arial" w:cs="Arial"/>
          <w:lang w:val="en-US"/>
        </w:rPr>
        <w:t xml:space="preserve"> MAgPIE</w:t>
      </w:r>
      <w:r>
        <w:rPr>
          <w:rFonts w:ascii="Arial" w:hAnsi="Arial" w:cs="Arial"/>
          <w:lang w:val="en-US"/>
        </w:rPr>
        <w:t xml:space="preserve"> generalities,</w:t>
      </w:r>
      <w:r w:rsidR="00BA79F1" w:rsidRPr="004F6D63">
        <w:rPr>
          <w:rFonts w:ascii="Arial" w:hAnsi="Arial" w:cs="Arial"/>
          <w:lang w:val="en-US"/>
        </w:rPr>
        <w:t xml:space="preserve"> which changes I’</w:t>
      </w:r>
      <w:r w:rsidR="00E43E96" w:rsidRPr="004F6D63">
        <w:rPr>
          <w:rFonts w:ascii="Arial" w:hAnsi="Arial" w:cs="Arial"/>
          <w:lang w:val="en-US"/>
        </w:rPr>
        <w:t xml:space="preserve">m going to make. </w:t>
      </w:r>
    </w:p>
    <w:p w14:paraId="3E5EB6F9" w14:textId="77777777" w:rsidR="005178E9" w:rsidRDefault="005178E9" w:rsidP="00665E10">
      <w:pPr>
        <w:pStyle w:val="Heading1"/>
        <w:tabs>
          <w:tab w:val="center" w:pos="4536"/>
        </w:tabs>
        <w:rPr>
          <w:lang w:val="en-US"/>
        </w:rPr>
      </w:pPr>
      <w:r w:rsidRPr="004F6D63">
        <w:rPr>
          <w:lang w:val="en-US"/>
        </w:rPr>
        <w:t xml:space="preserve">Tentative timeline </w:t>
      </w:r>
      <w:r w:rsidR="00665E10">
        <w:rPr>
          <w:lang w:val="en-US"/>
        </w:rPr>
        <w:tab/>
      </w:r>
    </w:p>
    <w:p w14:paraId="529E4D3E" w14:textId="77777777" w:rsidR="0079387F" w:rsidRPr="0079387F" w:rsidRDefault="0079387F" w:rsidP="0079387F">
      <w:pPr>
        <w:rPr>
          <w:lang w:val="en-US"/>
        </w:rPr>
      </w:pPr>
    </w:p>
    <w:p w14:paraId="1E0614C0" w14:textId="77777777" w:rsidR="00E43E96" w:rsidRPr="0079387F" w:rsidRDefault="00665E10" w:rsidP="0079387F">
      <w:pPr>
        <w:jc w:val="both"/>
        <w:rPr>
          <w:rFonts w:ascii="Arial" w:hAnsi="Arial" w:cs="Arial"/>
          <w:lang w:val="en-US"/>
        </w:rPr>
      </w:pPr>
      <w:r w:rsidRPr="0079387F">
        <w:rPr>
          <w:rFonts w:ascii="Arial" w:hAnsi="Arial" w:cs="Arial"/>
          <w:lang w:val="en-US"/>
        </w:rPr>
        <w:t xml:space="preserve">The timeline to be able to achieve the research goals is described below. </w:t>
      </w:r>
    </w:p>
    <w:p w14:paraId="6A56B954" w14:textId="77777777" w:rsidR="00E25B66" w:rsidRDefault="00E25B66" w:rsidP="00E43E96">
      <w:pPr>
        <w:rPr>
          <w:lang w:val="en-US"/>
        </w:rPr>
      </w:pPr>
      <w:r w:rsidRPr="00E25B66">
        <w:drawing>
          <wp:inline distT="0" distB="0" distL="0" distR="0" wp14:anchorId="56C91933" wp14:editId="7BD8AB31">
            <wp:extent cx="5760720" cy="321220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12203"/>
                    </a:xfrm>
                    <a:prstGeom prst="rect">
                      <a:avLst/>
                    </a:prstGeom>
                    <a:noFill/>
                    <a:ln>
                      <a:noFill/>
                    </a:ln>
                  </pic:spPr>
                </pic:pic>
              </a:graphicData>
            </a:graphic>
          </wp:inline>
        </w:drawing>
      </w:r>
    </w:p>
    <w:p w14:paraId="1C10B278" w14:textId="77777777" w:rsidR="00E25B66" w:rsidRPr="004F6D63" w:rsidRDefault="00E25B66" w:rsidP="00E43E96">
      <w:pPr>
        <w:rPr>
          <w:rFonts w:ascii="Arial" w:hAnsi="Arial" w:cs="Arial"/>
          <w:lang w:val="en-US"/>
        </w:rPr>
      </w:pPr>
    </w:p>
    <w:p w14:paraId="479B6F19" w14:textId="77777777" w:rsidR="00EA2C44" w:rsidRPr="004F6D63" w:rsidRDefault="00EA2C44" w:rsidP="00454978">
      <w:pPr>
        <w:pStyle w:val="Heading1"/>
        <w:rPr>
          <w:lang w:val="en-US"/>
        </w:rPr>
      </w:pPr>
      <w:r w:rsidRPr="004F6D63">
        <w:rPr>
          <w:lang w:val="en-US"/>
        </w:rPr>
        <w:t>References</w:t>
      </w:r>
    </w:p>
    <w:p w14:paraId="3101F331" w14:textId="77777777" w:rsidR="00BD0F43" w:rsidRPr="00BD0F43" w:rsidRDefault="004C3D1D" w:rsidP="00BD0F43">
      <w:pPr>
        <w:widowControl w:val="0"/>
        <w:autoSpaceDE w:val="0"/>
        <w:autoSpaceDN w:val="0"/>
        <w:adjustRightInd w:val="0"/>
        <w:spacing w:line="240" w:lineRule="auto"/>
        <w:ind w:left="640" w:hanging="640"/>
        <w:rPr>
          <w:rFonts w:ascii="Arial" w:hAnsi="Arial" w:cs="Arial"/>
          <w:noProof/>
          <w:szCs w:val="24"/>
        </w:rPr>
      </w:pPr>
      <w:r>
        <w:rPr>
          <w:rFonts w:ascii="Arial" w:hAnsi="Arial" w:cs="Arial"/>
          <w:lang w:val="en-US"/>
        </w:rPr>
        <w:fldChar w:fldCharType="begin" w:fldLock="1"/>
      </w:r>
      <w:r>
        <w:rPr>
          <w:rFonts w:ascii="Arial" w:hAnsi="Arial" w:cs="Arial"/>
          <w:lang w:val="en-US"/>
        </w:rPr>
        <w:instrText xml:space="preserve">ADDIN Mendeley Bibliography CSL_BIBLIOGRAPHY </w:instrText>
      </w:r>
      <w:r>
        <w:rPr>
          <w:rFonts w:ascii="Arial" w:hAnsi="Arial" w:cs="Arial"/>
          <w:lang w:val="en-US"/>
        </w:rPr>
        <w:fldChar w:fldCharType="separate"/>
      </w:r>
      <w:r w:rsidR="00BD0F43" w:rsidRPr="00BD0F43">
        <w:rPr>
          <w:rFonts w:ascii="Arial" w:hAnsi="Arial" w:cs="Arial"/>
          <w:noProof/>
          <w:szCs w:val="24"/>
        </w:rPr>
        <w:t xml:space="preserve">1. </w:t>
      </w:r>
      <w:r w:rsidR="00BD0F43" w:rsidRPr="00BD0F43">
        <w:rPr>
          <w:rFonts w:ascii="Arial" w:hAnsi="Arial" w:cs="Arial"/>
          <w:noProof/>
          <w:szCs w:val="24"/>
        </w:rPr>
        <w:tab/>
        <w:t xml:space="preserve">UNCCD. </w:t>
      </w:r>
      <w:r w:rsidR="00BD0F43" w:rsidRPr="00BD0F43">
        <w:rPr>
          <w:rFonts w:ascii="Arial" w:hAnsi="Arial" w:cs="Arial"/>
          <w:i/>
          <w:iCs/>
          <w:noProof/>
          <w:szCs w:val="24"/>
        </w:rPr>
        <w:t>The Global Land Outlook, First Edition</w:t>
      </w:r>
      <w:r w:rsidR="00BD0F43" w:rsidRPr="00BD0F43">
        <w:rPr>
          <w:rFonts w:ascii="Arial" w:hAnsi="Arial" w:cs="Arial"/>
          <w:noProof/>
          <w:szCs w:val="24"/>
        </w:rPr>
        <w:t>. Bonn, Germany; 2017. www.unccd.int/glo.</w:t>
      </w:r>
    </w:p>
    <w:p w14:paraId="32DB61DD" w14:textId="77777777" w:rsidR="00BD0F43" w:rsidRPr="00BD0F43" w:rsidRDefault="00BD0F43" w:rsidP="00BD0F43">
      <w:pPr>
        <w:widowControl w:val="0"/>
        <w:autoSpaceDE w:val="0"/>
        <w:autoSpaceDN w:val="0"/>
        <w:adjustRightInd w:val="0"/>
        <w:spacing w:line="240" w:lineRule="auto"/>
        <w:ind w:left="640" w:hanging="640"/>
        <w:rPr>
          <w:rFonts w:ascii="Arial" w:hAnsi="Arial" w:cs="Arial"/>
          <w:noProof/>
          <w:szCs w:val="24"/>
        </w:rPr>
      </w:pPr>
      <w:r w:rsidRPr="00BD0F43">
        <w:rPr>
          <w:rFonts w:ascii="Arial" w:hAnsi="Arial" w:cs="Arial"/>
          <w:noProof/>
          <w:szCs w:val="24"/>
        </w:rPr>
        <w:t xml:space="preserve">2. </w:t>
      </w:r>
      <w:r w:rsidRPr="00BD0F43">
        <w:rPr>
          <w:rFonts w:ascii="Arial" w:hAnsi="Arial" w:cs="Arial"/>
          <w:noProof/>
          <w:szCs w:val="24"/>
        </w:rPr>
        <w:tab/>
        <w:t xml:space="preserve">Creutzig F, Bren d’Amour C, Weddige U, et al. Assessing human and environmental pressures of global land-use change 2000–2010. </w:t>
      </w:r>
      <w:r w:rsidRPr="00BD0F43">
        <w:rPr>
          <w:rFonts w:ascii="Arial" w:hAnsi="Arial" w:cs="Arial"/>
          <w:i/>
          <w:iCs/>
          <w:noProof/>
          <w:szCs w:val="24"/>
        </w:rPr>
        <w:t>Glob Sustain</w:t>
      </w:r>
      <w:r w:rsidRPr="00BD0F43">
        <w:rPr>
          <w:rFonts w:ascii="Arial" w:hAnsi="Arial" w:cs="Arial"/>
          <w:noProof/>
          <w:szCs w:val="24"/>
        </w:rPr>
        <w:t>. 2019;2:1-17. doi:10.1017/sus.2018.15</w:t>
      </w:r>
    </w:p>
    <w:p w14:paraId="25462491" w14:textId="77777777" w:rsidR="00BD0F43" w:rsidRPr="00BD0F43" w:rsidRDefault="00BD0F43" w:rsidP="00BD0F43">
      <w:pPr>
        <w:widowControl w:val="0"/>
        <w:autoSpaceDE w:val="0"/>
        <w:autoSpaceDN w:val="0"/>
        <w:adjustRightInd w:val="0"/>
        <w:spacing w:line="240" w:lineRule="auto"/>
        <w:ind w:left="640" w:hanging="640"/>
        <w:rPr>
          <w:rFonts w:ascii="Arial" w:hAnsi="Arial" w:cs="Arial"/>
          <w:noProof/>
          <w:szCs w:val="24"/>
        </w:rPr>
      </w:pPr>
      <w:r w:rsidRPr="00BD0F43">
        <w:rPr>
          <w:rFonts w:ascii="Arial" w:hAnsi="Arial" w:cs="Arial"/>
          <w:noProof/>
          <w:szCs w:val="24"/>
        </w:rPr>
        <w:t xml:space="preserve">3. </w:t>
      </w:r>
      <w:r w:rsidRPr="00BD0F43">
        <w:rPr>
          <w:rFonts w:ascii="Arial" w:hAnsi="Arial" w:cs="Arial"/>
          <w:noProof/>
          <w:szCs w:val="24"/>
        </w:rPr>
        <w:tab/>
        <w:t xml:space="preserve">Mahmood R, Pielke RA, McAlpine CA. Climate-relevant land use and land cover change policies. </w:t>
      </w:r>
      <w:r w:rsidRPr="00BD0F43">
        <w:rPr>
          <w:rFonts w:ascii="Arial" w:hAnsi="Arial" w:cs="Arial"/>
          <w:i/>
          <w:iCs/>
          <w:noProof/>
          <w:szCs w:val="24"/>
        </w:rPr>
        <w:t>Bull Am Meteorol Soc</w:t>
      </w:r>
      <w:r w:rsidRPr="00BD0F43">
        <w:rPr>
          <w:rFonts w:ascii="Arial" w:hAnsi="Arial" w:cs="Arial"/>
          <w:noProof/>
          <w:szCs w:val="24"/>
        </w:rPr>
        <w:t>. 2016;97(2):195-202. doi:10.1175/BAMS-D-14-00221.1</w:t>
      </w:r>
    </w:p>
    <w:p w14:paraId="0EF59AE2" w14:textId="77777777" w:rsidR="00BD0F43" w:rsidRPr="00BD0F43" w:rsidRDefault="00BD0F43" w:rsidP="00BD0F43">
      <w:pPr>
        <w:widowControl w:val="0"/>
        <w:autoSpaceDE w:val="0"/>
        <w:autoSpaceDN w:val="0"/>
        <w:adjustRightInd w:val="0"/>
        <w:spacing w:line="240" w:lineRule="auto"/>
        <w:ind w:left="640" w:hanging="640"/>
        <w:rPr>
          <w:rFonts w:ascii="Arial" w:hAnsi="Arial" w:cs="Arial"/>
          <w:noProof/>
          <w:szCs w:val="24"/>
        </w:rPr>
      </w:pPr>
      <w:r w:rsidRPr="00BD0F43">
        <w:rPr>
          <w:rFonts w:ascii="Arial" w:hAnsi="Arial" w:cs="Arial"/>
          <w:noProof/>
          <w:szCs w:val="24"/>
        </w:rPr>
        <w:t xml:space="preserve">4. </w:t>
      </w:r>
      <w:r w:rsidRPr="00BD0F43">
        <w:rPr>
          <w:rFonts w:ascii="Arial" w:hAnsi="Arial" w:cs="Arial"/>
          <w:noProof/>
          <w:szCs w:val="24"/>
        </w:rPr>
        <w:tab/>
        <w:t xml:space="preserve">Rezende CL, Fraga JS, Sessa JC, de Souza GVP, Assad ED, Scarano FR. Land use policy as a driver for climate change adaptation: A case in the domain of the Brazilian Atlantic forest. </w:t>
      </w:r>
      <w:r w:rsidRPr="00BD0F43">
        <w:rPr>
          <w:rFonts w:ascii="Arial" w:hAnsi="Arial" w:cs="Arial"/>
          <w:i/>
          <w:iCs/>
          <w:noProof/>
          <w:szCs w:val="24"/>
        </w:rPr>
        <w:t>Land use policy</w:t>
      </w:r>
      <w:r w:rsidRPr="00BD0F43">
        <w:rPr>
          <w:rFonts w:ascii="Arial" w:hAnsi="Arial" w:cs="Arial"/>
          <w:noProof/>
          <w:szCs w:val="24"/>
        </w:rPr>
        <w:t>. 2018;72(May 2017):563-569. doi:10.1016/j.landusepol.2018.01.027</w:t>
      </w:r>
    </w:p>
    <w:p w14:paraId="7F437929" w14:textId="77777777" w:rsidR="00BD0F43" w:rsidRPr="00BD0F43" w:rsidRDefault="00BD0F43" w:rsidP="00BD0F43">
      <w:pPr>
        <w:widowControl w:val="0"/>
        <w:autoSpaceDE w:val="0"/>
        <w:autoSpaceDN w:val="0"/>
        <w:adjustRightInd w:val="0"/>
        <w:spacing w:line="240" w:lineRule="auto"/>
        <w:ind w:left="640" w:hanging="640"/>
        <w:rPr>
          <w:rFonts w:ascii="Arial" w:hAnsi="Arial" w:cs="Arial"/>
          <w:noProof/>
          <w:szCs w:val="24"/>
        </w:rPr>
      </w:pPr>
      <w:r w:rsidRPr="00BD0F43">
        <w:rPr>
          <w:rFonts w:ascii="Arial" w:hAnsi="Arial" w:cs="Arial"/>
          <w:noProof/>
          <w:szCs w:val="24"/>
        </w:rPr>
        <w:lastRenderedPageBreak/>
        <w:t xml:space="preserve">5. </w:t>
      </w:r>
      <w:r w:rsidRPr="00BD0F43">
        <w:rPr>
          <w:rFonts w:ascii="Arial" w:hAnsi="Arial" w:cs="Arial"/>
          <w:noProof/>
          <w:szCs w:val="24"/>
        </w:rPr>
        <w:tab/>
        <w:t xml:space="preserve">Howlett M, Rayner J. Design Principles for Policy Mixes: Cohesion and Coherence in ‘New Governance Arrangements.’ </w:t>
      </w:r>
      <w:r w:rsidRPr="00BD0F43">
        <w:rPr>
          <w:rFonts w:ascii="Arial" w:hAnsi="Arial" w:cs="Arial"/>
          <w:i/>
          <w:iCs/>
          <w:noProof/>
          <w:szCs w:val="24"/>
        </w:rPr>
        <w:t>Policy Soc</w:t>
      </w:r>
      <w:r w:rsidRPr="00BD0F43">
        <w:rPr>
          <w:rFonts w:ascii="Arial" w:hAnsi="Arial" w:cs="Arial"/>
          <w:noProof/>
          <w:szCs w:val="24"/>
        </w:rPr>
        <w:t>. 2007;26(4):1-18. doi:10.1016/s1449-4035(07)70118-2</w:t>
      </w:r>
    </w:p>
    <w:p w14:paraId="5A8C086A" w14:textId="77777777" w:rsidR="00BD0F43" w:rsidRPr="00BD0F43" w:rsidRDefault="00BD0F43" w:rsidP="00BD0F43">
      <w:pPr>
        <w:widowControl w:val="0"/>
        <w:autoSpaceDE w:val="0"/>
        <w:autoSpaceDN w:val="0"/>
        <w:adjustRightInd w:val="0"/>
        <w:spacing w:line="240" w:lineRule="auto"/>
        <w:ind w:left="640" w:hanging="640"/>
        <w:rPr>
          <w:rFonts w:ascii="Arial" w:hAnsi="Arial" w:cs="Arial"/>
          <w:noProof/>
        </w:rPr>
      </w:pPr>
      <w:r w:rsidRPr="00BD0F43">
        <w:rPr>
          <w:rFonts w:ascii="Arial" w:hAnsi="Arial" w:cs="Arial"/>
          <w:noProof/>
          <w:szCs w:val="24"/>
        </w:rPr>
        <w:t xml:space="preserve">6. </w:t>
      </w:r>
      <w:r w:rsidRPr="00BD0F43">
        <w:rPr>
          <w:rFonts w:ascii="Arial" w:hAnsi="Arial" w:cs="Arial"/>
          <w:noProof/>
          <w:szCs w:val="24"/>
        </w:rPr>
        <w:tab/>
        <w:t xml:space="preserve">Aznar-Sánchez JA, Piquer-Rodríguez M, Velasco-Muñoz JF, Manzano-Agugliaro F. Worldwide research trends on sustainable land use in agriculture. </w:t>
      </w:r>
      <w:r w:rsidRPr="00BD0F43">
        <w:rPr>
          <w:rFonts w:ascii="Arial" w:hAnsi="Arial" w:cs="Arial"/>
          <w:i/>
          <w:iCs/>
          <w:noProof/>
          <w:szCs w:val="24"/>
        </w:rPr>
        <w:t>Land use policy</w:t>
      </w:r>
      <w:r w:rsidRPr="00BD0F43">
        <w:rPr>
          <w:rFonts w:ascii="Arial" w:hAnsi="Arial" w:cs="Arial"/>
          <w:noProof/>
          <w:szCs w:val="24"/>
        </w:rPr>
        <w:t>. 2019;87(May):104069. doi:10.1016/j.landusepol.2019.104069</w:t>
      </w:r>
    </w:p>
    <w:p w14:paraId="492BA159" w14:textId="77777777" w:rsidR="007C6698" w:rsidRPr="004F6D63" w:rsidRDefault="004C3D1D" w:rsidP="007C6698">
      <w:pPr>
        <w:rPr>
          <w:rFonts w:ascii="Arial" w:hAnsi="Arial" w:cs="Arial"/>
          <w:lang w:val="en-US"/>
        </w:rPr>
      </w:pPr>
      <w:r>
        <w:rPr>
          <w:rFonts w:ascii="Arial" w:hAnsi="Arial" w:cs="Arial"/>
          <w:lang w:val="en-US"/>
        </w:rPr>
        <w:fldChar w:fldCharType="end"/>
      </w:r>
    </w:p>
    <w:p w14:paraId="29D9C12E" w14:textId="77777777" w:rsidR="002D56F0" w:rsidRPr="001B7FA5" w:rsidRDefault="002D56F0" w:rsidP="00E01E78">
      <w:pPr>
        <w:jc w:val="center"/>
        <w:rPr>
          <w:rFonts w:ascii="Arial" w:hAnsi="Arial" w:cs="Arial"/>
          <w:lang w:val="en-US"/>
        </w:rPr>
      </w:pPr>
    </w:p>
    <w:sectPr w:rsidR="002D56F0" w:rsidRPr="001B7FA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dna Johanna Molina Bacca" w:date="2019-11-08T16:40:00Z" w:initials="EJMB">
    <w:p w14:paraId="422C65B2" w14:textId="77777777" w:rsidR="001B01E7" w:rsidRPr="001B01E7" w:rsidRDefault="001B01E7">
      <w:pPr>
        <w:pStyle w:val="CommentText"/>
        <w:rPr>
          <w:lang w:val="en-US"/>
        </w:rPr>
      </w:pPr>
      <w:r>
        <w:rPr>
          <w:rStyle w:val="CommentReference"/>
        </w:rPr>
        <w:annotationRef/>
      </w:r>
      <w:r w:rsidRPr="001B01E7">
        <w:rPr>
          <w:lang w:val="en-US"/>
        </w:rPr>
        <w:t>This is</w:t>
      </w:r>
      <w:r>
        <w:rPr>
          <w:lang w:val="en-US"/>
        </w:rPr>
        <w:t xml:space="preserve"> originally</w:t>
      </w:r>
      <w:r w:rsidRPr="001B01E7">
        <w:rPr>
          <w:lang w:val="en-US"/>
        </w:rPr>
        <w:t xml:space="preserve"> mentioned in Chapter 7th of</w:t>
      </w:r>
      <w:r>
        <w:rPr>
          <w:lang w:val="en-US"/>
        </w:rPr>
        <w:t xml:space="preserve"> t</w:t>
      </w:r>
      <w:r w:rsidRPr="001B01E7">
        <w:rPr>
          <w:lang w:val="en-US"/>
        </w:rPr>
        <w:t xml:space="preserve">he </w:t>
      </w:r>
      <w:r>
        <w:rPr>
          <w:lang w:val="en-US"/>
        </w:rPr>
        <w:t xml:space="preserve">approved </w:t>
      </w:r>
      <w:r w:rsidRPr="001B01E7">
        <w:rPr>
          <w:lang w:val="en-US"/>
        </w:rPr>
        <w:t xml:space="preserve">draft </w:t>
      </w:r>
      <w:r>
        <w:rPr>
          <w:lang w:val="en-US"/>
        </w:rPr>
        <w:t>of t</w:t>
      </w:r>
      <w:r w:rsidRPr="001B01E7">
        <w:rPr>
          <w:lang w:val="en-US"/>
        </w:rPr>
        <w:t xml:space="preserve">he Climate </w:t>
      </w:r>
      <w:r>
        <w:rPr>
          <w:lang w:val="en-US"/>
        </w:rPr>
        <w:t>Change and Land report. The report is still subject to copy edit and layout tho’.</w:t>
      </w:r>
      <w:r w:rsidR="00BD0F43">
        <w:rPr>
          <w:lang w:val="en-US"/>
        </w:rPr>
        <w:t xml:space="preserve"> The referenced cited here kind of mentions it in a general way. (I’ll keep looking for a better 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2C65B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BB652" w14:textId="77777777" w:rsidR="00E5795D" w:rsidRDefault="00E5795D" w:rsidP="0072327A">
      <w:pPr>
        <w:spacing w:after="0" w:line="240" w:lineRule="auto"/>
      </w:pPr>
      <w:r>
        <w:separator/>
      </w:r>
    </w:p>
  </w:endnote>
  <w:endnote w:type="continuationSeparator" w:id="0">
    <w:p w14:paraId="4F9CDE04" w14:textId="77777777" w:rsidR="00E5795D" w:rsidRDefault="00E5795D" w:rsidP="00723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2F4D88" w14:textId="77777777" w:rsidR="00E5795D" w:rsidRDefault="00E5795D" w:rsidP="0072327A">
      <w:pPr>
        <w:spacing w:after="0" w:line="240" w:lineRule="auto"/>
      </w:pPr>
      <w:r>
        <w:separator/>
      </w:r>
    </w:p>
  </w:footnote>
  <w:footnote w:type="continuationSeparator" w:id="0">
    <w:p w14:paraId="5D3850FA" w14:textId="77777777" w:rsidR="00E5795D" w:rsidRDefault="00E5795D" w:rsidP="007232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326582"/>
    <w:multiLevelType w:val="hybridMultilevel"/>
    <w:tmpl w:val="2C9A9F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A292D20"/>
    <w:multiLevelType w:val="multilevel"/>
    <w:tmpl w:val="B23E653C"/>
    <w:lvl w:ilvl="0">
      <w:start w:val="1"/>
      <w:numFmt w:val="bullet"/>
      <w:lvlText w:val=""/>
      <w:lvlJc w:val="left"/>
      <w:pPr>
        <w:ind w:left="720" w:hanging="360"/>
      </w:pPr>
      <w:rPr>
        <w:rFonts w:ascii="Symbol" w:hAnsi="Symbol"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6B4E5BD3"/>
    <w:multiLevelType w:val="hybridMultilevel"/>
    <w:tmpl w:val="102011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601E4F"/>
    <w:multiLevelType w:val="multilevel"/>
    <w:tmpl w:val="CDD02E88"/>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na Johanna Molina Bacca">
    <w15:presenceInfo w15:providerId="None" w15:userId="Edna Johanna Molina Bac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E78"/>
    <w:rsid w:val="00006EFB"/>
    <w:rsid w:val="00033DD3"/>
    <w:rsid w:val="0009142E"/>
    <w:rsid w:val="00092E03"/>
    <w:rsid w:val="000D4110"/>
    <w:rsid w:val="001015ED"/>
    <w:rsid w:val="00102115"/>
    <w:rsid w:val="00116F02"/>
    <w:rsid w:val="00140128"/>
    <w:rsid w:val="00187F89"/>
    <w:rsid w:val="001A2F3B"/>
    <w:rsid w:val="001B01E7"/>
    <w:rsid w:val="001B7FA5"/>
    <w:rsid w:val="00207274"/>
    <w:rsid w:val="00256641"/>
    <w:rsid w:val="002D56F0"/>
    <w:rsid w:val="002E7BEE"/>
    <w:rsid w:val="00360762"/>
    <w:rsid w:val="00361061"/>
    <w:rsid w:val="0039141B"/>
    <w:rsid w:val="003A0B07"/>
    <w:rsid w:val="00454978"/>
    <w:rsid w:val="00455BB3"/>
    <w:rsid w:val="0047617E"/>
    <w:rsid w:val="004C3D1D"/>
    <w:rsid w:val="004F6D63"/>
    <w:rsid w:val="005178E9"/>
    <w:rsid w:val="005502F8"/>
    <w:rsid w:val="00553F3A"/>
    <w:rsid w:val="005711CE"/>
    <w:rsid w:val="005B2FEC"/>
    <w:rsid w:val="005C08FF"/>
    <w:rsid w:val="005D50AF"/>
    <w:rsid w:val="005F2478"/>
    <w:rsid w:val="006252BC"/>
    <w:rsid w:val="00665E10"/>
    <w:rsid w:val="0067098B"/>
    <w:rsid w:val="006A0839"/>
    <w:rsid w:val="006C02A3"/>
    <w:rsid w:val="006F49B7"/>
    <w:rsid w:val="007067A5"/>
    <w:rsid w:val="0072327A"/>
    <w:rsid w:val="007452D2"/>
    <w:rsid w:val="007464AB"/>
    <w:rsid w:val="0079387F"/>
    <w:rsid w:val="007A224D"/>
    <w:rsid w:val="007C6698"/>
    <w:rsid w:val="0082646D"/>
    <w:rsid w:val="008646CC"/>
    <w:rsid w:val="0096700E"/>
    <w:rsid w:val="00991B66"/>
    <w:rsid w:val="009A054D"/>
    <w:rsid w:val="009A683C"/>
    <w:rsid w:val="009A6F0C"/>
    <w:rsid w:val="009B2ABE"/>
    <w:rsid w:val="00A83E33"/>
    <w:rsid w:val="00A87296"/>
    <w:rsid w:val="00A92A8F"/>
    <w:rsid w:val="00A951AC"/>
    <w:rsid w:val="00AA3D04"/>
    <w:rsid w:val="00AA7861"/>
    <w:rsid w:val="00AE0601"/>
    <w:rsid w:val="00B272D1"/>
    <w:rsid w:val="00B43553"/>
    <w:rsid w:val="00BA79F1"/>
    <w:rsid w:val="00BD0F43"/>
    <w:rsid w:val="00C342C7"/>
    <w:rsid w:val="00C42C1B"/>
    <w:rsid w:val="00D459C8"/>
    <w:rsid w:val="00D6631E"/>
    <w:rsid w:val="00DF74FE"/>
    <w:rsid w:val="00E01E78"/>
    <w:rsid w:val="00E22F4B"/>
    <w:rsid w:val="00E25B66"/>
    <w:rsid w:val="00E43366"/>
    <w:rsid w:val="00E43E96"/>
    <w:rsid w:val="00E5795D"/>
    <w:rsid w:val="00EA2C44"/>
    <w:rsid w:val="00F70E20"/>
    <w:rsid w:val="00F71BB7"/>
    <w:rsid w:val="00F75C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6ADFB"/>
  <w15:chartTrackingRefBased/>
  <w15:docId w15:val="{F71C44AA-86CA-4045-9531-F2B107BC1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4978"/>
    <w:pPr>
      <w:keepNext/>
      <w:keepLines/>
      <w:spacing w:before="240" w:after="0"/>
      <w:outlineLvl w:val="0"/>
    </w:pPr>
    <w:rPr>
      <w:rFonts w:ascii="Arial" w:eastAsiaTheme="majorEastAsia" w:hAnsi="Arial" w:cstheme="majorBidi"/>
      <w:b/>
      <w:color w:val="3B3838" w:themeColor="background2" w:themeShade="4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6F0"/>
    <w:pPr>
      <w:ind w:left="720"/>
      <w:contextualSpacing/>
    </w:pPr>
  </w:style>
  <w:style w:type="character" w:styleId="Hyperlink">
    <w:name w:val="Hyperlink"/>
    <w:basedOn w:val="DefaultParagraphFont"/>
    <w:uiPriority w:val="99"/>
    <w:unhideWhenUsed/>
    <w:rsid w:val="007C6698"/>
    <w:rPr>
      <w:color w:val="0000FF"/>
      <w:u w:val="single"/>
    </w:rPr>
  </w:style>
  <w:style w:type="table" w:styleId="TableGrid">
    <w:name w:val="Table Grid"/>
    <w:basedOn w:val="TableNormal"/>
    <w:uiPriority w:val="39"/>
    <w:rsid w:val="00E43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4978"/>
    <w:rPr>
      <w:rFonts w:ascii="Arial" w:eastAsiaTheme="majorEastAsia" w:hAnsi="Arial" w:cstheme="majorBidi"/>
      <w:b/>
      <w:color w:val="3B3838" w:themeColor="background2" w:themeShade="40"/>
      <w:sz w:val="28"/>
      <w:szCs w:val="32"/>
    </w:rPr>
  </w:style>
  <w:style w:type="character" w:styleId="SubtleEmphasis">
    <w:name w:val="Subtle Emphasis"/>
    <w:basedOn w:val="DefaultParagraphFont"/>
    <w:uiPriority w:val="19"/>
    <w:qFormat/>
    <w:rsid w:val="00454978"/>
    <w:rPr>
      <w:rFonts w:ascii="Arial" w:hAnsi="Arial"/>
      <w:b/>
      <w:i w:val="0"/>
      <w:iCs/>
      <w:color w:val="404040" w:themeColor="text1" w:themeTint="BF"/>
    </w:rPr>
  </w:style>
  <w:style w:type="paragraph" w:styleId="FootnoteText">
    <w:name w:val="footnote text"/>
    <w:basedOn w:val="Normal"/>
    <w:link w:val="FootnoteTextChar"/>
    <w:uiPriority w:val="99"/>
    <w:semiHidden/>
    <w:unhideWhenUsed/>
    <w:rsid w:val="007232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327A"/>
    <w:rPr>
      <w:sz w:val="20"/>
      <w:szCs w:val="20"/>
    </w:rPr>
  </w:style>
  <w:style w:type="character" w:styleId="FootnoteReference">
    <w:name w:val="footnote reference"/>
    <w:basedOn w:val="DefaultParagraphFont"/>
    <w:uiPriority w:val="99"/>
    <w:semiHidden/>
    <w:unhideWhenUsed/>
    <w:rsid w:val="0072327A"/>
    <w:rPr>
      <w:vertAlign w:val="superscript"/>
    </w:rPr>
  </w:style>
  <w:style w:type="character" w:styleId="CommentReference">
    <w:name w:val="annotation reference"/>
    <w:basedOn w:val="DefaultParagraphFont"/>
    <w:uiPriority w:val="99"/>
    <w:semiHidden/>
    <w:unhideWhenUsed/>
    <w:rsid w:val="001B01E7"/>
    <w:rPr>
      <w:sz w:val="16"/>
      <w:szCs w:val="16"/>
    </w:rPr>
  </w:style>
  <w:style w:type="paragraph" w:styleId="CommentText">
    <w:name w:val="annotation text"/>
    <w:basedOn w:val="Normal"/>
    <w:link w:val="CommentTextChar"/>
    <w:uiPriority w:val="99"/>
    <w:semiHidden/>
    <w:unhideWhenUsed/>
    <w:rsid w:val="001B01E7"/>
    <w:pPr>
      <w:spacing w:line="240" w:lineRule="auto"/>
    </w:pPr>
    <w:rPr>
      <w:sz w:val="20"/>
      <w:szCs w:val="20"/>
    </w:rPr>
  </w:style>
  <w:style w:type="character" w:customStyle="1" w:styleId="CommentTextChar">
    <w:name w:val="Comment Text Char"/>
    <w:basedOn w:val="DefaultParagraphFont"/>
    <w:link w:val="CommentText"/>
    <w:uiPriority w:val="99"/>
    <w:semiHidden/>
    <w:rsid w:val="001B01E7"/>
    <w:rPr>
      <w:sz w:val="20"/>
      <w:szCs w:val="20"/>
    </w:rPr>
  </w:style>
  <w:style w:type="paragraph" w:styleId="CommentSubject">
    <w:name w:val="annotation subject"/>
    <w:basedOn w:val="CommentText"/>
    <w:next w:val="CommentText"/>
    <w:link w:val="CommentSubjectChar"/>
    <w:uiPriority w:val="99"/>
    <w:semiHidden/>
    <w:unhideWhenUsed/>
    <w:rsid w:val="001B01E7"/>
    <w:rPr>
      <w:b/>
      <w:bCs/>
    </w:rPr>
  </w:style>
  <w:style w:type="character" w:customStyle="1" w:styleId="CommentSubjectChar">
    <w:name w:val="Comment Subject Char"/>
    <w:basedOn w:val="CommentTextChar"/>
    <w:link w:val="CommentSubject"/>
    <w:uiPriority w:val="99"/>
    <w:semiHidden/>
    <w:rsid w:val="001B01E7"/>
    <w:rPr>
      <w:b/>
      <w:bCs/>
      <w:sz w:val="20"/>
      <w:szCs w:val="20"/>
    </w:rPr>
  </w:style>
  <w:style w:type="paragraph" w:styleId="BalloonText">
    <w:name w:val="Balloon Text"/>
    <w:basedOn w:val="Normal"/>
    <w:link w:val="BalloonTextChar"/>
    <w:uiPriority w:val="99"/>
    <w:semiHidden/>
    <w:unhideWhenUsed/>
    <w:rsid w:val="001B01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01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9880">
      <w:bodyDiv w:val="1"/>
      <w:marLeft w:val="0"/>
      <w:marRight w:val="0"/>
      <w:marTop w:val="0"/>
      <w:marBottom w:val="0"/>
      <w:divBdr>
        <w:top w:val="none" w:sz="0" w:space="0" w:color="auto"/>
        <w:left w:val="none" w:sz="0" w:space="0" w:color="auto"/>
        <w:bottom w:val="none" w:sz="0" w:space="0" w:color="auto"/>
        <w:right w:val="none" w:sz="0" w:space="0" w:color="auto"/>
      </w:divBdr>
    </w:div>
    <w:div w:id="806319984">
      <w:bodyDiv w:val="1"/>
      <w:marLeft w:val="0"/>
      <w:marRight w:val="0"/>
      <w:marTop w:val="0"/>
      <w:marBottom w:val="0"/>
      <w:divBdr>
        <w:top w:val="none" w:sz="0" w:space="0" w:color="auto"/>
        <w:left w:val="none" w:sz="0" w:space="0" w:color="auto"/>
        <w:bottom w:val="none" w:sz="0" w:space="0" w:color="auto"/>
        <w:right w:val="none" w:sz="0" w:space="0" w:color="auto"/>
      </w:divBdr>
    </w:div>
    <w:div w:id="1145703198">
      <w:bodyDiv w:val="1"/>
      <w:marLeft w:val="0"/>
      <w:marRight w:val="0"/>
      <w:marTop w:val="0"/>
      <w:marBottom w:val="0"/>
      <w:divBdr>
        <w:top w:val="none" w:sz="0" w:space="0" w:color="auto"/>
        <w:left w:val="none" w:sz="0" w:space="0" w:color="auto"/>
        <w:bottom w:val="none" w:sz="0" w:space="0" w:color="auto"/>
        <w:right w:val="none" w:sz="0" w:space="0" w:color="auto"/>
      </w:divBdr>
    </w:div>
    <w:div w:id="194611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bacca@pik-potsdam.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29B4E-9DA4-413A-9AD2-933594564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2859</Words>
  <Characters>18017</Characters>
  <Application>Microsoft Office Word</Application>
  <DocSecurity>0</DocSecurity>
  <Lines>150</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Edna Johanna Molina Bacca</dc:creator>
  <cp:keywords/>
  <dc:description/>
  <cp:lastModifiedBy>Edna Johanna Molina Bacca</cp:lastModifiedBy>
  <cp:revision>15</cp:revision>
  <dcterms:created xsi:type="dcterms:W3CDTF">2019-11-04T15:35:00Z</dcterms:created>
  <dcterms:modified xsi:type="dcterms:W3CDTF">2019-11-08T15:55:00Z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4b951b07-9bbc-3613-8fc7-143a15f31b6d</vt:lpwstr>
  </property>
  <property fmtid="{D5CDD505-2E9C-101B-9397-08002B2CF9AE}" pid="24" name="Mendeley Citation Style_1">
    <vt:lpwstr>http://www.zotero.org/styles/american-medical-association</vt:lpwstr>
  </property>
</Properties>
</file>