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5EDB" w14:textId="77777777" w:rsidR="002D6188" w:rsidRDefault="0085016E">
      <w:pPr>
        <w:jc w:val="center"/>
      </w:pPr>
      <w:r>
        <w:rPr>
          <w:b/>
          <w:color w:val="B42318"/>
          <w:sz w:val="18"/>
        </w:rPr>
        <w:t>SAMPLE TRAINING DOCUMENT - FICTIONAL. Created for a Microsoft Copilot Chat hands-on lab. Not an Energizer document, not legal advice, and not a real agreement.</w:t>
      </w:r>
    </w:p>
    <w:p w14:paraId="0E1327BB" w14:textId="77777777" w:rsidR="002D6188" w:rsidRDefault="0085016E">
      <w:pPr>
        <w:pStyle w:val="Title"/>
      </w:pPr>
      <w:r>
        <w:t>Commercial Contracting Playbook (SAMPLE)</w:t>
      </w:r>
    </w:p>
    <w:p w14:paraId="074A1767" w14:textId="77777777" w:rsidR="002D6188" w:rsidRDefault="0085016E">
      <w:r>
        <w:t>Purpose: Gives business requesters and legal reviewers a consistent set of standard positions, acceptable fallbacks, and escalation triggers for supplier, services, and logistics agreements. Positions in this sample are illustrative only.</w:t>
      </w:r>
    </w:p>
    <w:p w14:paraId="7A4AF88D" w14:textId="77777777" w:rsidR="002D6188" w:rsidRDefault="0085016E">
      <w:pPr>
        <w:pStyle w:val="Heading2"/>
      </w:pPr>
      <w:r>
        <w:t>How to use</w:t>
      </w:r>
    </w:p>
    <w:p w14:paraId="3CE5B16D" w14:textId="77777777" w:rsidR="002D6188" w:rsidRDefault="0085016E">
      <w:pPr>
        <w:pStyle w:val="ListBullet"/>
      </w:pPr>
      <w:r>
        <w:t>Green = standard position; accept without escalation.</w:t>
      </w:r>
    </w:p>
    <w:p w14:paraId="51066845" w14:textId="77777777" w:rsidR="002D6188" w:rsidRDefault="0085016E">
      <w:pPr>
        <w:pStyle w:val="ListBullet"/>
      </w:pPr>
      <w:r>
        <w:t>Yellow = acceptable fallback; business owner approval required.</w:t>
      </w:r>
    </w:p>
    <w:p w14:paraId="621F860F" w14:textId="77777777" w:rsidR="002D6188" w:rsidRDefault="0085016E">
      <w:pPr>
        <w:pStyle w:val="ListBullet"/>
      </w:pPr>
      <w:r>
        <w:t>Red = escalation trigger; route to assigned attorney before negotiating.</w:t>
      </w:r>
    </w:p>
    <w:p w14:paraId="6CF2D8BD" w14:textId="77777777" w:rsidR="002D6188" w:rsidRDefault="0085016E">
      <w:pPr>
        <w:pStyle w:val="Heading2"/>
      </w:pPr>
      <w:r>
        <w:t>Standard positions, fallbacks, and escalation triggers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6"/>
        <w:gridCol w:w="2154"/>
        <w:gridCol w:w="2155"/>
      </w:tblGrid>
      <w:tr w:rsidR="002D6188" w14:paraId="0A6F21D9" w14:textId="77777777" w:rsidTr="002D61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782C29" w14:textId="77777777" w:rsidR="002D6188" w:rsidRDefault="0085016E">
            <w:r>
              <w:t>Topic</w:t>
            </w:r>
          </w:p>
        </w:tc>
        <w:tc>
          <w:tcPr>
            <w:tcW w:w="2160" w:type="dxa"/>
          </w:tcPr>
          <w:p w14:paraId="35D3A20A" w14:textId="77777777" w:rsidR="002D6188" w:rsidRDefault="008501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 position (Green)</w:t>
            </w:r>
          </w:p>
        </w:tc>
        <w:tc>
          <w:tcPr>
            <w:tcW w:w="2160" w:type="dxa"/>
          </w:tcPr>
          <w:p w14:paraId="6CD3470C" w14:textId="77777777" w:rsidR="002D6188" w:rsidRDefault="008501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Fallback (Yellow)</w:t>
            </w:r>
          </w:p>
        </w:tc>
        <w:tc>
          <w:tcPr>
            <w:tcW w:w="2160" w:type="dxa"/>
          </w:tcPr>
          <w:p w14:paraId="26876BA2" w14:textId="77777777" w:rsidR="002D6188" w:rsidRDefault="008501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Escalate (Red)</w:t>
            </w:r>
          </w:p>
        </w:tc>
      </w:tr>
      <w:tr w:rsidR="002D6188" w14:paraId="0E5AB0F8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4FACB" w14:textId="77777777" w:rsidR="002D6188" w:rsidRDefault="0085016E">
            <w:r>
              <w:t>Term &amp; renewal</w:t>
            </w:r>
          </w:p>
        </w:tc>
        <w:tc>
          <w:tcPr>
            <w:tcW w:w="2160" w:type="dxa"/>
          </w:tcPr>
          <w:p w14:paraId="1F239BAC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term 1-3 years; renewal only by mutual written agreement.</w:t>
            </w:r>
          </w:p>
        </w:tc>
        <w:tc>
          <w:tcPr>
            <w:tcW w:w="2160" w:type="dxa"/>
          </w:tcPr>
          <w:p w14:paraId="5E95C952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Auto-renewal of 1-year terms with 60 days' or less non-renewal notice.</w:t>
            </w:r>
          </w:p>
        </w:tc>
        <w:tc>
          <w:tcPr>
            <w:tcW w:w="2160" w:type="dxa"/>
          </w:tcPr>
          <w:p w14:paraId="1994E1DA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Auto-renewal longer than 1 year, or notice period over 90 days.</w:t>
            </w:r>
          </w:p>
        </w:tc>
      </w:tr>
      <w:tr w:rsidR="002D6188" w14:paraId="7C7899AB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23C48" w14:textId="77777777" w:rsidR="002D6188" w:rsidRDefault="0085016E">
            <w:r>
              <w:t>Price changes</w:t>
            </w:r>
          </w:p>
        </w:tc>
        <w:tc>
          <w:tcPr>
            <w:tcW w:w="2160" w:type="dxa"/>
          </w:tcPr>
          <w:p w14:paraId="7C203196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 pricing for the initial term.</w:t>
            </w:r>
          </w:p>
        </w:tc>
        <w:tc>
          <w:tcPr>
            <w:tcW w:w="2160" w:type="dxa"/>
          </w:tcPr>
          <w:p w14:paraId="2D814641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Annual increase capped at CPI or 3% (lower of), with 90 days' notice.</w:t>
            </w:r>
          </w:p>
        </w:tc>
        <w:tc>
          <w:tcPr>
            <w:tcW w:w="2160" w:type="dxa"/>
          </w:tcPr>
          <w:p w14:paraId="2B38CB77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Unilateral increases, surcharges at supplier discretion, or caps above 5%.</w:t>
            </w:r>
          </w:p>
        </w:tc>
      </w:tr>
      <w:tr w:rsidR="002D6188" w14:paraId="7C563E85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B7C7FE" w14:textId="77777777" w:rsidR="002D6188" w:rsidRDefault="0085016E">
            <w:r>
              <w:t>Payment terms</w:t>
            </w:r>
          </w:p>
        </w:tc>
        <w:tc>
          <w:tcPr>
            <w:tcW w:w="2160" w:type="dxa"/>
          </w:tcPr>
          <w:p w14:paraId="5FC4EBB6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60 from receipt of a correct invoice.</w:t>
            </w:r>
          </w:p>
        </w:tc>
        <w:tc>
          <w:tcPr>
            <w:tcW w:w="2160" w:type="dxa"/>
          </w:tcPr>
          <w:p w14:paraId="2E642828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45.</w:t>
            </w:r>
          </w:p>
        </w:tc>
        <w:tc>
          <w:tcPr>
            <w:tcW w:w="2160" w:type="dxa"/>
          </w:tcPr>
          <w:p w14:paraId="1A96D269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 30 or shorter; late fees above 1% per month; right to suspend services.</w:t>
            </w:r>
          </w:p>
        </w:tc>
      </w:tr>
      <w:tr w:rsidR="002D6188" w14:paraId="7B065D81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86DE1" w14:textId="77777777" w:rsidR="002D6188" w:rsidRDefault="0085016E">
            <w:r>
              <w:t>Service levels</w:t>
            </w:r>
          </w:p>
        </w:tc>
        <w:tc>
          <w:tcPr>
            <w:tcW w:w="2160" w:type="dxa"/>
          </w:tcPr>
          <w:p w14:paraId="6CBBB0F0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Defined SLAs with service credits plus termination right for chronic failure.</w:t>
            </w:r>
          </w:p>
        </w:tc>
        <w:tc>
          <w:tcPr>
            <w:tcW w:w="2160" w:type="dxa"/>
          </w:tcPr>
          <w:p w14:paraId="7A62A6F5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Service credits up to 10% of monthly fees.</w:t>
            </w:r>
          </w:p>
        </w:tc>
        <w:tc>
          <w:tcPr>
            <w:tcW w:w="2160" w:type="dxa"/>
          </w:tcPr>
          <w:p w14:paraId="535A3390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Credits as sole remedy, or credits capped below 5%.</w:t>
            </w:r>
          </w:p>
        </w:tc>
      </w:tr>
      <w:tr w:rsidR="002D6188" w14:paraId="42CBC2F8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0C624E" w14:textId="77777777" w:rsidR="002D6188" w:rsidRDefault="0085016E">
            <w:r>
              <w:t>Customer data</w:t>
            </w:r>
          </w:p>
        </w:tc>
        <w:tc>
          <w:tcPr>
            <w:tcW w:w="2160" w:type="dxa"/>
          </w:tcPr>
          <w:p w14:paraId="374A16D9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uses data only to perform services; return or delete within 30 days of termination.</w:t>
            </w:r>
          </w:p>
        </w:tc>
        <w:tc>
          <w:tcPr>
            <w:tcW w:w="2160" w:type="dxa"/>
          </w:tcPr>
          <w:p w14:paraId="2AFB6860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Aggregated, de-identified use for internal service improvement only.</w:t>
            </w:r>
          </w:p>
        </w:tc>
        <w:tc>
          <w:tcPr>
            <w:tcW w:w="2160" w:type="dxa"/>
          </w:tcPr>
          <w:p w14:paraId="7373A27E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license to commercialize our data, perpetual rights, or indefinite retention.</w:t>
            </w:r>
          </w:p>
        </w:tc>
      </w:tr>
      <w:tr w:rsidR="002D6188" w14:paraId="13908FE8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7FDB05" w14:textId="77777777" w:rsidR="002D6188" w:rsidRDefault="0085016E">
            <w:r>
              <w:t>Security incidents</w:t>
            </w:r>
          </w:p>
        </w:tc>
        <w:tc>
          <w:tcPr>
            <w:tcW w:w="2160" w:type="dxa"/>
          </w:tcPr>
          <w:p w14:paraId="42F0F06E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Notice within 72 hours; cooperation and cost reimbursement.</w:t>
            </w:r>
          </w:p>
        </w:tc>
        <w:tc>
          <w:tcPr>
            <w:tcW w:w="2160" w:type="dxa"/>
          </w:tcPr>
          <w:p w14:paraId="33D6875A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Notice within 5 days.</w:t>
            </w:r>
          </w:p>
        </w:tc>
        <w:tc>
          <w:tcPr>
            <w:tcW w:w="2160" w:type="dxa"/>
          </w:tcPr>
          <w:p w14:paraId="4A0B4A39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Undefined timing ('commercially reasonable').</w:t>
            </w:r>
          </w:p>
        </w:tc>
      </w:tr>
      <w:tr w:rsidR="002D6188" w14:paraId="0B94A9CE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8E0A4" w14:textId="77777777" w:rsidR="002D6188" w:rsidRDefault="0085016E">
            <w:r>
              <w:lastRenderedPageBreak/>
              <w:t>Confidentiality</w:t>
            </w:r>
          </w:p>
        </w:tc>
        <w:tc>
          <w:tcPr>
            <w:tcW w:w="2160" w:type="dxa"/>
          </w:tcPr>
          <w:p w14:paraId="0FE0A684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years post-termination; trade secrets protected for as long as they remain trade secrets.</w:t>
            </w:r>
          </w:p>
        </w:tc>
        <w:tc>
          <w:tcPr>
            <w:tcW w:w="2160" w:type="dxa"/>
          </w:tcPr>
          <w:p w14:paraId="1179539D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years.</w:t>
            </w:r>
          </w:p>
        </w:tc>
        <w:tc>
          <w:tcPr>
            <w:tcW w:w="2160" w:type="dxa"/>
          </w:tcPr>
          <w:p w14:paraId="465EE234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Under 3 years or no trade-secret carve-out.</w:t>
            </w:r>
          </w:p>
        </w:tc>
      </w:tr>
      <w:tr w:rsidR="002D6188" w14:paraId="72FC70D0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432A13" w14:textId="77777777" w:rsidR="002D6188" w:rsidRDefault="0085016E">
            <w:r>
              <w:t>Indemnification</w:t>
            </w:r>
          </w:p>
        </w:tc>
        <w:tc>
          <w:tcPr>
            <w:tcW w:w="2160" w:type="dxa"/>
          </w:tcPr>
          <w:p w14:paraId="7EAD3D13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Mutual; supplier indemnifies for negligence, IP infringement, data breach, and violations of law.</w:t>
            </w:r>
          </w:p>
        </w:tc>
        <w:tc>
          <w:tcPr>
            <w:tcW w:w="2160" w:type="dxa"/>
          </w:tcPr>
          <w:p w14:paraId="4EE7C102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Mutual, limited to third-party claims.</w:t>
            </w:r>
          </w:p>
        </w:tc>
        <w:tc>
          <w:tcPr>
            <w:tcW w:w="2160" w:type="dxa"/>
          </w:tcPr>
          <w:p w14:paraId="51ED6D52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One-sided indemnity in favor of the supplier.</w:t>
            </w:r>
          </w:p>
        </w:tc>
      </w:tr>
      <w:tr w:rsidR="002D6188" w14:paraId="29671BAA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6E1947" w14:textId="77777777" w:rsidR="002D6188" w:rsidRDefault="0085016E">
            <w:r>
              <w:t>Limitation of liability</w:t>
            </w:r>
          </w:p>
        </w:tc>
        <w:tc>
          <w:tcPr>
            <w:tcW w:w="2160" w:type="dxa"/>
          </w:tcPr>
          <w:p w14:paraId="4B73F1BD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Mutual cap of 12 months' fees; carve-outs for confidentiality, data breach, indemnity, gross negligence, and willful misconduct.</w:t>
            </w:r>
          </w:p>
        </w:tc>
        <w:tc>
          <w:tcPr>
            <w:tcW w:w="2160" w:type="dxa"/>
          </w:tcPr>
          <w:p w14:paraId="06519279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Mutual cap of 12 months' fees with a super-cap (2-3x) for data breach.</w:t>
            </w:r>
          </w:p>
        </w:tc>
        <w:tc>
          <w:tcPr>
            <w:tcW w:w="2160" w:type="dxa"/>
          </w:tcPr>
          <w:p w14:paraId="28F11334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 below 12 months' fees, cap that applies only to one party, or no carve-outs.</w:t>
            </w:r>
          </w:p>
        </w:tc>
      </w:tr>
      <w:tr w:rsidR="002D6188" w14:paraId="20B6AE1D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287072" w14:textId="77777777" w:rsidR="002D6188" w:rsidRDefault="0085016E">
            <w:r>
              <w:t>Loss of goods (logistics)</w:t>
            </w:r>
          </w:p>
        </w:tc>
        <w:tc>
          <w:tcPr>
            <w:tcW w:w="2160" w:type="dxa"/>
          </w:tcPr>
          <w:p w14:paraId="5215E77F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Supplier liable for full replacement cost of goods in its care, custody, or control.</w:t>
            </w:r>
          </w:p>
        </w:tc>
        <w:tc>
          <w:tcPr>
            <w:tcW w:w="2160" w:type="dxa"/>
          </w:tcPr>
          <w:p w14:paraId="7602AAC7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Declared-value approach with insurance certificate.</w:t>
            </w:r>
          </w:p>
        </w:tc>
        <w:tc>
          <w:tcPr>
            <w:tcW w:w="2160" w:type="dxa"/>
          </w:tcPr>
          <w:p w14:paraId="057D1887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Per-pound limits (for example $0.50/lb) on high-value inventory.</w:t>
            </w:r>
          </w:p>
        </w:tc>
      </w:tr>
      <w:tr w:rsidR="002D6188" w14:paraId="14404370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A64365" w14:textId="77777777" w:rsidR="002D6188" w:rsidRDefault="0085016E">
            <w:r>
              <w:t>Insurance</w:t>
            </w:r>
          </w:p>
        </w:tc>
        <w:tc>
          <w:tcPr>
            <w:tcW w:w="2160" w:type="dxa"/>
          </w:tcPr>
          <w:p w14:paraId="4ED148E5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CGL $5M; cyber $5M where data is processed; warehouse legal liability matching inventory value.</w:t>
            </w:r>
          </w:p>
        </w:tc>
        <w:tc>
          <w:tcPr>
            <w:tcW w:w="2160" w:type="dxa"/>
          </w:tcPr>
          <w:p w14:paraId="65A54E70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CGL $2M with umbrella.</w:t>
            </w:r>
          </w:p>
        </w:tc>
        <w:tc>
          <w:tcPr>
            <w:tcW w:w="2160" w:type="dxa"/>
          </w:tcPr>
          <w:p w14:paraId="219D98EC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CGL only, below $2M.</w:t>
            </w:r>
          </w:p>
        </w:tc>
      </w:tr>
      <w:tr w:rsidR="002D6188" w14:paraId="5684A53A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59248B" w14:textId="77777777" w:rsidR="002D6188" w:rsidRDefault="0085016E">
            <w:r>
              <w:t>Termination</w:t>
            </w:r>
          </w:p>
        </w:tc>
        <w:tc>
          <w:tcPr>
            <w:tcW w:w="2160" w:type="dxa"/>
          </w:tcPr>
          <w:p w14:paraId="287B369A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Mutual termination for convenience with 60 days' notice; termination for material breach with 30-day cure.</w:t>
            </w:r>
          </w:p>
        </w:tc>
        <w:tc>
          <w:tcPr>
            <w:tcW w:w="2160" w:type="dxa"/>
          </w:tcPr>
          <w:p w14:paraId="0A15ECCF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Termination for convenience with 90 days' notice and wind-down fee.</w:t>
            </w:r>
          </w:p>
        </w:tc>
        <w:tc>
          <w:tcPr>
            <w:tcW w:w="2160" w:type="dxa"/>
          </w:tcPr>
          <w:p w14:paraId="546246B6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Supplier-only termination for convenience; payment of fees through end of term.</w:t>
            </w:r>
          </w:p>
        </w:tc>
      </w:tr>
      <w:tr w:rsidR="002D6188" w14:paraId="7581CBDE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39C5E" w14:textId="77777777" w:rsidR="002D6188" w:rsidRDefault="0085016E">
            <w:r>
              <w:t>Force majeure</w:t>
            </w:r>
          </w:p>
        </w:tc>
        <w:tc>
          <w:tcPr>
            <w:tcW w:w="2160" w:type="dxa"/>
          </w:tcPr>
          <w:p w14:paraId="1D921905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Narrow; excludes price increases, labor shortages, and supplier's subcontractor failures.</w:t>
            </w:r>
          </w:p>
        </w:tc>
        <w:tc>
          <w:tcPr>
            <w:tcW w:w="2160" w:type="dxa"/>
          </w:tcPr>
          <w:p w14:paraId="05DC6E65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Includes cyberattacks if supplier maintains a documented security program.</w:t>
            </w:r>
          </w:p>
        </w:tc>
        <w:tc>
          <w:tcPr>
            <w:tcW w:w="2160" w:type="dxa"/>
          </w:tcPr>
          <w:p w14:paraId="7198F020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increases or tariffs listed as force majeure events.</w:t>
            </w:r>
          </w:p>
        </w:tc>
      </w:tr>
      <w:tr w:rsidR="002D6188" w14:paraId="5D48D71A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B9F6CD" w14:textId="77777777" w:rsidR="002D6188" w:rsidRDefault="0085016E">
            <w:r>
              <w:t>Subcontracting &amp; assignment</w:t>
            </w:r>
          </w:p>
        </w:tc>
        <w:tc>
          <w:tcPr>
            <w:tcW w:w="2160" w:type="dxa"/>
          </w:tcPr>
          <w:p w14:paraId="39930859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Prior written consent required; supplier remains liable for subcontractors.</w:t>
            </w:r>
          </w:p>
        </w:tc>
        <w:tc>
          <w:tcPr>
            <w:tcW w:w="2160" w:type="dxa"/>
          </w:tcPr>
          <w:p w14:paraId="0040FA9F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Notice for routine carriers; consent for offshore warehousing.</w:t>
            </w:r>
          </w:p>
        </w:tc>
        <w:tc>
          <w:tcPr>
            <w:tcW w:w="2160" w:type="dxa"/>
          </w:tcPr>
          <w:p w14:paraId="289C900D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 assignment or subcontracting outside the U.S. without notice.</w:t>
            </w:r>
          </w:p>
        </w:tc>
      </w:tr>
      <w:tr w:rsidR="002D6188" w14:paraId="0B89F60B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0FA211" w14:textId="77777777" w:rsidR="002D6188" w:rsidRDefault="0085016E">
            <w:r>
              <w:t>Governing law &amp; disputes</w:t>
            </w:r>
          </w:p>
        </w:tc>
        <w:tc>
          <w:tcPr>
            <w:tcW w:w="2160" w:type="dxa"/>
          </w:tcPr>
          <w:p w14:paraId="53703D88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Missouri law; courts in St. Louis County, Missouri.</w:t>
            </w:r>
          </w:p>
        </w:tc>
        <w:tc>
          <w:tcPr>
            <w:tcW w:w="2160" w:type="dxa"/>
          </w:tcPr>
          <w:p w14:paraId="4AD25EB4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Delaware or New York law; neutral venue.</w:t>
            </w:r>
          </w:p>
        </w:tc>
        <w:tc>
          <w:tcPr>
            <w:tcW w:w="2160" w:type="dxa"/>
          </w:tcPr>
          <w:p w14:paraId="5E3E722C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home-state law with mandatory confidential arbitration.</w:t>
            </w:r>
          </w:p>
        </w:tc>
      </w:tr>
      <w:tr w:rsidR="002D6188" w14:paraId="06383D86" w14:textId="77777777" w:rsidTr="002D61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9487EE" w14:textId="77777777" w:rsidR="002D6188" w:rsidRDefault="0085016E">
            <w:r>
              <w:t>Trade compliance</w:t>
            </w:r>
          </w:p>
        </w:tc>
        <w:tc>
          <w:tcPr>
            <w:tcW w:w="2160" w:type="dxa"/>
          </w:tcPr>
          <w:p w14:paraId="7775B3E0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controls, sanctions, anti-boycott, anti-bribery (FCPA / UK Bribery Act), forced-labor (UFLPA), and Supplier Code of Conduct clauses required.</w:t>
            </w:r>
          </w:p>
        </w:tc>
        <w:tc>
          <w:tcPr>
            <w:tcW w:w="2160" w:type="dxa"/>
          </w:tcPr>
          <w:p w14:paraId="414D270B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Code of Conduct by reference with audit right.</w:t>
            </w:r>
          </w:p>
        </w:tc>
        <w:tc>
          <w:tcPr>
            <w:tcW w:w="2160" w:type="dxa"/>
          </w:tcPr>
          <w:p w14:paraId="5DA06352" w14:textId="77777777" w:rsidR="002D6188" w:rsidRDefault="0085016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trade-compliance or anti-corruption language.</w:t>
            </w:r>
          </w:p>
        </w:tc>
      </w:tr>
      <w:tr w:rsidR="002D6188" w14:paraId="62677D34" w14:textId="77777777" w:rsidTr="002D61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F71404" w14:textId="77777777" w:rsidR="002D6188" w:rsidRDefault="0085016E">
            <w:r>
              <w:t>Incorporated online terms</w:t>
            </w:r>
          </w:p>
        </w:tc>
        <w:tc>
          <w:tcPr>
            <w:tcW w:w="2160" w:type="dxa"/>
          </w:tcPr>
          <w:p w14:paraId="081DC46B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permitted.</w:t>
            </w:r>
          </w:p>
        </w:tc>
        <w:tc>
          <w:tcPr>
            <w:tcW w:w="2160" w:type="dxa"/>
          </w:tcPr>
          <w:p w14:paraId="0DE93C81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Permitted only if a version is attached and frozen.</w:t>
            </w:r>
          </w:p>
        </w:tc>
        <w:tc>
          <w:tcPr>
            <w:tcW w:w="2160" w:type="dxa"/>
          </w:tcPr>
          <w:p w14:paraId="5F17BC10" w14:textId="77777777" w:rsidR="002D6188" w:rsidRDefault="008501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Supplier online terms 'as updated from time to time.'</w:t>
            </w:r>
          </w:p>
        </w:tc>
      </w:tr>
    </w:tbl>
    <w:p w14:paraId="14475DC9" w14:textId="77777777" w:rsidR="002D6188" w:rsidRDefault="0085016E">
      <w:pPr>
        <w:pStyle w:val="Heading2"/>
      </w:pPr>
      <w:r>
        <w:t>Agreement type selector</w:t>
      </w:r>
    </w:p>
    <w:p w14:paraId="1231C366" w14:textId="77777777" w:rsidR="002D6188" w:rsidRDefault="0085016E">
      <w:pPr>
        <w:pStyle w:val="ListBullet"/>
      </w:pPr>
      <w:r>
        <w:t>Master Supply Agreement (MSA-Supply): we are buying goods, components, or packaging that become part of our products.</w:t>
      </w:r>
    </w:p>
    <w:p w14:paraId="7F03A251" w14:textId="77777777" w:rsidR="002D6188" w:rsidRDefault="0085016E">
      <w:pPr>
        <w:pStyle w:val="ListBullet"/>
      </w:pPr>
      <w:r>
        <w:t>Master Services Agreement (MSA-Services): a vendor performs ongoing services (logistics, IT, facilities, staffing).</w:t>
      </w:r>
    </w:p>
    <w:p w14:paraId="15CA7A47" w14:textId="77777777" w:rsidR="002D6188" w:rsidRDefault="0085016E">
      <w:pPr>
        <w:pStyle w:val="ListBullet"/>
      </w:pPr>
      <w:r>
        <w:t>Statement of Work (SOW): a specific project under an existing MSA-Services.</w:t>
      </w:r>
    </w:p>
    <w:p w14:paraId="79996417" w14:textId="77777777" w:rsidR="002D6188" w:rsidRDefault="0085016E">
      <w:pPr>
        <w:pStyle w:val="ListBullet"/>
      </w:pPr>
      <w:r>
        <w:t>Marketing / Agency Services Agreement: creative, media, influencer, or promotional services. Requires IP assignment and FTC endorsement-guide compliance.</w:t>
      </w:r>
    </w:p>
    <w:p w14:paraId="0443BB41" w14:textId="77777777" w:rsidR="002D6188" w:rsidRDefault="0085016E">
      <w:pPr>
        <w:pStyle w:val="ListBullet"/>
      </w:pPr>
      <w:r>
        <w:t>Mutual NDA: early-stage discussions where both parties share confidential information.</w:t>
      </w:r>
    </w:p>
    <w:p w14:paraId="66CE1984" w14:textId="77777777" w:rsidR="002D6188" w:rsidRDefault="0085016E">
      <w:pPr>
        <w:pStyle w:val="ListBullet"/>
      </w:pPr>
      <w:r>
        <w:t>Distribution Agreement: a third party resells our products in a defined territory. Requires trade-compliance review.</w:t>
      </w:r>
    </w:p>
    <w:p w14:paraId="0BD67EC5" w14:textId="77777777" w:rsidR="002D6188" w:rsidRDefault="0085016E">
      <w:pPr>
        <w:pStyle w:val="ListBullet"/>
      </w:pPr>
      <w:r>
        <w:t>SaaS / Technology Agreement: software or hosted services. Requires IT security review.</w:t>
      </w:r>
    </w:p>
    <w:p w14:paraId="790D750A" w14:textId="77777777" w:rsidR="002D6188" w:rsidRDefault="0085016E">
      <w:pPr>
        <w:pStyle w:val="Heading2"/>
      </w:pPr>
      <w:r>
        <w:t>Minimum intake information</w:t>
      </w:r>
    </w:p>
    <w:p w14:paraId="468FE92B" w14:textId="77777777" w:rsidR="002D6188" w:rsidRDefault="0085016E">
      <w:pPr>
        <w:pStyle w:val="ListBullet"/>
      </w:pPr>
      <w:r>
        <w:t>Business owner and cost center</w:t>
      </w:r>
    </w:p>
    <w:p w14:paraId="5FB47A48" w14:textId="77777777" w:rsidR="002D6188" w:rsidRDefault="0085016E">
      <w:pPr>
        <w:pStyle w:val="ListBullet"/>
      </w:pPr>
      <w:r>
        <w:t>Counterparty legal name and country</w:t>
      </w:r>
    </w:p>
    <w:p w14:paraId="6ED6479B" w14:textId="77777777" w:rsidR="002D6188" w:rsidRDefault="0085016E">
      <w:pPr>
        <w:pStyle w:val="ListBullet"/>
      </w:pPr>
      <w:r>
        <w:t>What is being bought, sold, or shared</w:t>
      </w:r>
    </w:p>
    <w:p w14:paraId="596B0CA1" w14:textId="77777777" w:rsidR="002D6188" w:rsidRDefault="0085016E">
      <w:pPr>
        <w:pStyle w:val="ListBullet"/>
      </w:pPr>
      <w:r>
        <w:t>Estimated annual and total contract value</w:t>
      </w:r>
    </w:p>
    <w:p w14:paraId="0BAD2AAB" w14:textId="77777777" w:rsidR="002D6188" w:rsidRDefault="0085016E">
      <w:pPr>
        <w:pStyle w:val="ListBullet"/>
      </w:pPr>
      <w:r>
        <w:t>Start date and required signature date</w:t>
      </w:r>
    </w:p>
    <w:p w14:paraId="15D9377E" w14:textId="77777777" w:rsidR="002D6188" w:rsidRDefault="0085016E">
      <w:pPr>
        <w:pStyle w:val="ListBullet"/>
      </w:pPr>
      <w:r>
        <w:t>Whether personal data, consumer data, or confidential product data will be shared</w:t>
      </w:r>
    </w:p>
    <w:p w14:paraId="77424A82" w14:textId="77777777" w:rsidR="002D6188" w:rsidRDefault="0085016E">
      <w:pPr>
        <w:pStyle w:val="ListBullet"/>
      </w:pPr>
      <w:r>
        <w:t>Countries where goods will ship or services will be performed</w:t>
      </w:r>
    </w:p>
    <w:p w14:paraId="49A05694" w14:textId="77777777" w:rsidR="002D6188" w:rsidRDefault="0085016E">
      <w:pPr>
        <w:pStyle w:val="ListBullet"/>
      </w:pPr>
      <w:r>
        <w:t>Whether the counterparty sent its own paper</w:t>
      </w:r>
    </w:p>
    <w:sectPr w:rsidR="002D61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992256">
    <w:abstractNumId w:val="8"/>
  </w:num>
  <w:num w:numId="2" w16cid:durableId="2123571849">
    <w:abstractNumId w:val="6"/>
  </w:num>
  <w:num w:numId="3" w16cid:durableId="1863325207">
    <w:abstractNumId w:val="5"/>
  </w:num>
  <w:num w:numId="4" w16cid:durableId="993677253">
    <w:abstractNumId w:val="4"/>
  </w:num>
  <w:num w:numId="5" w16cid:durableId="2029065694">
    <w:abstractNumId w:val="7"/>
  </w:num>
  <w:num w:numId="6" w16cid:durableId="708719939">
    <w:abstractNumId w:val="3"/>
  </w:num>
  <w:num w:numId="7" w16cid:durableId="316691657">
    <w:abstractNumId w:val="2"/>
  </w:num>
  <w:num w:numId="8" w16cid:durableId="8219213">
    <w:abstractNumId w:val="1"/>
  </w:num>
  <w:num w:numId="9" w16cid:durableId="138393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188"/>
    <w:rsid w:val="00326F90"/>
    <w:rsid w:val="0085016E"/>
    <w:rsid w:val="00AA1D8D"/>
    <w:rsid w:val="00B47730"/>
    <w:rsid w:val="00CB0664"/>
    <w:rsid w:val="00CB2943"/>
    <w:rsid w:val="00FC693F"/>
    <w:rsid w:val="1CE4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596D18-D7C8-4775-8F53-A2ACCF22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817</Words>
  <Characters>4660</Characters>
  <Application>Microsoft Office Word</Application>
  <DocSecurity>0</DocSecurity>
  <Lines>38</Lines>
  <Paragraphs>10</Paragraphs>
  <ScaleCrop>false</ScaleCrop>
  <Manager/>
  <Company/>
  <LinksUpToDate>false</LinksUpToDate>
  <CharactersWithSpaces>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Montes</cp:lastModifiedBy>
  <cp:revision>2</cp:revision>
  <dcterms:created xsi:type="dcterms:W3CDTF">2026-10-16T18:02:00Z</dcterms:created>
  <dcterms:modified xsi:type="dcterms:W3CDTF">2026-10-16T18:02:00Z</dcterms:modified>
  <cp:category/>
</cp:coreProperties>
</file>