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11056"/>
        <w:gridCol w:w="3596"/>
      </w:tblGrid>
      <w:tr w:rsidR="00D37566" w14:paraId="06A2FD99" w14:textId="77777777" w:rsidTr="00C57050">
        <w:tc>
          <w:tcPr>
            <w:tcW w:w="4158" w:type="dxa"/>
          </w:tcPr>
          <w:p w14:paraId="50B5C4BD" w14:textId="073EF3D8" w:rsidR="00D37566" w:rsidRDefault="001F0250">
            <w:r>
              <w:rPr>
                <w:noProof/>
              </w:rPr>
              <w:drawing>
                <wp:inline distT="0" distB="0" distL="0" distR="0" wp14:anchorId="16E7E6E2" wp14:editId="1833688F">
                  <wp:extent cx="2512060" cy="5607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060" cy="560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0" w:type="dxa"/>
          </w:tcPr>
          <w:p w14:paraId="4B60EC85" w14:textId="77777777" w:rsidR="00CA5045" w:rsidRDefault="00CA5045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850BE0E" w14:textId="77777777" w:rsidR="00CA5045" w:rsidRDefault="00CA5045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0B7EE9" w14:textId="77777777" w:rsidR="001F0250" w:rsidRDefault="001F0250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A26F0F" w14:textId="77777777" w:rsidR="001F0250" w:rsidRDefault="001F0250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4749917" w14:textId="77777777" w:rsidR="00AB557D" w:rsidRDefault="00AB557D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8496059" w14:textId="32090B51" w:rsidR="00D37566" w:rsidRPr="00D37566" w:rsidRDefault="005D47FD" w:rsidP="00D37566">
            <w:pPr>
              <w:jc w:val="center"/>
              <w:rPr>
                <w:b/>
                <w:i/>
                <w:color w:val="0070C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Roommate App</w:t>
            </w:r>
            <w:r w:rsidR="009C1279">
              <w:rPr>
                <w:b/>
                <w:color w:val="000000" w:themeColor="text1"/>
                <w:sz w:val="28"/>
                <w:szCs w:val="28"/>
              </w:rPr>
              <w:t xml:space="preserve"> with Spring Boot and MongoDB</w:t>
            </w:r>
          </w:p>
        </w:tc>
        <w:tc>
          <w:tcPr>
            <w:tcW w:w="3600" w:type="dxa"/>
          </w:tcPr>
          <w:p w14:paraId="25B1AE71" w14:textId="77777777" w:rsidR="001F0250" w:rsidRDefault="001F0250">
            <w:pPr>
              <w:rPr>
                <w:b/>
              </w:rPr>
            </w:pPr>
          </w:p>
          <w:p w14:paraId="767A9B96" w14:textId="77777777" w:rsidR="001F0250" w:rsidRDefault="001F0250">
            <w:pPr>
              <w:rPr>
                <w:b/>
              </w:rPr>
            </w:pPr>
          </w:p>
          <w:p w14:paraId="69DC8ECA" w14:textId="77777777" w:rsidR="001F0250" w:rsidRDefault="001F0250">
            <w:pPr>
              <w:rPr>
                <w:b/>
              </w:rPr>
            </w:pPr>
          </w:p>
          <w:p w14:paraId="48F01420" w14:textId="77777777" w:rsidR="001F0250" w:rsidRDefault="001F0250">
            <w:pPr>
              <w:rPr>
                <w:b/>
              </w:rPr>
            </w:pPr>
          </w:p>
          <w:p w14:paraId="2A963E21" w14:textId="77777777" w:rsidR="00B94A8E" w:rsidRDefault="00B94A8E">
            <w:pPr>
              <w:rPr>
                <w:b/>
              </w:rPr>
            </w:pPr>
          </w:p>
          <w:p w14:paraId="6202206E" w14:textId="4E0BE8EB" w:rsidR="00D37566" w:rsidRDefault="00D37566">
            <w:r w:rsidRPr="00D37566">
              <w:rPr>
                <w:b/>
              </w:rPr>
              <w:t>Date</w:t>
            </w:r>
            <w:r>
              <w:t xml:space="preserve">: </w:t>
            </w:r>
            <w:r w:rsidR="009C1279">
              <w:t>02</w:t>
            </w:r>
            <w:r w:rsidR="005D47FD">
              <w:t>/</w:t>
            </w:r>
            <w:r w:rsidR="009C1279">
              <w:t>11</w:t>
            </w:r>
            <w:r w:rsidR="001258F0">
              <w:t>/2</w:t>
            </w:r>
            <w:r w:rsidR="009C1279">
              <w:t>1</w:t>
            </w:r>
          </w:p>
        </w:tc>
      </w:tr>
      <w:tr w:rsidR="00D37566" w14:paraId="25BBF470" w14:textId="77777777" w:rsidTr="00C57050">
        <w:tc>
          <w:tcPr>
            <w:tcW w:w="4158" w:type="dxa"/>
          </w:tcPr>
          <w:p w14:paraId="35E77DB2" w14:textId="77777777" w:rsidR="00D37566" w:rsidRDefault="00D37566"/>
        </w:tc>
        <w:tc>
          <w:tcPr>
            <w:tcW w:w="11070" w:type="dxa"/>
          </w:tcPr>
          <w:p w14:paraId="0CCDE877" w14:textId="77777777" w:rsidR="00D37566" w:rsidRDefault="00D37566"/>
        </w:tc>
        <w:tc>
          <w:tcPr>
            <w:tcW w:w="3600" w:type="dxa"/>
          </w:tcPr>
          <w:p w14:paraId="525BC5B1" w14:textId="4A334173" w:rsidR="00D37566" w:rsidRDefault="00D37566">
            <w:r w:rsidRPr="00D37566">
              <w:rPr>
                <w:b/>
              </w:rPr>
              <w:t>Version</w:t>
            </w:r>
            <w:r>
              <w:t xml:space="preserve">: </w:t>
            </w:r>
            <w:r w:rsidR="009C1279">
              <w:t>2</w:t>
            </w:r>
            <w:r w:rsidR="001258F0">
              <w:t>.0.0</w:t>
            </w:r>
          </w:p>
        </w:tc>
      </w:tr>
    </w:tbl>
    <w:p w14:paraId="14FB7170" w14:textId="77777777" w:rsidR="00D37566" w:rsidRDefault="00D37566"/>
    <w:tbl>
      <w:tblPr>
        <w:tblStyle w:val="TableGrid"/>
        <w:tblW w:w="6475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9"/>
        <w:gridCol w:w="4620"/>
        <w:gridCol w:w="3008"/>
        <w:gridCol w:w="3275"/>
        <w:gridCol w:w="3542"/>
      </w:tblGrid>
      <w:tr w:rsidR="00C57050" w:rsidRPr="00D875E8" w14:paraId="5632D511" w14:textId="77777777" w:rsidTr="00C57050">
        <w:trPr>
          <w:trHeight w:hRule="exact" w:val="589"/>
        </w:trPr>
        <w:tc>
          <w:tcPr>
            <w:tcW w:w="1101" w:type="pct"/>
            <w:tcBorders>
              <w:bottom w:val="nil"/>
            </w:tcBorders>
          </w:tcPr>
          <w:p w14:paraId="41FA8428" w14:textId="77777777" w:rsidR="0054474A" w:rsidRDefault="003C7DBC" w:rsidP="00D875E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Problem</w:t>
            </w:r>
          </w:p>
          <w:p w14:paraId="799690C7" w14:textId="77777777" w:rsidR="007030EA" w:rsidRDefault="007030EA" w:rsidP="00D875E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</w:p>
          <w:p w14:paraId="5329F953" w14:textId="7791860C" w:rsidR="007030EA" w:rsidRPr="00C86A7C" w:rsidRDefault="007030EA" w:rsidP="00D875E8">
            <w:pPr>
              <w:tabs>
                <w:tab w:val="center" w:pos="1773"/>
              </w:tabs>
              <w:rPr>
                <w:rFonts w:ascii="Helvetica" w:hAnsi="Helvetica"/>
                <w:b/>
                <w:szCs w:val="22"/>
              </w:rPr>
            </w:pPr>
            <w:r>
              <w:rPr>
                <w:rFonts w:ascii="Helvetica" w:hAnsi="Helvetica"/>
                <w:b/>
                <w:szCs w:val="22"/>
              </w:rPr>
              <w:t xml:space="preserve">List </w:t>
            </w:r>
          </w:p>
        </w:tc>
        <w:tc>
          <w:tcPr>
            <w:tcW w:w="1247" w:type="pct"/>
            <w:tcBorders>
              <w:bottom w:val="nil"/>
            </w:tcBorders>
          </w:tcPr>
          <w:p w14:paraId="0C4ED746" w14:textId="77777777" w:rsidR="003C7DBC" w:rsidRPr="00C86A7C" w:rsidRDefault="003C7DBC" w:rsidP="003C7DBC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Solution</w:t>
            </w:r>
          </w:p>
          <w:p w14:paraId="47A53E0B" w14:textId="77777777" w:rsidR="0054474A" w:rsidRPr="00C86A7C" w:rsidRDefault="0054474A" w:rsidP="00F828D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812" w:type="pct"/>
            <w:tcBorders>
              <w:bottom w:val="nil"/>
            </w:tcBorders>
          </w:tcPr>
          <w:p w14:paraId="294A0CE1" w14:textId="77777777" w:rsidR="003C7DBC" w:rsidRPr="00C86A7C" w:rsidRDefault="003C7DBC" w:rsidP="003C7DBC">
            <w:pPr>
              <w:contextualSpacing/>
              <w:rPr>
                <w:rFonts w:ascii="Helvetica" w:hAnsi="Helvetica"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Unique Value</w:t>
            </w:r>
            <w:r w:rsidRPr="00C86A7C">
              <w:rPr>
                <w:rFonts w:ascii="Helvetica" w:hAnsi="Helvetica"/>
                <w:szCs w:val="22"/>
              </w:rPr>
              <w:t xml:space="preserve"> </w:t>
            </w:r>
            <w:r w:rsidRPr="00C86A7C">
              <w:rPr>
                <w:rFonts w:ascii="Helvetica" w:hAnsi="Helvetica"/>
                <w:b/>
                <w:szCs w:val="22"/>
              </w:rPr>
              <w:t>Proposition</w:t>
            </w:r>
          </w:p>
          <w:p w14:paraId="18DCE843" w14:textId="77777777" w:rsidR="0054474A" w:rsidRPr="00C86A7C" w:rsidRDefault="0054474A" w:rsidP="00F828D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884" w:type="pct"/>
            <w:tcBorders>
              <w:bottom w:val="nil"/>
            </w:tcBorders>
          </w:tcPr>
          <w:p w14:paraId="6DC7019E" w14:textId="77777777" w:rsidR="0054474A" w:rsidRPr="00C86A7C" w:rsidRDefault="00410D54" w:rsidP="00F828DF">
            <w:pPr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Competitive A</w:t>
            </w:r>
            <w:r w:rsidR="0088020D" w:rsidRPr="00C86A7C">
              <w:rPr>
                <w:rFonts w:ascii="Helvetica" w:hAnsi="Helvetica"/>
                <w:b/>
                <w:szCs w:val="22"/>
              </w:rPr>
              <w:t>dvantage</w:t>
            </w:r>
          </w:p>
        </w:tc>
        <w:tc>
          <w:tcPr>
            <w:tcW w:w="956" w:type="pct"/>
            <w:tcBorders>
              <w:bottom w:val="nil"/>
            </w:tcBorders>
          </w:tcPr>
          <w:p w14:paraId="0695FBD8" w14:textId="77777777" w:rsidR="003C7DBC" w:rsidRPr="00C86A7C" w:rsidRDefault="003C7DBC" w:rsidP="003C7DBC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Customer Segments</w:t>
            </w:r>
          </w:p>
          <w:p w14:paraId="42EB413F" w14:textId="77777777" w:rsidR="0054474A" w:rsidRPr="00C86A7C" w:rsidRDefault="0054474A" w:rsidP="00F828DF">
            <w:pPr>
              <w:rPr>
                <w:rFonts w:ascii="Helvetica" w:hAnsi="Helvetica"/>
                <w:b/>
                <w:szCs w:val="22"/>
              </w:rPr>
            </w:pPr>
          </w:p>
        </w:tc>
      </w:tr>
      <w:tr w:rsidR="00C57050" w:rsidRPr="00D875E8" w14:paraId="4844081E" w14:textId="77777777" w:rsidTr="00C57050">
        <w:trPr>
          <w:trHeight w:val="3654"/>
        </w:trPr>
        <w:tc>
          <w:tcPr>
            <w:tcW w:w="1101" w:type="pct"/>
            <w:vMerge w:val="restart"/>
            <w:tcBorders>
              <w:top w:val="nil"/>
            </w:tcBorders>
          </w:tcPr>
          <w:p w14:paraId="7724DC71" w14:textId="3DC86424" w:rsidR="002B272F" w:rsidRPr="007030EA" w:rsidRDefault="009C1279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>University</w:t>
            </w:r>
            <w:r w:rsidR="00600F4E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students, especially freshman, often find themselves forced to </w:t>
            </w:r>
            <w:r w:rsidR="00B472B8">
              <w:rPr>
                <w:rFonts w:ascii="Helvetica" w:hAnsi="Helvetica"/>
                <w:i/>
                <w:color w:val="0070C0"/>
                <w:sz w:val="20"/>
                <w:szCs w:val="20"/>
              </w:rPr>
              <w:t>join a random assortment of other students (referred to colloquially as “</w:t>
            </w:r>
            <w:proofErr w:type="spellStart"/>
            <w:r w:rsidR="00B472B8">
              <w:rPr>
                <w:rFonts w:ascii="Helvetica" w:hAnsi="Helvetica"/>
                <w:i/>
                <w:color w:val="0070C0"/>
                <w:sz w:val="20"/>
                <w:szCs w:val="20"/>
              </w:rPr>
              <w:t>randos</w:t>
            </w:r>
            <w:proofErr w:type="spellEnd"/>
            <w:r w:rsidR="00B472B8">
              <w:rPr>
                <w:rFonts w:ascii="Helvetica" w:hAnsi="Helvetica"/>
                <w:i/>
                <w:color w:val="0070C0"/>
                <w:sz w:val="20"/>
                <w:szCs w:val="20"/>
              </w:rPr>
              <w:t>”)</w:t>
            </w:r>
            <w:r w:rsidR="003B137D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when they have not yet been able to find students with which they would prefer to be roommates. </w:t>
            </w: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>Often</w:t>
            </w:r>
            <w:r w:rsidR="003B137D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the allocation of students, being as random as it seems, will sometimes group student</w:t>
            </w:r>
            <w:r w:rsidR="00C477D8">
              <w:rPr>
                <w:rFonts w:ascii="Helvetica" w:hAnsi="Helvetica"/>
                <w:i/>
                <w:color w:val="0070C0"/>
                <w:sz w:val="20"/>
                <w:szCs w:val="20"/>
              </w:rPr>
              <w:t>s with incompatible traits and preferences that make living together a living nightmare.</w:t>
            </w:r>
            <w:r w:rsidR="004E527A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Additionally, these students often struggle to reach out to each other unless their social media handles are placed within their student biographies.</w:t>
            </w:r>
            <w:r w:rsidR="00965AB9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This </w:t>
            </w:r>
            <w:r w:rsidR="003C4EF7">
              <w:rPr>
                <w:rFonts w:ascii="Helvetica" w:hAnsi="Helvetica"/>
                <w:i/>
                <w:color w:val="0070C0"/>
                <w:sz w:val="20"/>
                <w:szCs w:val="20"/>
              </w:rPr>
              <w:t>inhibits</w:t>
            </w:r>
            <w:r w:rsidR="00965AB9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students from </w:t>
            </w:r>
            <w:r w:rsidR="00954561">
              <w:rPr>
                <w:rFonts w:ascii="Helvetica" w:hAnsi="Helvetica"/>
                <w:i/>
                <w:color w:val="0070C0"/>
                <w:sz w:val="20"/>
                <w:szCs w:val="20"/>
              </w:rPr>
              <w:t>coordinating shopping and move-in plans, further frustrating their semesters together.</w:t>
            </w: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</w:tcPr>
          <w:p w14:paraId="5C29D123" w14:textId="67717C1F" w:rsidR="002B272F" w:rsidRPr="00C86A7C" w:rsidRDefault="00C2303D" w:rsidP="002B272F">
            <w:pPr>
              <w:rPr>
                <w:rFonts w:ascii="Helvetica" w:hAnsi="Helvetica"/>
                <w:szCs w:val="22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>This app allows students to sign in using their student credentials</w:t>
            </w:r>
            <w:r w:rsidR="00CA3331">
              <w:rPr>
                <w:rFonts w:ascii="Helvetica" w:hAnsi="Helvetica"/>
                <w:i/>
                <w:color w:val="0070C0"/>
                <w:sz w:val="20"/>
                <w:szCs w:val="20"/>
              </w:rPr>
              <w:t>, input their roommate preferences and social media handles,</w:t>
            </w:r>
            <w:r w:rsidR="00FB1992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</w:t>
            </w:r>
            <w:r w:rsidR="00F566EC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to </w:t>
            </w:r>
            <w:r w:rsidR="009C1279">
              <w:rPr>
                <w:rFonts w:ascii="Helvetica" w:hAnsi="Helvetica"/>
                <w:i/>
                <w:color w:val="0070C0"/>
                <w:sz w:val="20"/>
                <w:szCs w:val="20"/>
              </w:rPr>
              <w:t>view potential roommates and judge their</w:t>
            </w:r>
            <w:r w:rsidR="00F566EC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similarit</w:t>
            </w:r>
            <w:r w:rsidR="009C1279">
              <w:rPr>
                <w:rFonts w:ascii="Helvetica" w:hAnsi="Helvetica"/>
                <w:i/>
                <w:color w:val="0070C0"/>
                <w:sz w:val="20"/>
                <w:szCs w:val="20"/>
              </w:rPr>
              <w:t>ies</w:t>
            </w:r>
            <w:r w:rsidR="00F566EC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in preferences</w:t>
            </w:r>
            <w:r w:rsidR="00FB1992">
              <w:rPr>
                <w:rFonts w:ascii="Helvetica" w:hAnsi="Helvetica"/>
                <w:i/>
                <w:color w:val="0070C0"/>
                <w:sz w:val="20"/>
                <w:szCs w:val="20"/>
              </w:rPr>
              <w:t>, and to reach out to said potential roommates for further discussion and move-in planning.</w:t>
            </w:r>
          </w:p>
        </w:tc>
        <w:tc>
          <w:tcPr>
            <w:tcW w:w="812" w:type="pct"/>
            <w:vMerge w:val="restart"/>
            <w:tcBorders>
              <w:top w:val="nil"/>
            </w:tcBorders>
          </w:tcPr>
          <w:p w14:paraId="70D88014" w14:textId="4B7A5F9C" w:rsidR="002B272F" w:rsidRPr="002B272F" w:rsidRDefault="001C4C4C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>Not a single other student on campus has attempted to design this application.</w:t>
            </w:r>
            <w:r w:rsidR="00D1344E"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 xml:space="preserve"> This app may reduce roommate conflicts (and therefore save the University money) by a significant margin.</w:t>
            </w:r>
          </w:p>
          <w:p w14:paraId="4B490FBE" w14:textId="77777777" w:rsidR="002B272F" w:rsidRPr="002B272F" w:rsidRDefault="002B272F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</w:p>
          <w:p w14:paraId="4CEDD8AB" w14:textId="77777777" w:rsidR="002B272F" w:rsidRPr="002B272F" w:rsidRDefault="002B272F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</w:p>
        </w:tc>
        <w:tc>
          <w:tcPr>
            <w:tcW w:w="884" w:type="pct"/>
            <w:tcBorders>
              <w:top w:val="nil"/>
              <w:bottom w:val="single" w:sz="4" w:space="0" w:color="auto"/>
            </w:tcBorders>
          </w:tcPr>
          <w:p w14:paraId="2DDFDB70" w14:textId="448D1D8A" w:rsidR="00640822" w:rsidRPr="00640822" w:rsidRDefault="008E33DF" w:rsidP="00640822">
            <w:pP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 xml:space="preserve">Unique app providing service </w:t>
            </w:r>
            <w:r w:rsidR="009C1279"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 xml:space="preserve">inspiration </w:t>
            </w: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 xml:space="preserve">that is untapped in the current market of </w:t>
            </w:r>
            <w:r w:rsidR="009C1279"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>this university</w:t>
            </w: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>.</w:t>
            </w:r>
          </w:p>
          <w:p w14:paraId="5B9E007F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956" w:type="pct"/>
            <w:vMerge w:val="restart"/>
            <w:tcBorders>
              <w:top w:val="nil"/>
            </w:tcBorders>
          </w:tcPr>
          <w:p w14:paraId="5785E2F3" w14:textId="55BEF15B" w:rsidR="002B272F" w:rsidRPr="00C86A7C" w:rsidRDefault="002134F3" w:rsidP="002B272F">
            <w:pPr>
              <w:rPr>
                <w:rFonts w:ascii="Helvetica" w:hAnsi="Helvetica"/>
                <w:szCs w:val="22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The target </w:t>
            </w:r>
            <w:r w:rsidR="00DF22B2">
              <w:rPr>
                <w:rFonts w:ascii="Helvetica" w:hAnsi="Helvetica"/>
                <w:i/>
                <w:color w:val="0070C0"/>
                <w:sz w:val="20"/>
                <w:szCs w:val="20"/>
              </w:rPr>
              <w:t>user base for this app would ideally be students at Grand Canyon University</w:t>
            </w:r>
            <w:r w:rsidR="00665DDE">
              <w:rPr>
                <w:rFonts w:ascii="Helvetica" w:hAnsi="Helvetica"/>
                <w:i/>
                <w:color w:val="0070C0"/>
                <w:sz w:val="20"/>
                <w:szCs w:val="20"/>
              </w:rPr>
              <w:t>.</w:t>
            </w:r>
            <w:r w:rsidR="001B4478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The app’s primary functionality</w:t>
            </w:r>
            <w:r w:rsidR="00BF3440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is meant to be available to students</w:t>
            </w:r>
            <w:r w:rsidR="006354CE"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who live on campus grounds during a given semester</w:t>
            </w:r>
            <w:r w:rsidR="00E840E4">
              <w:rPr>
                <w:rFonts w:ascii="Helvetica" w:hAnsi="Helvetica"/>
                <w:i/>
                <w:color w:val="0070C0"/>
                <w:sz w:val="20"/>
                <w:szCs w:val="20"/>
              </w:rPr>
              <w:t>.</w:t>
            </w:r>
          </w:p>
          <w:p w14:paraId="466063D0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  <w:p w14:paraId="7AE1ECBD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</w:tr>
      <w:tr w:rsidR="00C57050" w:rsidRPr="00D875E8" w14:paraId="3679DDD0" w14:textId="77777777" w:rsidTr="00C57050">
        <w:trPr>
          <w:trHeight w:val="615"/>
        </w:trPr>
        <w:tc>
          <w:tcPr>
            <w:tcW w:w="1101" w:type="pct"/>
            <w:vMerge/>
          </w:tcPr>
          <w:p w14:paraId="74F851AB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1247" w:type="pct"/>
            <w:tcBorders>
              <w:bottom w:val="nil"/>
            </w:tcBorders>
          </w:tcPr>
          <w:p w14:paraId="7562071A" w14:textId="77777777" w:rsidR="002B272F" w:rsidRPr="00C86A7C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Key Metrics</w:t>
            </w:r>
          </w:p>
          <w:p w14:paraId="70B24263" w14:textId="77777777" w:rsidR="002B272F" w:rsidRDefault="002B272F" w:rsidP="002B272F">
            <w:pPr>
              <w:rPr>
                <w:rFonts w:ascii="Helvetica" w:hAnsi="Helvetica"/>
                <w:b/>
                <w:szCs w:val="22"/>
              </w:rPr>
            </w:pPr>
          </w:p>
          <w:p w14:paraId="74289FD4" w14:textId="5859EF40" w:rsidR="0051266C" w:rsidRDefault="00D24E45" w:rsidP="0051266C">
            <w:pP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>Application speed</w:t>
            </w:r>
          </w:p>
          <w:p w14:paraId="0D3C52C7" w14:textId="4DE203E8" w:rsidR="00141964" w:rsidRDefault="00647D9D" w:rsidP="0051266C">
            <w:pP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>Application responsiveness</w:t>
            </w:r>
          </w:p>
          <w:p w14:paraId="72BCB917" w14:textId="6B7DEFEA" w:rsidR="00CB67CC" w:rsidRDefault="00CB67CC" w:rsidP="0051266C">
            <w:pP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>20,000 students registered onto the website</w:t>
            </w:r>
          </w:p>
          <w:p w14:paraId="4CB7658F" w14:textId="189FFB28" w:rsidR="0051266C" w:rsidRPr="00C86A7C" w:rsidRDefault="00385A96" w:rsidP="00385A96">
            <w:pPr>
              <w:rPr>
                <w:rFonts w:ascii="Helvetica" w:hAnsi="Helvetica"/>
                <w:b/>
                <w:szCs w:val="22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  <w:lang w:val="en-US"/>
              </w:rPr>
              <w:t>15,000 DAU/MAU</w:t>
            </w:r>
          </w:p>
        </w:tc>
        <w:tc>
          <w:tcPr>
            <w:tcW w:w="812" w:type="pct"/>
            <w:vMerge/>
          </w:tcPr>
          <w:p w14:paraId="32BFF531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884" w:type="pct"/>
            <w:tcBorders>
              <w:bottom w:val="nil"/>
            </w:tcBorders>
          </w:tcPr>
          <w:p w14:paraId="1FC5E098" w14:textId="77777777" w:rsidR="001C0271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Channels</w:t>
            </w:r>
            <w:r>
              <w:rPr>
                <w:rFonts w:ascii="Helvetica" w:hAnsi="Helvetica"/>
                <w:b/>
                <w:szCs w:val="22"/>
              </w:rPr>
              <w:t xml:space="preserve"> </w:t>
            </w:r>
          </w:p>
          <w:p w14:paraId="661CD6BA" w14:textId="77777777" w:rsidR="001C0271" w:rsidRDefault="001C0271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</w:p>
          <w:p w14:paraId="092E3544" w14:textId="4B1C012B" w:rsidR="002B272F" w:rsidRPr="001C0271" w:rsidRDefault="007B599C" w:rsidP="002B272F">
            <w:pPr>
              <w:contextualSpacing/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Instructors, students, deans, and general </w:t>
            </w:r>
            <w:r w:rsidR="009C1279">
              <w:rPr>
                <w:rFonts w:ascii="Helvetica" w:hAnsi="Helvetica"/>
                <w:i/>
                <w:color w:val="0070C0"/>
                <w:sz w:val="20"/>
                <w:szCs w:val="20"/>
              </w:rPr>
              <w:t>university</w:t>
            </w: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 xml:space="preserve"> faculty.</w:t>
            </w:r>
          </w:p>
        </w:tc>
        <w:tc>
          <w:tcPr>
            <w:tcW w:w="956" w:type="pct"/>
            <w:vMerge/>
          </w:tcPr>
          <w:p w14:paraId="4CBE2AB9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</w:tr>
      <w:tr w:rsidR="00C57050" w:rsidRPr="00D875E8" w14:paraId="381BF201" w14:textId="77777777" w:rsidTr="003109C0">
        <w:trPr>
          <w:trHeight w:val="2501"/>
        </w:trPr>
        <w:tc>
          <w:tcPr>
            <w:tcW w:w="1101" w:type="pct"/>
            <w:vMerge/>
            <w:tcBorders>
              <w:bottom w:val="single" w:sz="4" w:space="0" w:color="auto"/>
            </w:tcBorders>
          </w:tcPr>
          <w:p w14:paraId="7C3F4FE6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</w:tcPr>
          <w:p w14:paraId="23E91481" w14:textId="77777777" w:rsidR="002B272F" w:rsidRPr="00C86A7C" w:rsidRDefault="002B272F" w:rsidP="002B272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812" w:type="pct"/>
            <w:vMerge/>
            <w:tcBorders>
              <w:bottom w:val="single" w:sz="4" w:space="0" w:color="auto"/>
            </w:tcBorders>
          </w:tcPr>
          <w:p w14:paraId="3FC46CB5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  <w:tc>
          <w:tcPr>
            <w:tcW w:w="884" w:type="pct"/>
            <w:tcBorders>
              <w:top w:val="nil"/>
              <w:bottom w:val="single" w:sz="4" w:space="0" w:color="auto"/>
            </w:tcBorders>
          </w:tcPr>
          <w:p w14:paraId="6D8B3F68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  <w:p w14:paraId="120C68F4" w14:textId="77777777" w:rsidR="002B272F" w:rsidRPr="00C86A7C" w:rsidRDefault="002B272F" w:rsidP="002B272F">
            <w:pPr>
              <w:rPr>
                <w:rFonts w:ascii="Helvetica" w:hAnsi="Helvetica"/>
                <w:b/>
                <w:szCs w:val="22"/>
              </w:rPr>
            </w:pPr>
          </w:p>
        </w:tc>
        <w:tc>
          <w:tcPr>
            <w:tcW w:w="956" w:type="pct"/>
            <w:vMerge/>
            <w:tcBorders>
              <w:bottom w:val="single" w:sz="4" w:space="0" w:color="auto"/>
            </w:tcBorders>
          </w:tcPr>
          <w:p w14:paraId="012308F9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</w:tc>
      </w:tr>
      <w:tr w:rsidR="002B272F" w:rsidRPr="00D875E8" w14:paraId="75E5BBE7" w14:textId="77777777" w:rsidTr="00C57050">
        <w:trPr>
          <w:trHeight w:val="354"/>
        </w:trPr>
        <w:tc>
          <w:tcPr>
            <w:tcW w:w="2348" w:type="pct"/>
            <w:gridSpan w:val="2"/>
            <w:tcBorders>
              <w:bottom w:val="nil"/>
            </w:tcBorders>
          </w:tcPr>
          <w:p w14:paraId="231FD706" w14:textId="77777777" w:rsidR="002B272F" w:rsidRPr="00C86A7C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lastRenderedPageBreak/>
              <w:t>Cost Structure</w:t>
            </w:r>
          </w:p>
        </w:tc>
        <w:tc>
          <w:tcPr>
            <w:tcW w:w="2652" w:type="pct"/>
            <w:gridSpan w:val="3"/>
            <w:tcBorders>
              <w:bottom w:val="nil"/>
            </w:tcBorders>
          </w:tcPr>
          <w:p w14:paraId="1788CB23" w14:textId="77777777" w:rsidR="002B272F" w:rsidRPr="00C86A7C" w:rsidRDefault="002B272F" w:rsidP="002B272F">
            <w:pPr>
              <w:contextualSpacing/>
              <w:rPr>
                <w:rFonts w:ascii="Helvetica" w:hAnsi="Helvetica"/>
                <w:b/>
                <w:szCs w:val="22"/>
              </w:rPr>
            </w:pPr>
            <w:r w:rsidRPr="00C86A7C">
              <w:rPr>
                <w:rFonts w:ascii="Helvetica" w:hAnsi="Helvetica"/>
                <w:b/>
                <w:szCs w:val="22"/>
              </w:rPr>
              <w:t>Revenue Streams</w:t>
            </w:r>
          </w:p>
        </w:tc>
      </w:tr>
      <w:tr w:rsidR="002B272F" w:rsidRPr="00D875E8" w14:paraId="05DAAB32" w14:textId="77777777" w:rsidTr="00121086">
        <w:trPr>
          <w:trHeight w:val="2619"/>
        </w:trPr>
        <w:tc>
          <w:tcPr>
            <w:tcW w:w="2348" w:type="pct"/>
            <w:gridSpan w:val="2"/>
            <w:tcBorders>
              <w:top w:val="nil"/>
            </w:tcBorders>
          </w:tcPr>
          <w:p w14:paraId="096683FC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  <w:p w14:paraId="3CE1FFC9" w14:textId="095C1B3C" w:rsidR="002B272F" w:rsidRPr="00FC125B" w:rsidRDefault="005174B3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>$</w:t>
            </w:r>
            <w:r w:rsidR="009C1279">
              <w:rPr>
                <w:rFonts w:ascii="Helvetica" w:hAnsi="Helvetica"/>
                <w:i/>
                <w:color w:val="0070C0"/>
                <w:sz w:val="20"/>
                <w:szCs w:val="20"/>
              </w:rPr>
              <w:t>0 at this scale.</w:t>
            </w:r>
          </w:p>
        </w:tc>
        <w:tc>
          <w:tcPr>
            <w:tcW w:w="2652" w:type="pct"/>
            <w:gridSpan w:val="3"/>
            <w:tcBorders>
              <w:top w:val="nil"/>
            </w:tcBorders>
          </w:tcPr>
          <w:p w14:paraId="451EA66C" w14:textId="77777777" w:rsidR="002B272F" w:rsidRPr="00C86A7C" w:rsidRDefault="002B272F" w:rsidP="002B272F">
            <w:pPr>
              <w:rPr>
                <w:rFonts w:ascii="Helvetica" w:hAnsi="Helvetica"/>
                <w:szCs w:val="22"/>
              </w:rPr>
            </w:pPr>
          </w:p>
          <w:p w14:paraId="43E3665C" w14:textId="66A13CBE" w:rsidR="002B272F" w:rsidRPr="00C01013" w:rsidRDefault="000E08BC" w:rsidP="002B272F">
            <w:pPr>
              <w:rPr>
                <w:rFonts w:ascii="Helvetica" w:hAnsi="Helvetica"/>
                <w:i/>
                <w:color w:val="0070C0"/>
                <w:sz w:val="20"/>
                <w:szCs w:val="20"/>
              </w:rPr>
            </w:pPr>
            <w:r>
              <w:rPr>
                <w:rFonts w:ascii="Helvetica" w:hAnsi="Helvetica"/>
                <w:i/>
                <w:color w:val="0070C0"/>
                <w:sz w:val="20"/>
                <w:szCs w:val="20"/>
              </w:rPr>
              <w:t>N/A</w:t>
            </w:r>
          </w:p>
        </w:tc>
      </w:tr>
    </w:tbl>
    <w:p w14:paraId="30E6537D" w14:textId="77777777" w:rsidR="00C372E4" w:rsidRPr="00D875E8" w:rsidRDefault="00C372E4" w:rsidP="00C81B08"/>
    <w:sectPr w:rsidR="00C372E4" w:rsidRPr="00D875E8" w:rsidSect="00797883">
      <w:headerReference w:type="even" r:id="rId11"/>
      <w:footerReference w:type="default" r:id="rId12"/>
      <w:pgSz w:w="20160" w:h="12240" w:orient="landscape"/>
      <w:pgMar w:top="360" w:right="5126" w:bottom="36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6EECC" w14:textId="77777777" w:rsidR="008E6866" w:rsidRDefault="008E6866" w:rsidP="003C7DBC">
      <w:r>
        <w:separator/>
      </w:r>
    </w:p>
  </w:endnote>
  <w:endnote w:type="continuationSeparator" w:id="0">
    <w:p w14:paraId="306B82D6" w14:textId="77777777" w:rsidR="008E6866" w:rsidRDefault="008E6866" w:rsidP="003C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8A126" w14:textId="05BC31F8" w:rsidR="00E74A56" w:rsidRDefault="00174D88" w:rsidP="003109C0">
    <w:pPr>
      <w:pStyle w:val="Footer"/>
      <w:jc w:val="center"/>
    </w:pPr>
    <w:r w:rsidRPr="00174D88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7DC3D" w14:textId="77777777" w:rsidR="008E6866" w:rsidRDefault="008E6866" w:rsidP="003C7DBC">
      <w:r>
        <w:separator/>
      </w:r>
    </w:p>
  </w:footnote>
  <w:footnote w:type="continuationSeparator" w:id="0">
    <w:p w14:paraId="6E53FD1C" w14:textId="77777777" w:rsidR="008E6866" w:rsidRDefault="008E6866" w:rsidP="003C7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</w:rPr>
      <w:alias w:val="Title"/>
      <w:id w:val="77547040"/>
      <w:placeholder>
        <w:docPart w:val="381641B38CCD7245BB6647F6E1D298B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5F6CE7C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B8386E440229AA409733DBC75ABB6F8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85C3B4B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655B9AB0" w14:textId="77777777" w:rsidR="003C7DBC" w:rsidRDefault="003C7D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4A"/>
    <w:rsid w:val="000815D8"/>
    <w:rsid w:val="000E08BC"/>
    <w:rsid w:val="000F7E66"/>
    <w:rsid w:val="00117BB5"/>
    <w:rsid w:val="00121086"/>
    <w:rsid w:val="001258F0"/>
    <w:rsid w:val="00141964"/>
    <w:rsid w:val="00163EF5"/>
    <w:rsid w:val="00174D88"/>
    <w:rsid w:val="001B4478"/>
    <w:rsid w:val="001C0271"/>
    <w:rsid w:val="001C4C4C"/>
    <w:rsid w:val="001D4D56"/>
    <w:rsid w:val="001F0250"/>
    <w:rsid w:val="002134F3"/>
    <w:rsid w:val="002B272F"/>
    <w:rsid w:val="002B48B3"/>
    <w:rsid w:val="00306D5D"/>
    <w:rsid w:val="003109C0"/>
    <w:rsid w:val="00385A96"/>
    <w:rsid w:val="003B137D"/>
    <w:rsid w:val="003C4EF7"/>
    <w:rsid w:val="003C7DBC"/>
    <w:rsid w:val="00410D54"/>
    <w:rsid w:val="00445A1D"/>
    <w:rsid w:val="00475359"/>
    <w:rsid w:val="004E527A"/>
    <w:rsid w:val="0051266C"/>
    <w:rsid w:val="005174B3"/>
    <w:rsid w:val="00523C6D"/>
    <w:rsid w:val="0054474A"/>
    <w:rsid w:val="005B36D1"/>
    <w:rsid w:val="005D47FD"/>
    <w:rsid w:val="005E1AFE"/>
    <w:rsid w:val="00600F4E"/>
    <w:rsid w:val="006354CE"/>
    <w:rsid w:val="00640822"/>
    <w:rsid w:val="00647D9D"/>
    <w:rsid w:val="00665DDE"/>
    <w:rsid w:val="006B2590"/>
    <w:rsid w:val="006C25BD"/>
    <w:rsid w:val="007030EA"/>
    <w:rsid w:val="00746CBD"/>
    <w:rsid w:val="00797883"/>
    <w:rsid w:val="007A3E05"/>
    <w:rsid w:val="007B599C"/>
    <w:rsid w:val="0088020D"/>
    <w:rsid w:val="008C13E9"/>
    <w:rsid w:val="008E33DF"/>
    <w:rsid w:val="008E6866"/>
    <w:rsid w:val="00954561"/>
    <w:rsid w:val="00965AB9"/>
    <w:rsid w:val="009C1279"/>
    <w:rsid w:val="009D04B0"/>
    <w:rsid w:val="00A125B1"/>
    <w:rsid w:val="00A74F33"/>
    <w:rsid w:val="00AB557D"/>
    <w:rsid w:val="00AE24F4"/>
    <w:rsid w:val="00AF732D"/>
    <w:rsid w:val="00B136EC"/>
    <w:rsid w:val="00B472B8"/>
    <w:rsid w:val="00B94A8E"/>
    <w:rsid w:val="00BF3440"/>
    <w:rsid w:val="00C01013"/>
    <w:rsid w:val="00C2303D"/>
    <w:rsid w:val="00C372E4"/>
    <w:rsid w:val="00C477D8"/>
    <w:rsid w:val="00C57050"/>
    <w:rsid w:val="00C81B08"/>
    <w:rsid w:val="00C86A7C"/>
    <w:rsid w:val="00CA3331"/>
    <w:rsid w:val="00CA5045"/>
    <w:rsid w:val="00CB67CC"/>
    <w:rsid w:val="00D1344E"/>
    <w:rsid w:val="00D24E45"/>
    <w:rsid w:val="00D37566"/>
    <w:rsid w:val="00D875E8"/>
    <w:rsid w:val="00DE69B6"/>
    <w:rsid w:val="00DF22B2"/>
    <w:rsid w:val="00E74A56"/>
    <w:rsid w:val="00E80058"/>
    <w:rsid w:val="00E840E4"/>
    <w:rsid w:val="00EA64B0"/>
    <w:rsid w:val="00ED0B06"/>
    <w:rsid w:val="00EE5F0E"/>
    <w:rsid w:val="00F24D11"/>
    <w:rsid w:val="00F566EC"/>
    <w:rsid w:val="00F828DF"/>
    <w:rsid w:val="00FB1992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9B911"/>
  <w15:docId w15:val="{A89A1BBD-5780-B443-AC19-439D41D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DBC"/>
  </w:style>
  <w:style w:type="paragraph" w:styleId="Footer">
    <w:name w:val="footer"/>
    <w:basedOn w:val="Normal"/>
    <w:link w:val="Foot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DBC"/>
  </w:style>
  <w:style w:type="paragraph" w:styleId="BalloonText">
    <w:name w:val="Balloon Text"/>
    <w:basedOn w:val="Normal"/>
    <w:link w:val="BalloonTextChar"/>
    <w:uiPriority w:val="99"/>
    <w:semiHidden/>
    <w:unhideWhenUsed/>
    <w:rsid w:val="00174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1641B38CCD7245BB6647F6E1D29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52F-006C-FF46-9EAD-F3E4D707AF0F}"/>
      </w:docPartPr>
      <w:docPartBody>
        <w:p w:rsidR="004D1024" w:rsidRDefault="004548B3" w:rsidP="004548B3">
          <w:pPr>
            <w:pStyle w:val="381641B38CCD7245BB6647F6E1D298B0"/>
          </w:pPr>
          <w:r>
            <w:t>[Type the document title]</w:t>
          </w:r>
        </w:p>
      </w:docPartBody>
    </w:docPart>
    <w:docPart>
      <w:docPartPr>
        <w:name w:val="B8386E440229AA409733DBC75ABB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97E3-BC83-1C41-8EC2-4AAFB3586BEB}"/>
      </w:docPartPr>
      <w:docPartBody>
        <w:p w:rsidR="004D1024" w:rsidRDefault="004548B3" w:rsidP="004548B3">
          <w:pPr>
            <w:pStyle w:val="B8386E440229AA409733DBC75ABB6F8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B3"/>
    <w:rsid w:val="003453CC"/>
    <w:rsid w:val="004548B3"/>
    <w:rsid w:val="004D1024"/>
    <w:rsid w:val="00860489"/>
    <w:rsid w:val="00AA4EEF"/>
    <w:rsid w:val="00C5153D"/>
    <w:rsid w:val="00E03550"/>
    <w:rsid w:val="00E5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641B38CCD7245BB6647F6E1D298B0">
    <w:name w:val="381641B38CCD7245BB6647F6E1D298B0"/>
    <w:rsid w:val="004548B3"/>
  </w:style>
  <w:style w:type="paragraph" w:customStyle="1" w:styleId="B8386E440229AA409733DBC75ABB6F8D">
    <w:name w:val="B8386E440229AA409733DBC75ABB6F8D"/>
    <w:rsid w:val="00454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C2CFEB8757C246A57841EC864A3F29" ma:contentTypeVersion="12" ma:contentTypeDescription="Create a new document." ma:contentTypeScope="" ma:versionID="1c18fb42c8df9e63f2d54890041cee5e">
  <xsd:schema xmlns:xsd="http://www.w3.org/2001/XMLSchema" xmlns:xs="http://www.w3.org/2001/XMLSchema" xmlns:p="http://schemas.microsoft.com/office/2006/metadata/properties" xmlns:ns3="c213ac00-9574-4c17-abea-42c8946c728e" xmlns:ns4="f0943bb2-df51-4a02-a9aa-167a667b4a00" targetNamespace="http://schemas.microsoft.com/office/2006/metadata/properties" ma:root="true" ma:fieldsID="e575735be59eb1d0b8c54de7a76f01a4" ns3:_="" ns4:_="">
    <xsd:import namespace="c213ac00-9574-4c17-abea-42c8946c728e"/>
    <xsd:import namespace="f0943bb2-df51-4a02-a9aa-167a667b4a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ac00-9574-4c17-abea-42c8946c7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43bb2-df51-4a02-a9aa-167a667b4a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F7972A-CEAE-419E-87FC-1A4F8BD32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3ac00-9574-4c17-abea-42c8946c728e"/>
    <ds:schemaRef ds:uri="f0943bb2-df51-4a02-a9aa-167a667b4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92E8AE-C46E-4811-99EF-5B864560B6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CD9D3-3B3E-4B10-AA2B-FDABD425B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500EE9-4FC9-4762-9FAA-804F8B8D4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 Action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Short</dc:creator>
  <cp:lastModifiedBy>Eric Moore</cp:lastModifiedBy>
  <cp:revision>18</cp:revision>
  <cp:lastPrinted>2015-01-19T16:38:00Z</cp:lastPrinted>
  <dcterms:created xsi:type="dcterms:W3CDTF">2020-09-22T22:25:00Z</dcterms:created>
  <dcterms:modified xsi:type="dcterms:W3CDTF">2021-02-11T22:39:00Z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0x0101004CC2CFEB8757C246A57841EC864A3F29</vt:lpwstr>
  </property>
</Properties>
</file>